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云舟科技绩效、薪酬与福利政策</w:t>
      </w:r>
    </w:p>
    <w:p>
      <w:r>
        <w:t>绩效周期按季度执行，年度绩效由四个季度绩效和年度价值观评价共同组成。绩效结果分为 S、A、B、C、D 五档，B 档表示达到岗位预期。</w:t>
      </w:r>
    </w:p>
    <w:p>
      <w:r>
        <w:t>常见问法：绩效分为哪几个档位？答案是 S、A、B、C、D 五个档位。常见问法：B档绩效是什么意思？答案是 B 档表示达到岗位预期，通常正常发放绩效奖金。</w:t>
      </w:r>
    </w:p>
    <w:p>
      <w:r>
        <w:t>绩效目标应满足可衡量、可追踪、与团队目标相关。研发岗位可以使用交付质量、系统稳定性、代码评审质量和技术债治理作为指标；销售岗位可以使用回款、有效商机、续约率和客户满意度作为指标。</w:t>
      </w:r>
    </w:p>
    <w:p>
      <w:r>
        <w:t>薪酬由基本工资、岗位工资、绩效奖金和专项激励组成。绩效奖金与公司经营结果、部门结果和个人绩效相关。员工薪酬属于敏感数据，禁止在公开文档、聊天群或未授权系统中传播。</w:t>
      </w:r>
    </w:p>
    <w:p>
      <w:r>
        <w:t>常见问法：员工薪酬可以在聊天群里传播吗？答案是不可以。员工薪酬属于敏感数据，禁止在公开文档、聊天群或未授权系统中传播。</w:t>
      </w:r>
    </w:p>
    <w:p>
      <w:r>
        <w:t>福利包括五险一金、补充商业保险、年度体检、节日福利、培训预算和团队建设经费。培训预算每人每年 3000 元，需与岗位能力提升相关。</w:t>
      </w:r>
    </w:p>
    <w:p>
      <w:r>
        <w:t>年终奖不是固定承诺，需结合公司经营结果、员工在职状态、绩效结果和重大违纪情况综合确定。离职员工是否发放未结算奖金，以当年奖金政策和劳动合同约定为准。</w:t>
      </w:r>
    </w:p>
    <w:tbl>
      <w:tr>
        <w:tc>
          <w:p>
            <w:r>
              <w:t>绩效档位</w:t>
            </w:r>
          </w:p>
        </w:tc>
        <w:tc>
          <w:p>
            <w:r>
              <w:t>含义</w:t>
            </w:r>
          </w:p>
        </w:tc>
        <w:tc>
          <w:p>
            <w:r>
              <w:t>常见处理</w:t>
            </w:r>
          </w:p>
        </w:tc>
      </w:tr>
      <w:tr>
        <w:tc>
          <w:p>
            <w:r>
              <w:t>S</w:t>
            </w:r>
          </w:p>
        </w:tc>
        <w:tc>
          <w:p>
            <w:r>
              <w:t>显著超出预期</w:t>
            </w:r>
          </w:p>
        </w:tc>
        <w:tc>
          <w:p>
            <w:r>
              <w:t>可优先考虑晋升和专项激励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超过预期</w:t>
            </w:r>
          </w:p>
        </w:tc>
        <w:tc>
          <w:p>
            <w:r>
              <w:t>绩效奖金系数上浮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达到预期</w:t>
            </w:r>
          </w:p>
        </w:tc>
        <w:tc>
          <w:p>
            <w:r>
              <w:t>正常发放绩效奖金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部分低于预期</w:t>
            </w:r>
          </w:p>
        </w:tc>
        <w:tc>
          <w:p>
            <w:r>
              <w:t>制定改进计划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明显低于预期</w:t>
            </w:r>
          </w:p>
        </w:tc>
        <w:tc>
          <w:p>
            <w:r>
              <w:t>可能影响调薪、奖金和岗位安排</w:t>
            </w:r>
          </w:p>
        </w:tc>
      </w:tr>
    </w:tbl>
    <w:sectPr>
      <w:pgSz w:w="11906" w:h="16838"/>
      <w:pgMar w:top="1440" w:right="1440" w:bottom="1440" w:left="1440"/>
    </w:sectPr>
  </w:body>
</w:document>
</file>