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Aptos" w:hAnsi="Aptos" w:eastAsia="Aptos"/>
          <w:b/>
          <w:color w:val="000000"/>
          <w:sz w:val="40"/>
        </w:rPr>
        <w:t>Post Interview Snapshot</w:t>
      </w:r>
    </w:p>
    <w:p>
      <w:pPr>
        <w:spacing w:after="240"/>
      </w:pPr>
      <w:r>
        <w:rPr>
          <w:rFonts w:ascii="Aptos" w:hAnsi="Aptos" w:eastAsia="Aptos"/>
          <w:b/>
          <w:color w:val="000000"/>
          <w:sz w:val="22"/>
        </w:rPr>
        <w:t xml:space="preserve">Participant Code: </w:t>
      </w:r>
      <w:r>
        <w:rPr>
          <w:rFonts w:ascii="Aptos" w:hAnsi="Aptos" w:eastAsia="Aptos"/>
          <w:color w:val="000000"/>
          <w:sz w:val="22"/>
        </w:rPr>
        <w:t>A05</w:t>
      </w:r>
    </w:p>
    <w:tbl>
      <w:tblPr>
        <w:tblStyle w:val="TableGrid"/>
        <w:tblW w:type="auto" w:w="0"/>
        <w:tblLayout w:type="fixed"/>
        <w:tblLook w:firstColumn="1" w:firstRow="1" w:lastColumn="0" w:lastRow="0" w:noHBand="0" w:noVBand="1" w:val="04A0"/>
      </w:tblPr>
      <w:tblGrid>
        <w:gridCol w:w="4968"/>
        <w:gridCol w:w="4968"/>
      </w:tblGrid>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Problem confirmed or not confirmed</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Confirmed, with moderate strength. The participant experienced difficulty translating general admissions data into a personalized and balanced school list.</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Evidence supporting that judgment</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The participant relied on a school planning teacher because public acceptance rates and rankings did not provide enough context for an international applicant's individual profile. The participant also described information as fragmented across official sites, third-party platforms, and student sources.</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Most revealing exact quote</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"The hardest part was turning general admissions information into something personal."</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Emotional intensity (1-10)</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6/10. The participant described meaningful uncertainty and time cost, but school counseling reduced the stress.</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Current solution</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School college planning teacher, official university websites, college search/ranking sites, and student-created online content.</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Time or money already spent</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Significant research time. No separate outside admissions agency or private counseling fee for school-list building.</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Reaction to the proposed solution</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Positive as a starting point, especially if the tool explains recommendations and considers multiple personal factors.</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Biggest concern</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Outdated data, oversimplification of international applicants, and false precision in admissions probability.</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Referral / follow-up / prototype / purchase commitment</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Knows former classmates who may be relevant; willing to ask them. Open to a follow-up interview and prototype test. Would not pre-purchase before seeing evidence of quality.</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Most surprising finding</w:t>
            </w:r>
          </w:p>
        </w:tc>
        <w:tc>
          <w:tcPr>
            <w:tcW w:type="dxa" w:w="6408"/>
            <w:vAlign w:val="center"/>
            <w:tcMar>
              <w:top w:w="100" w:type="dxa"/>
              <w:start w:w="120" w:type="dxa"/>
              <w:bottom w:w="100" w:type="dxa"/>
              <w:end w:w="120" w:type="dxa"/>
            </w:tcMar>
          </w:tcPr>
          <w:p>
            <w:pPr>
              <w:spacing w:after="0" w:line="252" w:lineRule="auto"/>
            </w:pPr>
            <w:r/>
            <w:r>
              <w:rPr>
                <w:rFonts w:ascii="Aptos" w:hAnsi="Aptos" w:eastAsia="Aptos"/>
                <w:b w:val="0"/>
                <w:color w:val="000000"/>
                <w:sz w:val="21"/>
              </w:rPr>
              <w:t>The perceived value of the tool may depend strongly on whether a student already has access to a knowledgeable school counselor.</w:t>
            </w:r>
          </w:p>
        </w:tc>
      </w:tr>
      <w:tr>
        <w:tc>
          <w:tcPr>
            <w:tcW w:type="dxa" w:w="2952"/>
            <w:vAlign w:val="center"/>
            <w:tcMar>
              <w:top w:w="100" w:type="dxa"/>
              <w:start w:w="120" w:type="dxa"/>
              <w:bottom w:w="100" w:type="dxa"/>
              <w:end w:w="120" w:type="dxa"/>
            </w:tcMar>
            <w:shd w:fill="DCE6F1"/>
          </w:tcPr>
          <w:p>
            <w:pPr>
              <w:spacing w:after="0" w:line="252" w:lineRule="auto"/>
            </w:pPr>
            <w:r/>
            <w:r>
              <w:rPr>
                <w:rFonts w:ascii="Aptos" w:hAnsi="Aptos" w:eastAsia="Aptos"/>
                <w:b/>
                <w:color w:val="000000"/>
                <w:sz w:val="21"/>
              </w:rPr>
              <w:t>Signal</w:t>
            </w:r>
          </w:p>
        </w:tc>
        <w:tc>
          <w:tcPr>
            <w:tcW w:type="dxa" w:w="6408"/>
            <w:vAlign w:val="center"/>
            <w:tcMar>
              <w:top w:w="100" w:type="dxa"/>
              <w:start w:w="120" w:type="dxa"/>
              <w:bottom w:w="100" w:type="dxa"/>
              <w:end w:w="120" w:type="dxa"/>
            </w:tcMar>
            <w:shd w:fill="F7F9FC"/>
          </w:tcPr>
          <w:p>
            <w:pPr>
              <w:spacing w:after="0" w:line="252" w:lineRule="auto"/>
            </w:pPr>
            <w:r/>
            <w:r>
              <w:rPr>
                <w:rFonts w:ascii="Aptos" w:hAnsi="Aptos" w:eastAsia="Aptos"/>
                <w:b w:val="0"/>
                <w:color w:val="000000"/>
                <w:sz w:val="21"/>
              </w:rPr>
              <w:t>Yellow-to-green signal. The problem is real and the concept is useful, but trust, transparency, and data quality are necessary before the participant would rely on or pay for the product.</w:t>
            </w:r>
          </w:p>
        </w:tc>
      </w:tr>
    </w:tbl>
    <w:p>
      <w:pPr>
        <w:spacing w:after="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 Interview Snapshot A05</dc:title>
  <dc:subject>Extracted interview snapshot</dc:subject>
  <dc:creator>AIDI Student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