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eastAsia="Aptos"/>
          <w:b/>
          <w:color w:val="000000"/>
          <w:sz w:val="40"/>
        </w:rPr>
        <w:t>Post Interview Snapshot</w:t>
      </w:r>
    </w:p>
    <w:p>
      <w:pPr>
        <w:spacing w:after="240"/>
      </w:pPr>
      <w:r>
        <w:rPr>
          <w:rFonts w:ascii="Aptos" w:hAnsi="Aptos" w:eastAsia="Aptos"/>
          <w:b/>
          <w:color w:val="000000"/>
          <w:sz w:val="22"/>
        </w:rPr>
        <w:t xml:space="preserve">Participant Code: </w:t>
      </w:r>
      <w:r>
        <w:rPr>
          <w:rFonts w:ascii="Aptos" w:hAnsi="Aptos" w:eastAsia="Aptos"/>
          <w:color w:val="000000"/>
          <w:sz w:val="22"/>
        </w:rPr>
        <w:t>B01</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952"/>
            <w:vAlign w:val="center"/>
            <w:tcMar>
              <w:top w:w="100" w:type="dxa"/>
              <w:start w:w="120" w:type="dxa"/>
              <w:bottom w:w="100" w:type="dxa"/>
              <w:end w:w="120" w:type="dxa"/>
            </w:tcMar>
            <w:shd w:fill="1F4E78"/>
          </w:tcPr>
          <w:p>
            <w:pPr>
              <w:spacing w:after="0" w:line="252" w:lineRule="auto"/>
              <w:jc w:val="center"/>
            </w:pPr>
            <w:r/>
            <w:r>
              <w:rPr>
                <w:rFonts w:ascii="Aptos" w:hAnsi="Aptos" w:eastAsia="Aptos"/>
                <w:b/>
                <w:color w:val="FFFFFF"/>
                <w:sz w:val="21"/>
              </w:rPr>
              <w:t>Required Item</w:t>
            </w:r>
          </w:p>
        </w:tc>
        <w:tc>
          <w:tcPr>
            <w:tcW w:type="dxa" w:w="6408"/>
            <w:vAlign w:val="center"/>
            <w:tcMar>
              <w:top w:w="100" w:type="dxa"/>
              <w:start w:w="120" w:type="dxa"/>
              <w:bottom w:w="100" w:type="dxa"/>
              <w:end w:w="120" w:type="dxa"/>
            </w:tcMar>
            <w:shd w:fill="1F4E78"/>
          </w:tcPr>
          <w:p>
            <w:pPr>
              <w:spacing w:after="0" w:line="252" w:lineRule="auto"/>
              <w:jc w:val="center"/>
            </w:pPr>
            <w:r/>
            <w:r>
              <w:rPr>
                <w:rFonts w:ascii="Aptos" w:hAnsi="Aptos" w:eastAsia="Aptos"/>
                <w:b/>
                <w:color w:val="FFFFFF"/>
                <w:sz w:val="21"/>
              </w:rPr>
              <w:t>Snapshot</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Problem confirmed or not confirmed</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Not strongly confirmed; partial evidence only.</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Evidence supporting that judgment</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The participant reported information overload (“感觉太多信息了，简单看了下”) and difficulty finding major information, and repeatedly checked tuition. However, the participant said the information overload did not affect the final decision; the larger scholarship at Juniata was more decisive.</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Most revealing exact quote</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“感觉太多信息了，简单看了下” (“It felt like there was too much information, so I just looked at it briefly.”)</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Emotional intensity from 1 to 10</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2/10 — interviewer assessment based on the low-stress, low-urgency responses; the participant did not provide a self-rating.</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Current solution</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QS rankings, school official websites, Rate My College, and AI search / AI comparison.</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Time or money already spent</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Time: Not discussed. Money: No paid research tools, rankings, counseling, or intermediary services were reported.</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Reaction to the proposed solution</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Positive on convenience (“很方便”). Most useful: tuition and scholarships. Missing: rankings. The participant said a one-page summary would make research more concise and clear.</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Biggest concern</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No major trust concern was stated. The participant said a page with missing information could feel incomplete.</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Referral, follow-up, prototype, or purchase commitment</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Referral: none available. Follow-up / prototype: declined. $10 pre-purchase: declined because the participant expects to graduate early.</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Most surprising finding</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When asked what should change about college research, the participant prioritized simplifying direct communication with admissions officers rather than improving school-information search itself.</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Green, yellow, or red signal with an explanation</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Yellow signal. The concept was perceived as convenient and specific useful fields were identified, but the original research problem showed low impact and urgency. There was no paid behavior, no follow-up/prototype commitment, and no purchase commitment. The participant’s current stage also reduces present need for the product.</w:t>
            </w:r>
          </w:p>
        </w:tc>
      </w:tr>
    </w:tbl>
    <w:p>
      <w:pPr>
        <w:spacing w:after="0"/>
      </w:pPr>
    </w:p>
    <w:p>
      <w:pPr>
        <w:spacing w:after="120" w:line="259" w:lineRule="auto"/>
      </w:pPr>
      <w:r>
        <w:rPr>
          <w:rFonts w:ascii="Aptos" w:hAnsi="Aptos" w:eastAsia="Aptos"/>
          <w:b/>
          <w:color w:val="000000"/>
          <w:sz w:val="22"/>
        </w:rPr>
        <w:t>Research integrity note:</w:t>
      </w:r>
      <w:r>
        <w:rPr>
          <w:rFonts w:ascii="Aptos" w:hAnsi="Aptos" w:eastAsia="Aptos"/>
          <w:color w:val="000000"/>
          <w:sz w:val="22"/>
        </w:rPr>
        <w:t xml:space="preserve"> No missing participant information was invented. Where the interview did not establish a fact, the document states “Not discussed” or clearly labels interviewer assessment.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Interview Snapshot B01</dc:title>
  <dc:subject>Extracted interview snapshot</dc:subject>
  <dc:creator>AIDI Student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