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CA-PP 3 项（含带外镜像族）消融实验报告</w:t>
      </w:r>
    </w:p>
    <w:p>
      <w:pPr>
        <w:pStyle w:val="Heading2"/>
      </w:pPr>
      <w:r>
        <w:t>0. 摘要</w:t>
      </w:r>
    </w:p>
    <w:p>
      <w:pPr>
        <w:widowControl/>
      </w:pPr>
      <w:r>
        <w:t>本报告检验唯一目标：在载波分辨 PP 族基中加入带外镜像族 [[0,2],[1,-1]]（2c0−c1）及其频移 −162.494 MHz 后，单频 group1 case17 的对消改善是否发生净变化。自变量仅为 ca_terms 项数（2 项 → 3 项），其余条件（数据、seed、预算、模型、build_L1C:false、share_L30_across_terms:true 等）逐字保持一致。</w:t>
      </w:r>
    </w:p>
    <w:p>
      <w:pPr>
        <w:widowControl/>
      </w:pPr>
      <w:r>
        <w:t>结论：本轮四臂（A 基线重跑 / B ca_pp_2term / C ca_pp_3term / D ca_k1_control）全部 status=completed，failures=0（execution/batch_summary.json）。处理臂 C improvement_db = 17.20984，相对对照臂 B 的 17.18968 净差值 +0.02016 dB（≥0），相对本轮同快照基线 A 的 17.17516 高出 +0.03468 dB；参数量实数等效量 4704（= 基线 6784 的 69.3% ≤ 80% 门限 5427.2）。因此在本轮同快照口径下 C 同时满足「参数量 ≤ 5427.2」与「improvement_db ≥ 合同门限 17.175」两项达标条件。</w:t>
      </w:r>
    </w:p>
    <w:p>
      <w:pPr>
        <w:widowControl/>
      </w:pPr>
      <w:r>
        <w:t>必须同时声明的限制：本结论基于单 seed（42）单数据集（singleband_g1_c17）单 case（case17）单次运行，净差值幅度（+0.02 dB 量级）与最大残差指标（C 的 maxRES 反而高于 B 约 +0.357 dB）之间存在方向不一致，不能外推为「带外镜像族普适有效」的结论，只能登记为「在本次设置下未观察到劣化且均值判据略优」的待验证假设。</w:t>
      </w:r>
    </w:p>
    <w:p>
      <w:pPr>
        <w:pStyle w:val="Heading2"/>
      </w:pPr>
      <w:r>
        <w:t>1. 研究背景与可证伪假设</w:t>
      </w:r>
    </w:p>
    <w:p>
      <w:pPr>
        <w:pStyle w:val="Heading3"/>
      </w:pPr>
      <w:r>
        <w:t>1.1 物理与建模背景</w:t>
      </w:r>
    </w:p>
    <w:p>
      <w:pPr>
        <w:widowControl/>
      </w:pPr>
      <w:r>
        <w:t>项目研究多通道基站无源互调（PIM）对消：由已知 TX 基带 IQ 预测落入 RX 带的 PIM 并减去（见项目 README.md）。本地单频参考场景的 TX 实为双载波（载波带宽 5/10 MHz，位于下行带内），因此即使在「单频段」语义下也存在载波间互调 2c1−c0、2c0−c1 等族基项。PP（物理先验）用于显式注入互调项的射频中心与相对 RX 的频移，把幅度非线性交给 LUT，把频率位置交给固定相位搬移（README.md 第 6 节）。</w:t>
      </w:r>
    </w:p>
    <w:p>
      <w:pPr>
        <w:pStyle w:val="Heading3"/>
      </w:pPr>
      <w:r>
        <w:t>1.2 本轮唯一可证伪假设</w:t>
      </w:r>
    </w:p>
    <w:p>
      <w:pPr>
        <w:widowControl/>
      </w:pPr>
      <w:r>
        <w:t>在其余条件与上一轮完全一致时，把载波分辨 PP 族基由 2 项（0 阶全带锚点 full + 观察带内 IM3 族 [[1,2],[0,-1]]）扩展为 3 项（追加带外镜像族 [[0,2],[1,-1]]）后：</w:t>
      </w:r>
    </w:p>
    <w:p>
      <w:pPr>
        <w:pStyle w:val="ListBullet"/>
        <w:widowControl/>
      </w:pPr>
      <w:r>
        <w:t>H1（参数量）：parameters_real_equivalent 保持 4704 不变（相对基线 6784 的 69.3% ≤ 80%）。</w:t>
      </w:r>
    </w:p>
    <w:p>
      <w:pPr>
        <w:pStyle w:val="ListBullet"/>
        <w:widowControl/>
      </w:pPr>
      <w:r>
        <w:t>H2（性能）：improvement_db 相对 2 项对照的净差值 ≥ 0（不劣化），且不劣于合同固定门限 17.175。</w:t>
      </w:r>
    </w:p>
    <w:p>
      <w:pPr>
        <w:widowControl/>
      </w:pPr>
      <w:r>
        <w:t>若净差值 &lt; 0，则说明带外镜像族（其族中心位于观察带外）对带内 PIM 对消无正贡献或引入干扰——这正是本消融要判定的事实。</w:t>
      </w:r>
    </w:p>
    <w:p>
      <w:pPr>
        <w:widowControl/>
      </w:pPr>
      <w:r>
        <w:t>来源：experiment/experiment_plan.approved.md 第 1 节；合同 task.v1 达标口径。</w:t>
      </w:r>
    </w:p>
    <w:p>
      <w:pPr>
        <w:pStyle w:val="Heading2"/>
      </w:pPr>
      <w:r>
        <w:t>2. 方法与实验设置</w:t>
      </w:r>
    </w:p>
    <w:p>
      <w:pPr>
        <w:pStyle w:val="Heading3"/>
      </w:pPr>
      <w:r>
        <w:t>2.1 实际落地的改动（来自 coding/code_spec.approved.md）</w:t>
      </w:r>
    </w:p>
    <w:p>
      <w:pPr>
        <w:widowControl/>
      </w:pPr>
      <w:r>
        <w:t>净改动 3 个文件，均已在代码层面复核：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configs/singleband_g1_c17_ca_pp_3term.yaml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added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由 2 项对照配置派生，仅改 output、追加 pp_shifts_mhz: -162.494 与 ca_terms: {carriers: [[0,2],[1,-1]]}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tests/test_ca_pp_3term.py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added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4 个用例：与 2 项逐字差异、shift 一致性、模型激活与实数参数量 4704 与前向有限、shift 篡改抛 ValueError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tests/test_mars_train_protocol.py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modified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在 APPROVED_CONFIGS 字典登记 ca_pp_3term 一行</w:t>
            </w:r>
          </w:p>
        </w:tc>
      </w:tr>
    </w:tbl>
    <w:p/>
    <w:p>
      <w:pPr>
        <w:widowControl/>
      </w:pPr>
      <w:r>
        <w:t>未改动受保护路径 baseline/、评测器 main.py::evaluate_saved、训练入口 tools/mars_train.py 与模型 libs/Model.py。</w:t>
      </w:r>
    </w:p>
    <w:p>
      <w:pPr>
        <w:pStyle w:val="Heading3"/>
      </w:pPr>
      <w:r>
        <w:t>2.2 族中心与 shift 自洽性（在代码层复核）</w:t>
      </w:r>
    </w:p>
    <w:p>
      <w:pPr>
        <w:widowControl/>
      </w:pPr>
      <w:r>
        <w:t>模型 libs/Model.py::_parse_ca_config 语义为：期望 shift = ca_term_center_mhz(term) − f_rx，与配置 pp_shifts_mhz 偏差超 1e-3 即抛 ValueError。据载波 [[-9.799,4.927],[35.196,4.916]]、f_rx = 107.7：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ca_term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族中心 (MHz)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期望 shift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配置值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观察带关系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−107.7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−107.7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锚点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[[1,2],[0,-1]] = 2c1−c0 = 80.191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80.191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−27.509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−27.509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落在观察带 −27.5±2.5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[[0,2],[1,-1]] = 2c0−c1 = −54.794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−54.794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−162.494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−162.494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带外镜像族</w:t>
            </w:r>
          </w:p>
        </w:tc>
      </w:tr>
    </w:tbl>
    <w:p/>
    <w:p>
      <w:pPr>
        <w:widowControl/>
      </w:pPr>
      <w:r>
        <w:t>三项自洽，tests/test_ca_pp_3term.py::test_three_term_shift_consistency_from_carriers 在真实配置上复算通过。configs/singleband_g1_c17_ca_pp_keepL1C.yaml 仅作为第 3 项与 shift 的参考（其 build_L1C:true），不作本轮主配置。</w:t>
      </w:r>
    </w:p>
    <w:p>
      <w:pPr>
        <w:pStyle w:val="Heading3"/>
      </w:pPr>
      <w:r>
        <w:t>2.3 变量控制与对照臂</w:t>
      </w:r>
    </w:p>
    <w:p>
      <w:pPr>
        <w:pStyle w:val="ListBullet"/>
        <w:widowControl/>
      </w:pPr>
      <w:r>
        <w:t>自变量（唯一）：ca_terms 项数 2 vs 3，差异仅在是否纳入带外镜像族与其 shift。</w:t>
      </w:r>
    </w:p>
    <w:p>
      <w:pPr>
        <w:pStyle w:val="ListBullet"/>
        <w:widowControl/>
      </w:pPr>
      <w:r>
        <w:t>控制变量（逐字一致）：数据 singleband_g1_c17，16 通道 (16,30720)；seed=42；budget_steps=3588；build_L1C=false；share_L30_across_terms=true；pp_shift_mode=anchor；f_rx_mhz=107.7；前两项 pp_shifts_mhz=-107.7/-27.509；模型 MD7L_FCLNFC_2lut_tf（Ntx/Nrx/Nrank/Nbranch=16, Nspline=32, shareLUTs=1, batch_size=2048, circle_num=300, lr_init=1e-3）；评测协议 eval_centers_mhz=-27.5, BW_PIM=5.0, eval_trim=256。</w:t>
      </w:r>
    </w:p>
    <w:p>
      <w:pPr>
        <w:pStyle w:val="ListBullet"/>
        <w:widowControl/>
      </w:pPr>
      <w:r>
        <w:t>因变量：主 improvement_db；次 RES、maxRES、PER_THD、parameters_real_equivalent。</w:t>
      </w:r>
    </w:p>
    <w:p>
      <w:pPr>
        <w:pStyle w:val="Heading3"/>
      </w:pPr>
      <w:r>
        <w:t>2.4 四臂执行矩阵与实际运行状态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臂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config_path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seed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max_iters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实际状态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baseline_rerun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configs/singleband_g1_c17_baseline.yaml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ca_pp_2term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ca_pp_3term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configs/singleband_g1_c17_ca_pp_3term.yaml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ca_k1_control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configs/singleband_g1_c17_ca_k1.yaml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</w:tbl>
    <w:p/>
    <w:p>
      <w:pPr>
        <w:widowControl/>
      </w:pPr>
      <w:r>
        <w:t>execution/batch_summary.json 报告 total=4, failures=0, max_concurrency=1，各臂 attempt=1。</w:t>
      </w:r>
    </w:p>
    <w:p>
      <w:pPr>
        <w:pStyle w:val="Heading3"/>
      </w:pPr>
      <w:r>
        <w:t>2.5 基线与 K=1 对照的复用判定</w:t>
      </w:r>
    </w:p>
    <w:p>
      <w:pPr>
        <w:widowControl/>
      </w:pPr>
      <w:r>
        <w:t>按批准方案 baseline_ref.reuse_decision = rerun：由于上一轮已批准报告在本次运行上下文中不可获取（不是本 run 的可用文件）、knowledge.baseline_match 返回 match_score=0.0 / reuse_recommended=false，且读取元数据显示 libs/Model.py 等存在版本漂移，无法证实「同快照复用」，故 A/B/D 与 C 在同一代码快照内重跑以保证 C−B 与 C−基线比较的内部有效性。本轮未复用上一轮任何实测量；合同门限 6784 与 17.175 来自任务合同与代码断言，非本轮测量。</w:t>
      </w:r>
    </w:p>
    <w:p>
      <w:pPr>
        <w:pStyle w:val="Heading3"/>
      </w:pPr>
      <w:r>
        <w:t>2.6 训练预算说明（重要口径）</w:t>
      </w:r>
    </w:p>
    <w:p>
      <w:pPr>
        <w:widowControl/>
      </w:pPr>
      <w:r>
        <w:t>配置矩阵名义预算为 budget_steps=3588（= circle_samelayer × (circle_num − 1) = 12 × 299）。但四臂实测 optimizer_steps = 3289（见 execution/metrics.json），由训练循环的边界批次裁剪决定。四臂在 optimizer_steps 上逐字一致（均为 3289），故 C−B 为同实际预算对照；报告以实测 3289为准，名义 3588 不等同于实测步数。</w:t>
      </w:r>
    </w:p>
    <w:p>
      <w:pPr>
        <w:pStyle w:val="Heading2"/>
      </w:pPr>
      <w:r>
        <w:t>3. 实际结果</w:t>
      </w:r>
    </w:p>
    <w:p>
      <w:pPr>
        <w:pStyle w:val="Heading3"/>
      </w:pPr>
      <w:r>
        <w:t>3.1 逐臂实测指标（来自 execution/metrics.json 与各臂 evaluation.json）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/>
        </w:trPr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臂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improvement_db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RES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maxRES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PER_THD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parameters_real_equivalent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active_parameters_real_equivalent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optimizer_steps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seconds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A baseline_rerun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17.17516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5.24577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9.18777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18.69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6784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392.60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B ca_pp_2term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17.18968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5.23125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9.01284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18.71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530.77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C ca_pp_3term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5.21109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9.36964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18.74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456.59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D ca_k1_control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17.17516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5.24577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9.18777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18.69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349.58</w:t>
            </w:r>
          </w:p>
        </w:tc>
      </w:tr>
    </w:tbl>
    <w:p/>
    <w:p>
      <w:pPr>
        <w:widowControl/>
      </w:pPr>
      <w:r>
        <w:t>指标方向与口径：improvement_db 越大越好；RES、maxRES 越小越好；PER_THD 为阈值口径统计量（越高越好，具体定义见评测器 main.py::evaluate_saved）；parameters_real_equivalent 为实数等效参数量（复数参数计 2）。PIM = 22.420933 四臂一致，rx_rank = 12 四臂一致，covered_points = 24564 / declared_points = 24576 四臂一致。</w:t>
      </w:r>
    </w:p>
    <w:p>
      <w:pPr>
        <w:pStyle w:val="Heading3"/>
      </w:pPr>
      <w:r>
        <w:t>3.2 主比较：C（3 项）− B（2 项）净差值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B (2term)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 (3term)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净差值 (C−B)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improvement_db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17.18968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+0.02016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RES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5.23125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5.21109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−0.02016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maxRES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9.01284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9.36964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+0.35681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劣于 B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PER_THD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18.71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18.74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+0.03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parameters_real_equivalent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不变</w:t>
            </w:r>
          </w:p>
        </w:tc>
      </w:tr>
    </w:tbl>
    <w:p/>
    <w:p>
      <w:pPr>
        <w:pStyle w:val="Heading3"/>
      </w:pPr>
      <w:r>
        <w:t>3.3 判读</w:t>
      </w:r>
    </w:p>
    <w:p>
      <w:pPr>
        <w:pStyle w:val="ListBullet"/>
        <w:widowControl/>
      </w:pPr>
      <w:r>
        <w:t>H1 成立：C 参数量 4704，与 B 相同；share_L30_across_terms:true 使 L30 维度 = R 与 Npp 无关，故 2/3 项参数量在结构上相等。4704/6784 = 69.3% ≤ 80%（5427.2）。</w:t>
      </w:r>
    </w:p>
    <w:p>
      <w:pPr>
        <w:pStyle w:val="ListBullet"/>
        <w:widowControl/>
      </w:pPr>
      <w:r>
        <w:t>H2 在均值判据上成立：C−B 净差 +0.02016 dB ≥ 0，且 C = 17.20984 ≥ 门限 17.175。</w:t>
      </w:r>
    </w:p>
    <w:p>
      <w:pPr>
        <w:pStyle w:val="ListBullet"/>
        <w:widowControl/>
      </w:pPr>
      <w:r>
        <w:t>但方向不一致：C 的 maxRES = 9.36964 是同组四臂中最大者，比 B 高 +0.35681 dB；而 D（K=1 对照）与 A（基线）在 improvement_db/RES/maxRES/PER_THD 上逐字一致（均 17.17516 / 5.24577 / 9.18777 / 18.69），说明 K=1 退化臂前向确与基线一致，D 的角色校验通过。</w:t>
      </w:r>
    </w:p>
    <w:p>
      <w:pPr>
        <w:pStyle w:val="ListBullet"/>
        <w:widowControl/>
      </w:pPr>
      <w:r>
        <w:t>幅度评价：本轮净差值 +0.02 dB 与其他臂间/臂内散布（如 A 与 C 的 maxRES 相差 0.18~0.36 dB）同量级，不足以在上述指标上支撑「带外镜像族带来实质性改善」的强结论；也无法排除单 seed 的运行变差。</w:t>
      </w:r>
    </w:p>
    <w:p>
      <w:pPr>
        <w:pStyle w:val="Heading2"/>
      </w:pPr>
      <w:r>
        <w:t>4. 达标判定（沿用上一轮口径）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门限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 实测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参数量实数等效量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≤ 5427.2（= 6784 × 80%）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满足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improvement_db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≥ 17.175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满足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3term 相对 2term 净差值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报告项（无门限）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+0.02016 dB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已报告</w:t>
            </w:r>
          </w:p>
        </w:tc>
      </w:tr>
    </w:tbl>
    <w:p/>
    <w:p>
      <w:pPr>
        <w:widowControl/>
      </w:pPr>
      <w:r>
        <w:t>诊断 diagnosis/diagnosis.v1.md 记录 passed: true、confidence: 1.0、recommended_action: Proceed to Writing with the successful run evidence。</w:t>
      </w:r>
    </w:p>
    <w:p>
      <w:pPr>
        <w:pStyle w:val="Heading2"/>
      </w:pPr>
      <w:r>
        <w:t>5. 证据链与复现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产物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引用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方案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experiment_plan.v1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experiment/experiment_plan.approved.md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代码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code_spec.v1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coding/code_spec.approved.md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执行清单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run_log.v1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execution/run_log.approved.md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execution/local_commands/A_baseline_rerun/e3fedb7c1dbd4cff91a088e035226974/evaluation.json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B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execution/local_commands/B_ca_pp_2term/1a9da08782ae44d3a1d3c8c8217945a9/evaluation.json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execution/local_commands/C_ca_pp_3term/a3fac473a8c647ebafa0b190b826e75a/evaluation.json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D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execution/local_commands/D_ca_k1_control/9ab8f6b3522a42f895bdcf1ee362d009/evaluation.json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聚合指标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metrics.json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execution/metrics.json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批次汇总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batch_summary.json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execution/batch_summary.json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收敛曲线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loss_curves_16.png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execution/loss_curves_16.png</w:t>
            </w:r>
          </w:p>
        </w:tc>
      </w:tr>
    </w:tbl>
    <w:p/>
    <w:p>
      <w:pPr>
        <w:pStyle w:val="ListBullet"/>
        <w:widowControl/>
      </w:pPr>
      <w:r>
        <w:t>代码仓与分支：项目代码仓 D:\a_documents\AGT\CDX\MARS_workspace\项目材料\baseline7L（只读），实验分支 mars/2026-10-13T0140_pimc_ca_pp_3term_g1c17-f33b9e4125c8，基线分支 mars/2026-10-11T1824_pimc_ca_sparsity_g1c17-f35e74ad6cc4，基线提交 b1fa4fd5d8d22d92ce015c295d8a1ebe40b1c03b。</w:t>
      </w:r>
    </w:p>
    <w:p>
      <w:pPr>
        <w:pStyle w:val="ListBullet"/>
        <w:widowControl/>
      </w:pPr>
      <w:r>
        <w:t>每臂输出目录（配置默认值与宿主实际作业目录以 execution/job_files 为准）：A .../A_baseline_rerun/...、B .../B_ca_pp_2term/...、C .../C_ca_pp_3term/...、D .../D_ca_k1_control/...，各自含 evaluation.json、training.csv、validation_signals.npz、channel_performance.csv、config.json、runtime_evidence.json、execution_receipt.json。</w:t>
      </w:r>
    </w:p>
    <w:p>
      <w:pPr>
        <w:pStyle w:val="ListBullet"/>
        <w:widowControl/>
      </w:pPr>
      <w:r>
        <w:t>复现说明：A/C 的 training.csv 哈希不同（b0bce34... vs 06660f1c...）、validation_signals.npz 哈希不同（ffbafe48... vs c747ef2e...），说明两臂虽配置除族基项外逐字一致，训练轨迹与验证信号并非逐字节可复现——这与「不同 Npp 改变输入通道数」的机制一致（Npp=2 vs 3 使 TX 输入列数不同），因此参数量相同不代表计算图相同。</w:t>
      </w:r>
    </w:p>
    <w:p>
      <w:pPr>
        <w:pStyle w:val="Heading2"/>
      </w:pPr>
      <w:r>
        <w:t>6. 局限、归因边界与下一步</w:t>
      </w:r>
    </w:p>
    <w:p>
      <w:pPr>
        <w:pStyle w:val="Heading3"/>
      </w:pPr>
      <w:r>
        <w:t>6.1 已验证结果（可确证）</w:t>
      </w:r>
    </w:p>
    <w:p>
      <w:pPr>
        <w:pStyle w:val="ListBullet"/>
        <w:widowControl/>
      </w:pPr>
      <w:r>
        <w:t>四臂均完成，无失败（execution/batch_summary.json，failures=0）。</w:t>
      </w:r>
    </w:p>
    <w:p>
      <w:pPr>
        <w:pStyle w:val="ListBullet"/>
        <w:widowControl/>
      </w:pPr>
      <w:r>
        <w:t>C 在同快照、同 seed、同实际预算口径下满足合同达标口径（参数量 4704 ≤ 5427.2；improvement_db 17.20984 ≥ 17.175）。</w:t>
      </w:r>
    </w:p>
    <w:p>
      <w:pPr>
        <w:pStyle w:val="ListBullet"/>
        <w:widowControl/>
      </w:pPr>
      <w:r>
        <w:t>C−B 净差值 +0.02016 dB，且 D（K=1）与 A（基线）四项指标逐字一致，佐证执行入口与基线一致性。</w:t>
      </w:r>
    </w:p>
    <w:p>
      <w:pPr>
        <w:pStyle w:val="ListBullet"/>
        <w:widowControl/>
      </w:pPr>
      <w:r>
        <w:t>族中心/shift 三项自洽，tests/test_ca_pp_3term.py 在真实配置上通过（coding/code_spec.approved.md 报告 65 passed）。</w:t>
      </w:r>
    </w:p>
    <w:p>
      <w:pPr>
        <w:pStyle w:val="Heading3"/>
      </w:pPr>
      <w:r>
        <w:t>6.2 待验证假设（不可据此断言必然改善或代码缺陷）</w:t>
      </w:r>
    </w:p>
    <w:p>
      <w:pPr>
        <w:pStyle w:val="ListBullet"/>
        <w:widowControl/>
      </w:pPr>
      <w:r>
        <w:t>带外镜像族的正贡献幅度与显著性：单 seed、单 case 下 +0.02 dB 与指标散布同量级，且 maxRES 反向（C 更高）表明可能在个别通道/峰值上引入干扰。建议多 seed（≥3）重复 C 与 B，报告净差值的分布与置信区间。</w:t>
      </w:r>
    </w:p>
    <w:p>
      <w:pPr>
        <w:pStyle w:val="ListBullet"/>
        <w:widowControl/>
      </w:pPr>
      <w:r>
        <w:t>带外镜像族与观察带内 PIM 的相位/幅度耦合机制，以及 share_L30_across_terms 共享映射是否限制了族基项的表达上限，均尚未通过消融逐一隔离。</w:t>
      </w:r>
    </w:p>
    <w:p>
      <w:pPr>
        <w:pStyle w:val="ListBullet"/>
        <w:widowControl/>
      </w:pPr>
      <w:r>
        <w:t>未取得 loss_curves_16.png 的曲线标签与数值内容，故不宣称「单调收敛」；收敛性判断应引用 training.csv 逐 step 记录。</w:t>
      </w:r>
    </w:p>
    <w:p>
      <w:pPr>
        <w:pStyle w:val="Heading3"/>
      </w:pPr>
      <w:r>
        <w:t>6.3 下一步所需验证</w:t>
      </w:r>
    </w:p>
    <w:p>
      <w:pPr>
        <w:pStyle w:val="ListBullet"/>
        <w:widowControl/>
      </w:pPr>
      <w:r>
        <w:t>多 seed（42/其他）重复 A/B/C/D，以区分真实效应与运行变差。</w:t>
      </w:r>
    </w:p>
    <w:p>
      <w:pPr>
        <w:pStyle w:val="ListBullet"/>
        <w:widowControl/>
      </w:pPr>
      <w:r>
        <w:t>增加「仅带外镜像族、去掉 IM3 带内族」的对照，判定镜像族信息的独立贡献。</w:t>
      </w:r>
    </w:p>
    <w:p>
      <w:pPr>
        <w:pStyle w:val="ListBullet"/>
        <w:widowControl/>
      </w:pPr>
      <w:r>
        <w:t>在 channel_performance.csv 层面核查 C 的 maxRES 抬升来自哪些通道/方向，确认是否需要重加权。</w:t>
      </w:r>
    </w:p>
    <w:p>
      <w:pPr>
        <w:pStyle w:val="Heading2"/>
      </w:pPr>
      <w:r>
        <w:t>7. 结论</w:t>
      </w:r>
    </w:p>
    <w:p>
      <w:pPr>
        <w:widowControl/>
      </w:pPr>
      <w:r>
        <w:t>在本轮同代码快照、单 seed（42）、单数据集（singleband_g1_c17）、单 case（case17）、实测 3289 步预算的统一口径下：把带外镜像族 [[0,2],[1,-1]] 纳入载波分辨 PP 族基（2 项 → 3 项）后，参数量实数等效量保持 4704 不变，improvement_db 相对 2 项对照净增 +0.02016 dB，达到合同门限 17.175（实测 17.20984），满足达标口径。 与此同时，maxRES 出现 +0.357 dB 的反向变化，说明该结论仅适用于平均改善判据，峰残差维度未获益。该结果登记为支持假设 H1/H2 的单次测量，不构成「带外镜像族普适有效」的推广性结论。</w:t>
      </w:r>
    </w:p>
    <w:p>
      <w:pPr>
        <w:widowControl/>
      </w:pPr>
      <w:r>
        <w:t>本报告的所有数值均来自上文 chain_refs 所列真实作业收据与聚合指标，未引用上一轮任何未证实实测量。数据与 Memory 材料仅作背景参考，不作为实验证据。</w:t>
      </w:r>
    </w:p>
    <w:p>
      <w:pPr>
        <w:pStyle w:val="Heading1"/>
      </w:pPr>
      <w:r>
        <w:t>导出来源</w:t>
      </w:r>
    </w:p>
    <w:p>
      <w:r>
        <w:t>任务：2026-10-13T0140_pimc_ca_pp_3term_g1c17</w:t>
        <w:br/>
        <w:t>报告：writing/research_report.approved.md</w:t>
        <w:br/>
        <w:t>SHA-256：fc66e891388a12340689123baaa6ac0be468e4e306c626dfda46bf5532570058</w:t>
      </w:r>
    </w:p>
    <w:p>
      <w:pPr>
        <w:pStyle w:val="Heading2"/>
      </w:pPr>
      <w:r>
        <w:t>已记录的训练曲线</w:t>
      </w:r>
    </w:p>
    <w:p>
      <w:r>
        <w:drawing>
          <wp:inline xmlns:a="http://schemas.openxmlformats.org/drawingml/2006/main" xmlns:pic="http://schemas.openxmlformats.org/drawingml/2006/picture">
            <wp:extent cx="576072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7974f2fc0-loss_curves_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writing/deliverables/c81093c81fb54302b28cd9cad82485fc/images/b067974f2fc0-loss_curves_16.png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pimc_ca_pp_3term_g1c17</dc:title>
  <dc:subject/>
  <dc:creator>MARS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