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5B6E7">
      <w:pPr>
        <w:pStyle w:val="3"/>
        <w:bidi w:val="0"/>
        <w:rPr>
          <w:rFonts w:hint="default" w:ascii="Times New Roman" w:hAnsi="Times New Roman" w:eastAsia="宋体" w:cs="Times New Roman"/>
        </w:rPr>
      </w:pPr>
      <w:r>
        <w:rPr>
          <w:rFonts w:hint="default" w:ascii="Times New Roman" w:hAnsi="Times New Roman" w:eastAsia="宋体" w:cs="Times New Roman"/>
        </w:rPr>
        <w:t>候选研究选题、邻近文献与潜在研究空白</w:t>
      </w:r>
    </w:p>
    <w:p w14:paraId="087876CE">
      <w:pPr>
        <w:pStyle w:val="3"/>
        <w:widowControl/>
        <w:rPr>
          <w:rFonts w:hint="default" w:ascii="Times New Roman" w:hAnsi="Times New Roman" w:eastAsia="宋体" w:cs="Times New Roman"/>
        </w:rPr>
      </w:pPr>
      <w:bookmarkStart w:id="0" w:name="_GoBack"/>
      <w:bookmarkEnd w:id="0"/>
      <w:r>
        <w:rPr>
          <w:rFonts w:hint="default" w:ascii="Times New Roman" w:hAnsi="Times New Roman" w:eastAsia="宋体" w:cs="Times New Roman"/>
          <w:lang w:val="en-US" w:eastAsia="zh-CN"/>
        </w:rPr>
        <w:t>一</w:t>
      </w:r>
      <w:r>
        <w:rPr>
          <w:rFonts w:hint="default" w:ascii="Times New Roman" w:hAnsi="Times New Roman" w:eastAsia="宋体" w:cs="Times New Roman"/>
        </w:rPr>
        <w:t>、候选方向总览与初步优先级</w:t>
      </w:r>
    </w:p>
    <w:tbl>
      <w:tblPr>
        <w:tblStyle w:val="4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090"/>
        <w:gridCol w:w="2863"/>
        <w:gridCol w:w="1531"/>
      </w:tblGrid>
      <w:tr w14:paraId="65A5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tcBorders>
              <w:top w:val="single" w:color="000000" w:themeColor="dark1" w:sz="12" w:space="0"/>
              <w:left w:val="nil"/>
              <w:bottom w:val="single" w:color="000000" w:themeColor="dark1" w:sz="6" w:space="0"/>
              <w:right w:val="nil"/>
            </w:tcBorders>
            <w:shd w:val="clear" w:color="auto" w:fill="FFFFFF"/>
            <w:tcMar>
              <w:top w:w="105" w:type="dxa"/>
              <w:left w:w="100" w:type="dxa"/>
              <w:bottom w:w="105" w:type="dxa"/>
              <w:right w:w="100" w:type="dxa"/>
            </w:tcMar>
          </w:tcPr>
          <w:p w14:paraId="7248ECCB">
            <w:pPr>
              <w:spacing w:after="0"/>
              <w:rPr>
                <w:rFonts w:hint="default" w:ascii="Times New Roman" w:hAnsi="Times New Roman" w:eastAsia="宋体" w:cs="Times New Roman"/>
                <w:b/>
                <w:i w:val="0"/>
                <w:sz w:val="28"/>
                <w:szCs w:val="28"/>
              </w:rPr>
            </w:pPr>
            <w:r>
              <w:rPr>
                <w:rFonts w:hint="default" w:ascii="Times New Roman" w:hAnsi="Times New Roman" w:eastAsia="宋体" w:cs="Times New Roman"/>
                <w:b/>
                <w:i w:val="0"/>
                <w:color w:val="1B344A"/>
                <w:sz w:val="18"/>
                <w:szCs w:val="28"/>
              </w:rPr>
              <w:t>方向</w:t>
            </w:r>
          </w:p>
        </w:tc>
        <w:tc>
          <w:tcPr>
            <w:tcW w:w="3090" w:type="dxa"/>
            <w:tcBorders>
              <w:top w:val="single" w:color="000000" w:themeColor="dark1" w:sz="12" w:space="0"/>
              <w:left w:val="nil"/>
              <w:bottom w:val="single" w:color="000000" w:themeColor="dark1" w:sz="6" w:space="0"/>
              <w:right w:val="nil"/>
            </w:tcBorders>
            <w:shd w:val="clear" w:color="auto" w:fill="FFFFFF"/>
            <w:tcMar>
              <w:top w:w="105" w:type="dxa"/>
              <w:left w:w="100" w:type="dxa"/>
              <w:bottom w:w="105" w:type="dxa"/>
              <w:right w:w="100" w:type="dxa"/>
            </w:tcMar>
          </w:tcPr>
          <w:p w14:paraId="400C8658">
            <w:pPr>
              <w:spacing w:after="0"/>
              <w:rPr>
                <w:rFonts w:hint="default" w:ascii="Times New Roman" w:hAnsi="Times New Roman" w:eastAsia="宋体" w:cs="Times New Roman"/>
                <w:b/>
                <w:i w:val="0"/>
                <w:sz w:val="28"/>
                <w:szCs w:val="28"/>
              </w:rPr>
            </w:pPr>
            <w:r>
              <w:rPr>
                <w:rFonts w:hint="default" w:ascii="Times New Roman" w:hAnsi="Times New Roman" w:eastAsia="宋体" w:cs="Times New Roman"/>
                <w:b/>
                <w:i w:val="0"/>
                <w:color w:val="1B344A"/>
                <w:sz w:val="18"/>
                <w:szCs w:val="28"/>
              </w:rPr>
              <w:t>研究对象与核心张力</w:t>
            </w:r>
          </w:p>
        </w:tc>
        <w:tc>
          <w:tcPr>
            <w:tcW w:w="2863" w:type="dxa"/>
            <w:tcBorders>
              <w:top w:val="single" w:color="000000" w:themeColor="dark1" w:sz="12" w:space="0"/>
              <w:left w:val="nil"/>
              <w:bottom w:val="single" w:color="000000" w:themeColor="dark1" w:sz="6" w:space="0"/>
              <w:right w:val="nil"/>
            </w:tcBorders>
            <w:shd w:val="clear" w:color="auto" w:fill="FFFFFF"/>
            <w:tcMar>
              <w:top w:w="105" w:type="dxa"/>
              <w:left w:w="100" w:type="dxa"/>
              <w:bottom w:w="105" w:type="dxa"/>
              <w:right w:w="100" w:type="dxa"/>
            </w:tcMar>
          </w:tcPr>
          <w:p w14:paraId="66CDDF7F">
            <w:pPr>
              <w:spacing w:after="0"/>
              <w:rPr>
                <w:rFonts w:hint="default" w:ascii="Times New Roman" w:hAnsi="Times New Roman" w:eastAsia="宋体" w:cs="Times New Roman"/>
                <w:b/>
                <w:i w:val="0"/>
                <w:sz w:val="28"/>
                <w:szCs w:val="28"/>
              </w:rPr>
            </w:pPr>
            <w:r>
              <w:rPr>
                <w:rFonts w:hint="default" w:ascii="Times New Roman" w:hAnsi="Times New Roman" w:eastAsia="宋体" w:cs="Times New Roman"/>
                <w:b/>
                <w:i w:val="0"/>
                <w:color w:val="1B344A"/>
                <w:sz w:val="18"/>
                <w:szCs w:val="28"/>
              </w:rPr>
              <w:t>最强邻近研究</w:t>
            </w:r>
          </w:p>
        </w:tc>
        <w:tc>
          <w:tcPr>
            <w:tcW w:w="1531" w:type="dxa"/>
            <w:tcBorders>
              <w:top w:val="single" w:color="000000" w:themeColor="dark1" w:sz="12" w:space="0"/>
              <w:left w:val="nil"/>
              <w:bottom w:val="single" w:color="000000" w:themeColor="dark1" w:sz="6" w:space="0"/>
              <w:right w:val="nil"/>
            </w:tcBorders>
            <w:shd w:val="clear" w:color="auto" w:fill="FFFFFF"/>
            <w:tcMar>
              <w:top w:w="105" w:type="dxa"/>
              <w:left w:w="100" w:type="dxa"/>
              <w:bottom w:w="105" w:type="dxa"/>
              <w:right w:w="100" w:type="dxa"/>
            </w:tcMar>
          </w:tcPr>
          <w:p w14:paraId="4F7CFB1E">
            <w:pPr>
              <w:spacing w:after="0"/>
              <w:rPr>
                <w:rFonts w:hint="default" w:ascii="Times New Roman" w:hAnsi="Times New Roman" w:eastAsia="宋体" w:cs="Times New Roman"/>
                <w:b/>
                <w:i w:val="0"/>
                <w:sz w:val="28"/>
                <w:szCs w:val="28"/>
              </w:rPr>
            </w:pPr>
            <w:r>
              <w:rPr>
                <w:rFonts w:hint="default" w:ascii="Times New Roman" w:hAnsi="Times New Roman" w:eastAsia="宋体" w:cs="Times New Roman"/>
                <w:b/>
                <w:i w:val="0"/>
                <w:color w:val="1B344A"/>
                <w:sz w:val="18"/>
                <w:szCs w:val="28"/>
              </w:rPr>
              <w:t>当前判断</w:t>
            </w:r>
          </w:p>
        </w:tc>
      </w:tr>
      <w:tr w14:paraId="384B1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single" w:color="000000" w:themeColor="dark1" w:sz="6" w:space="0"/>
              <w:left w:val="nil"/>
              <w:bottom w:val="nil"/>
              <w:right w:val="nil"/>
            </w:tcBorders>
            <w:shd w:val="clear" w:color="auto" w:fill="FFFFFF"/>
            <w:tcMar>
              <w:top w:w="85" w:type="dxa"/>
              <w:left w:w="95" w:type="dxa"/>
              <w:bottom w:w="85" w:type="dxa"/>
              <w:right w:w="95" w:type="dxa"/>
            </w:tcMar>
            <w:vAlign w:val="center"/>
          </w:tcPr>
          <w:p w14:paraId="6FD8EF4E">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1 学习记录进入评价</w:t>
            </w:r>
          </w:p>
        </w:tc>
        <w:tc>
          <w:tcPr>
            <w:tcW w:w="3090" w:type="dxa"/>
            <w:tcBorders>
              <w:top w:val="single" w:color="000000" w:themeColor="dark1" w:sz="6" w:space="0"/>
              <w:left w:val="nil"/>
              <w:bottom w:val="nil"/>
              <w:right w:val="nil"/>
            </w:tcBorders>
            <w:shd w:val="clear" w:color="auto" w:fill="FFFFFF"/>
            <w:tcMar>
              <w:top w:w="85" w:type="dxa"/>
              <w:left w:w="95" w:type="dxa"/>
              <w:bottom w:w="85" w:type="dxa"/>
              <w:right w:w="95" w:type="dxa"/>
            </w:tcMar>
            <w:vAlign w:val="center"/>
          </w:tcPr>
          <w:p w14:paraId="768043EC">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学习者：披露弱点促进学习，却可能留下不利评价证据</w:t>
            </w:r>
          </w:p>
        </w:tc>
        <w:tc>
          <w:tcPr>
            <w:tcW w:w="2863" w:type="dxa"/>
            <w:tcBorders>
              <w:top w:val="single" w:color="000000" w:themeColor="dark1" w:sz="6" w:space="0"/>
              <w:left w:val="nil"/>
              <w:bottom w:val="nil"/>
              <w:right w:val="nil"/>
            </w:tcBorders>
            <w:shd w:val="clear" w:color="auto" w:fill="FFFFFF"/>
            <w:tcMar>
              <w:top w:w="85" w:type="dxa"/>
              <w:left w:w="95" w:type="dxa"/>
              <w:bottom w:w="85" w:type="dxa"/>
              <w:right w:w="95" w:type="dxa"/>
            </w:tcMar>
            <w:vAlign w:val="center"/>
          </w:tcPr>
          <w:p w14:paraId="4DB809FB">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Bernstein [1]；Reif等 [2]；Yang &amp; Shi [3]</w:t>
            </w:r>
          </w:p>
        </w:tc>
        <w:tc>
          <w:tcPr>
            <w:tcW w:w="1531" w:type="dxa"/>
            <w:tcBorders>
              <w:top w:val="single" w:color="000000" w:themeColor="dark1" w:sz="6" w:space="0"/>
              <w:left w:val="nil"/>
              <w:bottom w:val="nil"/>
              <w:right w:val="nil"/>
            </w:tcBorders>
            <w:shd w:val="clear" w:color="auto" w:fill="FFFFFF"/>
            <w:tcMar>
              <w:top w:w="85" w:type="dxa"/>
              <w:left w:w="95" w:type="dxa"/>
              <w:bottom w:w="85" w:type="dxa"/>
              <w:right w:w="95" w:type="dxa"/>
            </w:tcMar>
            <w:vAlign w:val="center"/>
          </w:tcPr>
          <w:p w14:paraId="5C20D649">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重点讨论；重叠高，需把“弱点暴露→学习→评价校准”测出来</w:t>
            </w:r>
          </w:p>
        </w:tc>
      </w:tr>
      <w:tr w14:paraId="5F89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Mar>
              <w:top w:w="85" w:type="dxa"/>
              <w:left w:w="95" w:type="dxa"/>
              <w:bottom w:w="85" w:type="dxa"/>
              <w:right w:w="95" w:type="dxa"/>
            </w:tcMar>
            <w:vAlign w:val="center"/>
          </w:tcPr>
          <w:p w14:paraId="641C129F">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2 AI代理过滤工作机会</w:t>
            </w:r>
          </w:p>
        </w:tc>
        <w:tc>
          <w:tcPr>
            <w:tcW w:w="3090" w:type="dxa"/>
            <w:tcBorders>
              <w:top w:val="nil"/>
              <w:left w:val="nil"/>
              <w:bottom w:val="nil"/>
              <w:right w:val="nil"/>
            </w:tcBorders>
            <w:shd w:val="clear" w:color="auto" w:fill="FFFFFF"/>
            <w:tcMar>
              <w:top w:w="85" w:type="dxa"/>
              <w:left w:w="95" w:type="dxa"/>
              <w:bottom w:w="85" w:type="dxa"/>
              <w:right w:w="95" w:type="dxa"/>
            </w:tcMar>
            <w:vAlign w:val="center"/>
          </w:tcPr>
          <w:p w14:paraId="59218589">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求职者：节省搜索成本，却可能在偏好形成前取消探索</w:t>
            </w:r>
          </w:p>
        </w:tc>
        <w:tc>
          <w:tcPr>
            <w:tcW w:w="2863" w:type="dxa"/>
            <w:tcBorders>
              <w:top w:val="nil"/>
              <w:left w:val="nil"/>
              <w:bottom w:val="nil"/>
              <w:right w:val="nil"/>
            </w:tcBorders>
            <w:shd w:val="clear" w:color="auto" w:fill="FFFFFF"/>
            <w:tcMar>
              <w:top w:w="85" w:type="dxa"/>
              <w:left w:w="95" w:type="dxa"/>
              <w:bottom w:w="85" w:type="dxa"/>
              <w:right w:w="95" w:type="dxa"/>
            </w:tcMar>
            <w:vAlign w:val="center"/>
          </w:tcPr>
          <w:p w14:paraId="44E5D232">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Belot等 [4]；Jiang等 [5]；Krauth等 [6]</w:t>
            </w:r>
          </w:p>
        </w:tc>
        <w:tc>
          <w:tcPr>
            <w:tcW w:w="1531" w:type="dxa"/>
            <w:tcBorders>
              <w:top w:val="nil"/>
              <w:left w:val="nil"/>
              <w:bottom w:val="nil"/>
              <w:right w:val="nil"/>
            </w:tcBorders>
            <w:shd w:val="clear" w:color="auto" w:fill="FFFFFF"/>
            <w:tcMar>
              <w:top w:w="85" w:type="dxa"/>
              <w:left w:w="95" w:type="dxa"/>
              <w:bottom w:w="85" w:type="dxa"/>
              <w:right w:w="95" w:type="dxa"/>
            </w:tcMar>
            <w:vAlign w:val="center"/>
          </w:tcPr>
          <w:p w14:paraId="25E33849">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重点讨论；要把“偏好尚未形成”与一般过滤气泡区分</w:t>
            </w:r>
          </w:p>
        </w:tc>
      </w:tr>
      <w:tr w14:paraId="36D8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Mar>
              <w:top w:w="85" w:type="dxa"/>
              <w:left w:w="95" w:type="dxa"/>
              <w:bottom w:w="85" w:type="dxa"/>
              <w:right w:w="95" w:type="dxa"/>
            </w:tcMar>
            <w:vAlign w:val="center"/>
          </w:tcPr>
          <w:p w14:paraId="25335FE3">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3 低分的成因诊断错配</w:t>
            </w:r>
          </w:p>
        </w:tc>
        <w:tc>
          <w:tcPr>
            <w:tcW w:w="3090" w:type="dxa"/>
            <w:tcBorders>
              <w:top w:val="nil"/>
              <w:left w:val="nil"/>
              <w:bottom w:val="nil"/>
              <w:right w:val="nil"/>
            </w:tcBorders>
            <w:shd w:val="clear" w:color="auto" w:fill="FFFFFF"/>
            <w:tcMar>
              <w:top w:w="85" w:type="dxa"/>
              <w:left w:w="95" w:type="dxa"/>
              <w:bottom w:w="85" w:type="dxa"/>
              <w:right w:w="95" w:type="dxa"/>
            </w:tcMar>
            <w:vAlign w:val="center"/>
          </w:tcPr>
          <w:p w14:paraId="32A7D944">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评价制度：能力不足与可信证明不足的反馈处方可能不同</w:t>
            </w:r>
          </w:p>
        </w:tc>
        <w:tc>
          <w:tcPr>
            <w:tcW w:w="2863" w:type="dxa"/>
            <w:tcBorders>
              <w:top w:val="nil"/>
              <w:left w:val="nil"/>
              <w:bottom w:val="nil"/>
              <w:right w:val="nil"/>
            </w:tcBorders>
            <w:shd w:val="clear" w:color="auto" w:fill="FFFFFF"/>
            <w:tcMar>
              <w:top w:w="85" w:type="dxa"/>
              <w:left w:w="95" w:type="dxa"/>
              <w:bottom w:w="85" w:type="dxa"/>
              <w:right w:w="95" w:type="dxa"/>
            </w:tcMar>
            <w:vAlign w:val="center"/>
          </w:tcPr>
          <w:p w14:paraId="2336D693">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Liu等 [7]；Somerstep等 [8]；Carranza等 [9]；Upadhyay等 [10]</w:t>
            </w:r>
          </w:p>
        </w:tc>
        <w:tc>
          <w:tcPr>
            <w:tcW w:w="1531" w:type="dxa"/>
            <w:tcBorders>
              <w:top w:val="nil"/>
              <w:left w:val="nil"/>
              <w:bottom w:val="nil"/>
              <w:right w:val="nil"/>
            </w:tcBorders>
            <w:shd w:val="clear" w:color="auto" w:fill="FFFFFF"/>
            <w:tcMar>
              <w:top w:w="85" w:type="dxa"/>
              <w:left w:w="95" w:type="dxa"/>
              <w:bottom w:w="85" w:type="dxa"/>
              <w:right w:w="95" w:type="dxa"/>
            </w:tcMar>
            <w:vAlign w:val="center"/>
          </w:tcPr>
          <w:p w14:paraId="2625C262">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机制定义最具体；独立增量尚待证明</w:t>
            </w:r>
          </w:p>
        </w:tc>
      </w:tr>
      <w:tr w14:paraId="57CD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Mar>
              <w:top w:w="85" w:type="dxa"/>
              <w:left w:w="95" w:type="dxa"/>
              <w:bottom w:w="85" w:type="dxa"/>
              <w:right w:w="95" w:type="dxa"/>
            </w:tcMar>
            <w:vAlign w:val="center"/>
          </w:tcPr>
          <w:p w14:paraId="0953C0A5">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4 培养与认证的双重职责</w:t>
            </w:r>
          </w:p>
        </w:tc>
        <w:tc>
          <w:tcPr>
            <w:tcW w:w="3090" w:type="dxa"/>
            <w:tcBorders>
              <w:top w:val="nil"/>
              <w:left w:val="nil"/>
              <w:bottom w:val="nil"/>
              <w:right w:val="nil"/>
            </w:tcBorders>
            <w:shd w:val="clear" w:color="auto" w:fill="FFFFFF"/>
            <w:tcMar>
              <w:top w:w="85" w:type="dxa"/>
              <w:left w:w="95" w:type="dxa"/>
              <w:bottom w:w="85" w:type="dxa"/>
              <w:right w:w="95" w:type="dxa"/>
            </w:tcMar>
            <w:vAlign w:val="center"/>
          </w:tcPr>
          <w:p w14:paraId="5232777C">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组织：帮助提高表现后，如何判断可迁移能力</w:t>
            </w:r>
          </w:p>
        </w:tc>
        <w:tc>
          <w:tcPr>
            <w:tcW w:w="2863" w:type="dxa"/>
            <w:tcBorders>
              <w:top w:val="nil"/>
              <w:left w:val="nil"/>
              <w:bottom w:val="nil"/>
              <w:right w:val="nil"/>
            </w:tcBorders>
            <w:shd w:val="clear" w:color="auto" w:fill="FFFFFF"/>
            <w:tcMar>
              <w:top w:w="85" w:type="dxa"/>
              <w:left w:w="95" w:type="dxa"/>
              <w:bottom w:w="85" w:type="dxa"/>
              <w:right w:w="95" w:type="dxa"/>
            </w:tcMar>
            <w:vAlign w:val="center"/>
          </w:tcPr>
          <w:p w14:paraId="522C1E2B">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Autor [11]；Acemoglu &amp; Pischke [12]；测评练习文献 [19]</w:t>
            </w:r>
          </w:p>
        </w:tc>
        <w:tc>
          <w:tcPr>
            <w:tcW w:w="1531" w:type="dxa"/>
            <w:tcBorders>
              <w:top w:val="nil"/>
              <w:left w:val="nil"/>
              <w:bottom w:val="nil"/>
              <w:right w:val="nil"/>
            </w:tcBorders>
            <w:shd w:val="clear" w:color="auto" w:fill="FFFFFF"/>
            <w:tcMar>
              <w:top w:w="85" w:type="dxa"/>
              <w:left w:w="95" w:type="dxa"/>
              <w:bottom w:w="85" w:type="dxa"/>
              <w:right w:w="95" w:type="dxa"/>
            </w:tcMar>
            <w:vAlign w:val="center"/>
          </w:tcPr>
          <w:p w14:paraId="4FDE3F4B">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较适合组织设计问题；需排除“练习效应”旧结果</w:t>
            </w:r>
          </w:p>
        </w:tc>
      </w:tr>
      <w:tr w14:paraId="16BE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Mar>
              <w:top w:w="85" w:type="dxa"/>
              <w:left w:w="95" w:type="dxa"/>
              <w:bottom w:w="85" w:type="dxa"/>
              <w:right w:w="95" w:type="dxa"/>
            </w:tcMar>
            <w:vAlign w:val="center"/>
          </w:tcPr>
          <w:p w14:paraId="41DE69D0">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5 反馈、学习与申请时机</w:t>
            </w:r>
          </w:p>
        </w:tc>
        <w:tc>
          <w:tcPr>
            <w:tcW w:w="3090" w:type="dxa"/>
            <w:tcBorders>
              <w:top w:val="nil"/>
              <w:left w:val="nil"/>
              <w:bottom w:val="nil"/>
              <w:right w:val="nil"/>
            </w:tcBorders>
            <w:shd w:val="clear" w:color="auto" w:fill="FFFFFF"/>
            <w:tcMar>
              <w:top w:w="85" w:type="dxa"/>
              <w:left w:w="95" w:type="dxa"/>
              <w:bottom w:w="85" w:type="dxa"/>
              <w:right w:w="95" w:type="dxa"/>
            </w:tcMar>
            <w:vAlign w:val="center"/>
          </w:tcPr>
          <w:p w14:paraId="74224292">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求职者：技能成长可能伴随机会错过</w:t>
            </w:r>
          </w:p>
        </w:tc>
        <w:tc>
          <w:tcPr>
            <w:tcW w:w="2863" w:type="dxa"/>
            <w:tcBorders>
              <w:top w:val="nil"/>
              <w:left w:val="nil"/>
              <w:bottom w:val="nil"/>
              <w:right w:val="nil"/>
            </w:tcBorders>
            <w:shd w:val="clear" w:color="auto" w:fill="FFFFFF"/>
            <w:tcMar>
              <w:top w:w="85" w:type="dxa"/>
              <w:left w:w="95" w:type="dxa"/>
              <w:bottom w:w="85" w:type="dxa"/>
              <w:right w:w="95" w:type="dxa"/>
            </w:tcMar>
            <w:vAlign w:val="center"/>
          </w:tcPr>
          <w:p w14:paraId="27976A33">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Bapna等 [15]；既有再申请/门槛解释研究</w:t>
            </w:r>
          </w:p>
        </w:tc>
        <w:tc>
          <w:tcPr>
            <w:tcW w:w="1531" w:type="dxa"/>
            <w:tcBorders>
              <w:top w:val="nil"/>
              <w:left w:val="nil"/>
              <w:bottom w:val="nil"/>
              <w:right w:val="nil"/>
            </w:tcBorders>
            <w:shd w:val="clear" w:color="auto" w:fill="FFFFFF"/>
            <w:tcMar>
              <w:top w:w="85" w:type="dxa"/>
              <w:left w:w="95" w:type="dxa"/>
              <w:bottom w:w="85" w:type="dxa"/>
              <w:right w:w="95" w:type="dxa"/>
            </w:tcMar>
            <w:vAlign w:val="center"/>
          </w:tcPr>
          <w:p w14:paraId="64132681">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可操作；很易退化为“等待有成本”</w:t>
            </w:r>
          </w:p>
        </w:tc>
      </w:tr>
      <w:tr w14:paraId="74C4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Mar>
              <w:top w:w="85" w:type="dxa"/>
              <w:left w:w="95" w:type="dxa"/>
              <w:bottom w:w="85" w:type="dxa"/>
              <w:right w:w="95" w:type="dxa"/>
            </w:tcMar>
            <w:vAlign w:val="center"/>
          </w:tcPr>
          <w:p w14:paraId="354D8CC5">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6 技能与证明可携带性</w:t>
            </w:r>
          </w:p>
        </w:tc>
        <w:tc>
          <w:tcPr>
            <w:tcW w:w="3090" w:type="dxa"/>
            <w:tcBorders>
              <w:top w:val="nil"/>
              <w:left w:val="nil"/>
              <w:bottom w:val="nil"/>
              <w:right w:val="nil"/>
            </w:tcBorders>
            <w:shd w:val="clear" w:color="auto" w:fill="FFFFFF"/>
            <w:tcMar>
              <w:top w:w="85" w:type="dxa"/>
              <w:left w:w="95" w:type="dxa"/>
              <w:bottom w:w="85" w:type="dxa"/>
              <w:right w:w="95" w:type="dxa"/>
            </w:tcMar>
            <w:vAlign w:val="center"/>
          </w:tcPr>
          <w:p w14:paraId="194BAE31">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跨组织：能力能迁移，认证记录未必被接受</w:t>
            </w:r>
          </w:p>
        </w:tc>
        <w:tc>
          <w:tcPr>
            <w:tcW w:w="2863" w:type="dxa"/>
            <w:tcBorders>
              <w:top w:val="nil"/>
              <w:left w:val="nil"/>
              <w:bottom w:val="nil"/>
              <w:right w:val="nil"/>
            </w:tcBorders>
            <w:shd w:val="clear" w:color="auto" w:fill="FFFFFF"/>
            <w:tcMar>
              <w:top w:w="85" w:type="dxa"/>
              <w:left w:w="95" w:type="dxa"/>
              <w:bottom w:w="85" w:type="dxa"/>
              <w:right w:w="95" w:type="dxa"/>
            </w:tcMar>
            <w:vAlign w:val="center"/>
          </w:tcPr>
          <w:p w14:paraId="74528923">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Carranza等 [9]；认证与人力资本专用性</w:t>
            </w:r>
          </w:p>
        </w:tc>
        <w:tc>
          <w:tcPr>
            <w:tcW w:w="1531" w:type="dxa"/>
            <w:tcBorders>
              <w:top w:val="nil"/>
              <w:left w:val="nil"/>
              <w:bottom w:val="nil"/>
              <w:right w:val="nil"/>
            </w:tcBorders>
            <w:shd w:val="clear" w:color="auto" w:fill="FFFFFF"/>
            <w:tcMar>
              <w:top w:w="85" w:type="dxa"/>
              <w:left w:w="95" w:type="dxa"/>
              <w:bottom w:w="85" w:type="dxa"/>
              <w:right w:w="95" w:type="dxa"/>
            </w:tcMar>
            <w:vAlign w:val="center"/>
          </w:tcPr>
          <w:p w14:paraId="1BC5F472">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备用；跨组织模型/数据需求较大</w:t>
            </w:r>
          </w:p>
        </w:tc>
      </w:tr>
      <w:tr w14:paraId="7F29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single" w:color="000000" w:themeColor="dark1" w:sz="12" w:space="0"/>
              <w:right w:val="nil"/>
            </w:tcBorders>
            <w:shd w:val="clear" w:color="auto" w:fill="FFFFFF"/>
            <w:tcMar>
              <w:top w:w="85" w:type="dxa"/>
              <w:left w:w="95" w:type="dxa"/>
              <w:bottom w:w="85" w:type="dxa"/>
              <w:right w:w="95" w:type="dxa"/>
            </w:tcMar>
            <w:vAlign w:val="center"/>
          </w:tcPr>
          <w:p w14:paraId="37F5F289">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7 评价者如何解释被帮助的表现</w:t>
            </w:r>
          </w:p>
        </w:tc>
        <w:tc>
          <w:tcPr>
            <w:tcW w:w="3090" w:type="dxa"/>
            <w:tcBorders>
              <w:top w:val="nil"/>
              <w:left w:val="nil"/>
              <w:bottom w:val="single" w:color="000000" w:themeColor="dark1" w:sz="12" w:space="0"/>
              <w:right w:val="nil"/>
            </w:tcBorders>
            <w:shd w:val="clear" w:color="auto" w:fill="FFFFFF"/>
            <w:tcMar>
              <w:top w:w="85" w:type="dxa"/>
              <w:left w:w="95" w:type="dxa"/>
              <w:bottom w:w="85" w:type="dxa"/>
              <w:right w:w="95" w:type="dxa"/>
            </w:tcMar>
            <w:vAlign w:val="center"/>
          </w:tcPr>
          <w:p w14:paraId="00B0479C">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招聘评价者：支持来源究竟代表能力、努力还是依赖</w:t>
            </w:r>
          </w:p>
        </w:tc>
        <w:tc>
          <w:tcPr>
            <w:tcW w:w="2863" w:type="dxa"/>
            <w:tcBorders>
              <w:top w:val="nil"/>
              <w:left w:val="nil"/>
              <w:bottom w:val="single" w:color="000000" w:themeColor="dark1" w:sz="12" w:space="0"/>
              <w:right w:val="nil"/>
            </w:tcBorders>
            <w:shd w:val="clear" w:color="auto" w:fill="FFFFFF"/>
            <w:tcMar>
              <w:top w:w="85" w:type="dxa"/>
              <w:left w:w="95" w:type="dxa"/>
              <w:bottom w:w="85" w:type="dxa"/>
              <w:right w:w="95" w:type="dxa"/>
            </w:tcMar>
            <w:vAlign w:val="center"/>
          </w:tcPr>
          <w:p w14:paraId="5BA865DD">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Reif等 [2]；Yang &amp; Shi [3]</w:t>
            </w:r>
          </w:p>
        </w:tc>
        <w:tc>
          <w:tcPr>
            <w:tcW w:w="1531" w:type="dxa"/>
            <w:tcBorders>
              <w:top w:val="nil"/>
              <w:left w:val="nil"/>
              <w:bottom w:val="single" w:color="000000" w:themeColor="dark1" w:sz="12" w:space="0"/>
              <w:right w:val="nil"/>
            </w:tcBorders>
            <w:shd w:val="clear" w:color="auto" w:fill="FFFFFF"/>
            <w:tcMar>
              <w:top w:w="85" w:type="dxa"/>
              <w:left w:w="95" w:type="dxa"/>
              <w:bottom w:w="85" w:type="dxa"/>
              <w:right w:w="95" w:type="dxa"/>
            </w:tcMar>
            <w:vAlign w:val="center"/>
          </w:tcPr>
          <w:p w14:paraId="07BDA057">
            <w:pPr>
              <w:spacing w:after="0" w:line="278" w:lineRule="auto"/>
              <w:rPr>
                <w:rFonts w:hint="default" w:ascii="Times New Roman" w:hAnsi="Times New Roman" w:eastAsia="宋体" w:cs="Times New Roman"/>
                <w:b w:val="0"/>
                <w:i w:val="0"/>
                <w:color w:val="08090C"/>
                <w:sz w:val="28"/>
                <w:szCs w:val="28"/>
              </w:rPr>
            </w:pPr>
            <w:r>
              <w:rPr>
                <w:rFonts w:hint="default" w:ascii="Times New Roman" w:hAnsi="Times New Roman" w:eastAsia="宋体" w:cs="Times New Roman"/>
                <w:b w:val="0"/>
                <w:i w:val="0"/>
                <w:color w:val="08090C"/>
                <w:sz w:val="18"/>
                <w:szCs w:val="28"/>
              </w:rPr>
              <w:t>与方向1/4交叉；可独立做评价者实验</w:t>
            </w:r>
          </w:p>
        </w:tc>
      </w:tr>
    </w:tbl>
    <w:p w14:paraId="77EF6E7B">
      <w:pPr>
        <w:widowControl/>
        <w:spacing w:after="0"/>
        <w:rPr>
          <w:rFonts w:hint="default" w:ascii="Times New Roman" w:hAnsi="Times New Roman" w:eastAsia="宋体" w:cs="Times New Roman"/>
        </w:rPr>
      </w:pPr>
    </w:p>
    <w:p w14:paraId="47DEF9C1">
      <w:pPr>
        <w:pStyle w:val="3"/>
        <w:widowControl/>
        <w:rPr>
          <w:rFonts w:hint="default" w:ascii="Times New Roman" w:hAnsi="Times New Roman" w:eastAsia="宋体" w:cs="Times New Roman"/>
        </w:rPr>
      </w:pPr>
      <w:r>
        <w:rPr>
          <w:rFonts w:hint="default" w:ascii="Times New Roman" w:hAnsi="Times New Roman" w:eastAsia="宋体" w:cs="Times New Roman"/>
        </w:rPr>
        <w:t>三、重点候选选题</w:t>
      </w:r>
    </w:p>
    <w:p w14:paraId="4BCBDEC6">
      <w:pPr>
        <w:pStyle w:val="4"/>
        <w:widowControl/>
        <w:rPr>
          <w:rFonts w:hint="default" w:ascii="Times New Roman" w:hAnsi="Times New Roman" w:eastAsia="宋体" w:cs="Times New Roman"/>
        </w:rPr>
      </w:pPr>
      <w:r>
        <w:rPr>
          <w:rFonts w:hint="default" w:ascii="Times New Roman" w:hAnsi="Times New Roman" w:eastAsia="宋体" w:cs="Times New Roman"/>
        </w:rPr>
        <w:t>选题 1｜当AI既帮助学习，又把学习过程用于评价：还愿意暴露不足吗？</w:t>
      </w:r>
    </w:p>
    <w:p w14:paraId="23D201DB">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研究问题　</w:t>
      </w:r>
      <w:r>
        <w:rPr>
          <w:rFonts w:hint="default" w:ascii="Times New Roman" w:hAnsi="Times New Roman" w:eastAsia="宋体" w:cs="Times New Roman"/>
        </w:rPr>
        <w:t>同一个AI既承担发展性指导又产生可能被管理者、招聘者使用的过程记录时，学习者是否会减少提问、少展示错误、选择更“安全”的任务，从而降低实际学习质量或掩盖真实能力缺口？</w:t>
      </w:r>
    </w:p>
    <w:p w14:paraId="6F131056">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相互冲突的机制　</w:t>
      </w:r>
      <w:r>
        <w:rPr>
          <w:rFonts w:hint="default" w:ascii="Times New Roman" w:hAnsi="Times New Roman" w:eastAsia="宋体" w:cs="Times New Roman"/>
        </w:rPr>
        <w:t>发展机制：暴露错误与获得针对性指导有利于纠偏；评价机制：过程可见且可能被解释为能力或努力不足时，个体有动机做印象管理。关键不在“AI监督令人焦虑”，而在记录是否具有“发展证据／选拔证据”的双重用途。</w:t>
      </w:r>
    </w:p>
    <w:p w14:paraId="73CCE580">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已有研究　</w:t>
      </w:r>
      <w:r>
        <w:rPr>
          <w:rFonts w:hint="default" w:ascii="Times New Roman" w:hAnsi="Times New Roman" w:eastAsia="宋体" w:cs="Times New Roman"/>
        </w:rPr>
        <w:t>Bernstein（2012）已经指出可观察性可能诱发行为隐藏 [1]；Reif、Larrick与Soll（2025）通过实验确认使用AI会招致能力与努力的社会评价惩罚，并延伸至招聘场景 [2]；Yang与Shi（2026，工作论文）已研究管理者能否看到AI使用频次如何影响员工使用AI及经理评价 [3]。因此，“AI帮助被看见会让人变谨慎”本身高度重叠。</w:t>
      </w:r>
    </w:p>
    <w:p w14:paraId="088FCBD9">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仍需检验的候选增量　</w:t>
      </w:r>
      <w:r>
        <w:rPr>
          <w:rFonts w:hint="default" w:ascii="Times New Roman" w:hAnsi="Times New Roman" w:eastAsia="宋体" w:cs="Times New Roman"/>
        </w:rPr>
        <w:t>把“AI使用量”进一步拆成可诊断的错误暴露、求助与修正过程，检验学习记录被用于评价后，是否同时改变真实学习、可观察表现与评价者识别准确性。若只能复现AI使用频次降低或社会评价惩罚，贡献不足。</w:t>
      </w:r>
    </w:p>
    <w:p w14:paraId="003B2AE8">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最小研究设计　</w:t>
      </w:r>
      <w:r>
        <w:rPr>
          <w:rFonts w:hint="default" w:ascii="Times New Roman" w:hAnsi="Times New Roman" w:eastAsia="宋体" w:cs="Times New Roman"/>
        </w:rPr>
        <w:t>2×2实验：过程记录仅用于私人反馈／会向评价者提供 × 是否提供明确的记录解释与使用规则；在共同任务中观察真实提问、错误揭露、修正次数和独立迁移测验，再让另一组评价者依据材料判断能力。补充控制“仅告知会评分但不提供过程记录”，区分评价压力与记录可见性。</w:t>
      </w:r>
    </w:p>
    <w:p w14:paraId="108BCAF2">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主要困难与可否证结果　</w:t>
      </w:r>
      <w:r>
        <w:rPr>
          <w:rFonts w:hint="default" w:ascii="Times New Roman" w:hAnsi="Times New Roman" w:eastAsia="宋体" w:cs="Times New Roman"/>
        </w:rPr>
        <w:t>需要真实行为与独立技能测量，不能只调查“愿不愿意披露”；若两类条件对弱点暴露或迁移成绩无差异，或者差异完全由一般被监督效应解释，应降低该方向优先级。</w:t>
      </w:r>
    </w:p>
    <w:p w14:paraId="477DA4F4">
      <w:pPr>
        <w:pStyle w:val="4"/>
        <w:widowControl/>
        <w:rPr>
          <w:rFonts w:hint="default" w:ascii="Times New Roman" w:hAnsi="Times New Roman" w:eastAsia="宋体" w:cs="Times New Roman"/>
        </w:rPr>
      </w:pPr>
      <w:r>
        <w:rPr>
          <w:rFonts w:hint="default" w:ascii="Times New Roman" w:hAnsi="Times New Roman" w:eastAsia="宋体" w:cs="Times New Roman"/>
        </w:rPr>
        <w:t>选题 2｜让AI替我找工作，会不会先排除我本来愿意考虑的机会？</w:t>
      </w:r>
    </w:p>
    <w:p w14:paraId="042FA7EA">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研究问题　</w:t>
      </w:r>
      <w:r>
        <w:rPr>
          <w:rFonts w:hint="default" w:ascii="Times New Roman" w:hAnsi="Times New Roman" w:eastAsia="宋体" w:cs="Times New Roman"/>
        </w:rPr>
        <w:t>在求职者尚不完全了解自身职业偏好与可迁移技能时，把职位搜索与初筛交给AI代理，会不会因为过早使用有限的现有偏好／经历，把本可通过探索后接受的机会从考虑集中排除？</w:t>
      </w:r>
    </w:p>
    <w:p w14:paraId="58A3BF11">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相互冲突的机制　</w:t>
      </w:r>
      <w:r>
        <w:rPr>
          <w:rFonts w:hint="default" w:ascii="Times New Roman" w:hAnsi="Times New Roman" w:eastAsia="宋体" w:cs="Times New Roman"/>
        </w:rPr>
        <w:t>代理筛选节省时间并提高即时相关性；但偏好与职业认知是在接触备选项的过程中形成的，被提前过滤的选项既没有被看到，也没有机会改变本人后续偏好。考察对象应是“委托之前尚不稳定的偏好”，不是假设用户有一套固定且代理错误估计的偏好。</w:t>
      </w:r>
    </w:p>
    <w:p w14:paraId="004DF57C">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已有研究　</w:t>
      </w:r>
      <w:r>
        <w:rPr>
          <w:rFonts w:hint="default" w:ascii="Times New Roman" w:hAnsi="Times New Roman" w:eastAsia="宋体" w:cs="Times New Roman"/>
        </w:rPr>
        <w:t>Belot、Kircher与Muller（2019）在真实求职平台实验中发现，自动化职业建议可以拓宽考虑的岗位范围并增加部分求职者面试 [4]；Jiang等（2019）和Krauth等（2022）已经研究推荐反馈循环、用户偏好动态与纠偏 [5–6]。因此，“推荐造成过滤气泡”及“算法减少搜索多样性”不能作为直接首创。</w:t>
      </w:r>
    </w:p>
    <w:p w14:paraId="63B4C8F0">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仍需检验的候选增量　</w:t>
      </w:r>
      <w:r>
        <w:rPr>
          <w:rFonts w:hint="default" w:ascii="Times New Roman" w:hAnsi="Times New Roman" w:eastAsia="宋体" w:cs="Times New Roman"/>
        </w:rPr>
        <w:t>区分两类损失：①偏好已存在但预测错误导致的遗漏；②偏好尚未形成，因完全缺乏接触而无法产生的“探索性机会损失”。关注委托权、过滤阈值、强制多样性曝光及用户复核机制如何影响后续真实选择。</w:t>
      </w:r>
    </w:p>
    <w:p w14:paraId="520A8222">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最小研究设计　</w:t>
      </w:r>
      <w:r>
        <w:rPr>
          <w:rFonts w:hint="default" w:ascii="Times New Roman" w:hAnsi="Times New Roman" w:eastAsia="宋体" w:cs="Times New Roman"/>
        </w:rPr>
        <w:t>构造同一岗位全集，随机分配人工搜索／AI代理先筛；再交叉“只看推荐结果／随机展示少量被过滤岗位”。记录探索前偏好、探索后岗位接受意愿和实际投递或模拟付出成本的选择，单列原本没见过但最终愿意考虑的岗位比例。必须控制候选岗位质量与总浏览时间。</w:t>
      </w:r>
    </w:p>
    <w:p w14:paraId="161DC0F7">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主要困难与可否证结果　</w:t>
      </w:r>
      <w:r>
        <w:rPr>
          <w:rFonts w:hint="default" w:ascii="Times New Roman" w:hAnsi="Times New Roman" w:eastAsia="宋体" w:cs="Times New Roman"/>
        </w:rPr>
        <w:t>“本来愿意”属于反事实，不能只靠事后问卷；可用随机再曝光或激励相容选择近似识别。如果效果完全等于已知的多样性曝光效应，或只反映代理匹配错误而与偏好形成无关，则理论增量不成立。</w:t>
      </w:r>
    </w:p>
    <w:p w14:paraId="0CF6D1B0">
      <w:pPr>
        <w:pStyle w:val="4"/>
        <w:widowControl/>
        <w:rPr>
          <w:rFonts w:hint="default" w:ascii="Times New Roman" w:hAnsi="Times New Roman" w:eastAsia="宋体" w:cs="Times New Roman"/>
        </w:rPr>
      </w:pPr>
      <w:r>
        <w:rPr>
          <w:rFonts w:hint="default" w:ascii="Times New Roman" w:hAnsi="Times New Roman" w:eastAsia="宋体" w:cs="Times New Roman"/>
        </w:rPr>
        <w:t>选题 3｜同样的低分，是能力不足还是没有机会证明能力？</w:t>
      </w:r>
    </w:p>
    <w:p w14:paraId="323CD127">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研究问题　</w:t>
      </w:r>
      <w:r>
        <w:rPr>
          <w:rFonts w:hint="default" w:ascii="Times New Roman" w:hAnsi="Times New Roman" w:eastAsia="宋体" w:cs="Times New Roman"/>
        </w:rPr>
        <w:t>可见评分较低可能源于真实技能不足，也可能源于已有技能缺少可信材料。当系统根据可见缺口统一推荐“补课”时，何时会产生错误处方并改变后续人才的能力—证据组合及录用构成？</w:t>
      </w:r>
    </w:p>
    <w:p w14:paraId="7B626135">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相互冲突的机制　</w:t>
      </w:r>
      <w:r>
        <w:rPr>
          <w:rFonts w:hint="default" w:ascii="Times New Roman" w:hAnsi="Times New Roman" w:eastAsia="宋体" w:cs="Times New Roman"/>
        </w:rPr>
        <w:t>学习发展能提高真实技能；独立验证能提高已有技能的可识别性。两者可能互补，也可能因错误成因诊断而互相挤占有限时间与机会。需区分“指出哪个维度低”的描述精确与“判断为何低”的干预诊断准确。</w:t>
      </w:r>
    </w:p>
    <w:p w14:paraId="71A2B54A">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已有研究　</w:t>
      </w:r>
      <w:r>
        <w:rPr>
          <w:rFonts w:hint="default" w:ascii="Times New Roman" w:hAnsi="Times New Roman" w:eastAsia="宋体" w:cs="Times New Roman"/>
        </w:rPr>
        <w:t>Liu等（2020）已研究选拔规则对资格投资与动态群体均衡的影响 [7]；Somerstep等（2024）已同框建模技能投资与测量变化 [8]；Carranza等（2022）已在招聘中区分私人技能反馈与公开可信证书 [9]；Upadhyay等（2025）已指出反事实建议与行动可行性间的差异 [10]。另外，培训—筛选与认证激励并非空白 [11–13]。</w:t>
      </w:r>
    </w:p>
    <w:p w14:paraId="1C94271E">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仍需检验的候选增量　</w:t>
      </w:r>
      <w:r>
        <w:rPr>
          <w:rFonts w:hint="default" w:ascii="Times New Roman" w:hAnsi="Times New Roman" w:eastAsia="宋体" w:cs="Times New Roman"/>
        </w:rPr>
        <w:t>不是“评价改变人”，而是“可见低分的成因无法直接识别时，诊断误配与验证机会配置是否产生不能由一般投资或认证模型直接推出的跨轮组织后果”。与最强近邻的状态、行动、信息结构、约束和比较静态的逐项同构核查尚未完成。</w:t>
      </w:r>
    </w:p>
    <w:p w14:paraId="03622849">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最小研究设计　</w:t>
      </w:r>
      <w:r>
        <w:rPr>
          <w:rFonts w:hint="default" w:ascii="Times New Roman" w:hAnsi="Times New Roman" w:eastAsia="宋体" w:cs="Times New Roman"/>
        </w:rPr>
        <w:t>固定相同初始人群、预算、任务数量与筛选规则，比较“按最低可见技能统一推荐学习”和“根据带噪、需付成本的成因诊断匹配学习/验证”。分别观察能力变化、可信证据变化、符合岗位能力但未被识别的比例、岗位申请与录用构成。若直接读入个体真实能力，只能当作 oracle 理想上界。</w:t>
      </w:r>
    </w:p>
    <w:p w14:paraId="317D06F9">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主要困难与可否证结果　</w:t>
      </w:r>
      <w:r>
        <w:rPr>
          <w:rFonts w:hint="default" w:ascii="Times New Roman" w:hAnsi="Times New Roman" w:eastAsia="宋体" w:cs="Times New Roman"/>
        </w:rPr>
        <w:t>若效果仅来自额外任务资源、学习系数、较宽门槛或规定性授予证书，便不能声称发现了诊断机制；如果既有投资—测量模型能逐式复现所有结果，也应降级为情境化应用。</w:t>
      </w:r>
    </w:p>
    <w:p w14:paraId="7E841B3D">
      <w:pPr>
        <w:pStyle w:val="3"/>
        <w:widowControl/>
        <w:rPr>
          <w:rFonts w:hint="default" w:ascii="Times New Roman" w:hAnsi="Times New Roman" w:eastAsia="宋体" w:cs="Times New Roman"/>
        </w:rPr>
      </w:pPr>
      <w:r>
        <w:rPr>
          <w:rFonts w:hint="default" w:ascii="Times New Roman" w:hAnsi="Times New Roman" w:eastAsia="宋体" w:cs="Times New Roman"/>
        </w:rPr>
        <w:t>四、其他已讨论方向与其理论位置</w:t>
      </w:r>
    </w:p>
    <w:p w14:paraId="49D37C9E">
      <w:pPr>
        <w:pStyle w:val="4"/>
        <w:widowControl/>
        <w:rPr>
          <w:rFonts w:hint="default" w:ascii="Times New Roman" w:hAnsi="Times New Roman" w:eastAsia="宋体" w:cs="Times New Roman"/>
        </w:rPr>
      </w:pPr>
      <w:r>
        <w:rPr>
          <w:rFonts w:hint="default" w:ascii="Times New Roman" w:hAnsi="Times New Roman" w:eastAsia="宋体" w:cs="Times New Roman"/>
        </w:rPr>
        <w:t>选题 4｜培养与认证的双重职责：帮人表现更好后，组织还会判断吗？</w:t>
      </w:r>
    </w:p>
    <w:p w14:paraId="2A8C511B">
      <w:pPr>
        <w:widowControl/>
        <w:rPr>
          <w:rFonts w:hint="default" w:ascii="Times New Roman" w:hAnsi="Times New Roman" w:eastAsia="宋体" w:cs="Times New Roman"/>
        </w:rPr>
      </w:pPr>
      <w:r>
        <w:rPr>
          <w:rFonts w:hint="default" w:ascii="Times New Roman" w:hAnsi="Times New Roman" w:eastAsia="宋体" w:cs="Times New Roman"/>
        </w:rPr>
        <w:t>问题：组织同时提供备考、训练或反馈，并依据训练相关成绩开展选拔，如何区分真实可迁移能力、任务熟悉度与支持来源？这是组织的制度配置问题（谁给帮助、是否披露、是否另设迁移任务），与选题1侧重“学习者因记录被评价而隐藏弱点”不同。</w:t>
      </w:r>
    </w:p>
    <w:p w14:paraId="3AFFD4DD">
      <w:pPr>
        <w:widowControl/>
        <w:rPr>
          <w:rFonts w:hint="default" w:ascii="Times New Roman" w:hAnsi="Times New Roman" w:eastAsia="宋体" w:cs="Times New Roman"/>
        </w:rPr>
      </w:pPr>
      <w:r>
        <w:rPr>
          <w:rFonts w:hint="default" w:ascii="Times New Roman" w:hAnsi="Times New Roman" w:eastAsia="宋体" w:cs="Times New Roman"/>
        </w:rPr>
        <w:t>邻近文献：Autor（2001）已论证培训同时具备技能发展与筛选功能 [11]；Acemoglu与Pischke（2000）讨论认证与培训回报的关系 [12]；认知测评辅导与重测的练习效应研究亦十分成熟 [19]。潜在增量需体现在组织如何联合设计训练、支持来源信息与独立评价，而不是重做“训练提高测评分数”。可能采用候选人层随机任务＋评价者判断，或简化两阶段模型。</w:t>
      </w:r>
    </w:p>
    <w:p w14:paraId="36F45A19">
      <w:pPr>
        <w:pStyle w:val="4"/>
        <w:widowControl/>
        <w:rPr>
          <w:rFonts w:hint="default" w:ascii="Times New Roman" w:hAnsi="Times New Roman" w:eastAsia="宋体" w:cs="Times New Roman"/>
        </w:rPr>
      </w:pPr>
      <w:r>
        <w:rPr>
          <w:rFonts w:hint="default" w:ascii="Times New Roman" w:hAnsi="Times New Roman" w:eastAsia="宋体" w:cs="Times New Roman"/>
        </w:rPr>
        <w:t>选题 5｜越准备，越错过？反馈、学习投入与申请时机</w:t>
      </w:r>
    </w:p>
    <w:p w14:paraId="5AB0C9C5">
      <w:pPr>
        <w:widowControl/>
        <w:rPr>
          <w:rFonts w:hint="default" w:ascii="Times New Roman" w:hAnsi="Times New Roman" w:eastAsia="宋体" w:cs="Times New Roman"/>
        </w:rPr>
      </w:pPr>
      <w:r>
        <w:rPr>
          <w:rFonts w:hint="default" w:ascii="Times New Roman" w:hAnsi="Times New Roman" w:eastAsia="宋体" w:cs="Times New Roman"/>
        </w:rPr>
        <w:t>问题：准确的能力差距反馈使人愿意提高技能，却也可能延迟当前申请；当职位持续时间较短时，技能增长与机会获得未必同向。相邻研究已涉及门槛解释、拒绝信息和再申请动态；Bapna、Benson与Funk（2026，工作论文）甚至直接研究不同拒绝信息如何改变未来申请者构成 [15]。因此，研究必须把“真实学习进展”与“岗位开放窗口”联合建模，而非事先规定被反馈者等待两轮。</w:t>
      </w:r>
    </w:p>
    <w:p w14:paraId="21F3A08A">
      <w:pPr>
        <w:widowControl/>
        <w:rPr>
          <w:rFonts w:hint="default" w:ascii="Times New Roman" w:hAnsi="Times New Roman" w:eastAsia="宋体" w:cs="Times New Roman"/>
        </w:rPr>
      </w:pPr>
      <w:r>
        <w:rPr>
          <w:rFonts w:hint="default" w:ascii="Times New Roman" w:hAnsi="Times New Roman" w:eastAsia="宋体" w:cs="Times New Roman"/>
        </w:rPr>
        <w:t>可行对照为：相同技能反馈下操纵岗位机会是否即将结束、学习投资回报是否可迁移，以及是否准确告知机会有效期。若结论只等于“等待有机会成本”，理论贡献较弱。</w:t>
      </w:r>
    </w:p>
    <w:p w14:paraId="20435D1D">
      <w:pPr>
        <w:pStyle w:val="4"/>
        <w:widowControl/>
        <w:rPr>
          <w:rFonts w:hint="default" w:ascii="Times New Roman" w:hAnsi="Times New Roman" w:eastAsia="宋体" w:cs="Times New Roman"/>
        </w:rPr>
      </w:pPr>
      <w:r>
        <w:rPr>
          <w:rFonts w:hint="default" w:ascii="Times New Roman" w:hAnsi="Times New Roman" w:eastAsia="宋体" w:cs="Times New Roman"/>
        </w:rPr>
        <w:t>选题 6｜可携带的技能，不可携带的证明：发展型招聘与人才流动</w:t>
      </w:r>
    </w:p>
    <w:p w14:paraId="2454BC5D">
      <w:pPr>
        <w:widowControl/>
        <w:rPr>
          <w:rFonts w:hint="default" w:ascii="Times New Roman" w:hAnsi="Times New Roman" w:eastAsia="宋体" w:cs="Times New Roman"/>
        </w:rPr>
      </w:pPr>
      <w:r>
        <w:rPr>
          <w:rFonts w:hint="default" w:ascii="Times New Roman" w:hAnsi="Times New Roman" w:eastAsia="宋体" w:cs="Times New Roman"/>
        </w:rPr>
        <w:t>问题：组织内部提供的任务真实提高了一般技能，但产生的成绩、徽章或过程记录可能只被原组织承认。应将“技能能否用于别家组织”和“证明能否被别家组织接受”独立操纵。Carranza等（2022）的可信披露、认证研究与人力资本专用性理论构成明显近邻 [9,12]；目前尚未充分核验这一交叉领域，不能认定空白成立。</w:t>
      </w:r>
    </w:p>
    <w:p w14:paraId="5B9B1ED1">
      <w:pPr>
        <w:widowControl/>
        <w:rPr>
          <w:rFonts w:hint="default" w:ascii="Times New Roman" w:hAnsi="Times New Roman" w:eastAsia="宋体" w:cs="Times New Roman"/>
        </w:rPr>
      </w:pPr>
      <w:r>
        <w:rPr>
          <w:rFonts w:hint="default" w:ascii="Times New Roman" w:hAnsi="Times New Roman" w:eastAsia="宋体" w:cs="Times New Roman"/>
        </w:rPr>
        <w:t>可采用两家组织与不同岗位需求的简化模型，比较技能转移率 × 证据互认度对跨组织匹配的影响。若还讨论组织培养激励，必须进一步让企业投资内生；当前既有单一组织仿真无法直接承担这一结论。</w:t>
      </w:r>
    </w:p>
    <w:p w14:paraId="14D29EBA">
      <w:pPr>
        <w:pStyle w:val="4"/>
        <w:widowControl/>
        <w:rPr>
          <w:rFonts w:hint="default" w:ascii="Times New Roman" w:hAnsi="Times New Roman" w:eastAsia="宋体" w:cs="Times New Roman"/>
        </w:rPr>
      </w:pPr>
      <w:r>
        <w:rPr>
          <w:rFonts w:hint="default" w:ascii="Times New Roman" w:hAnsi="Times New Roman" w:eastAsia="宋体" w:cs="Times New Roman"/>
        </w:rPr>
        <w:t>选题 7｜评价者怎样理解“被帮助过的表现”？</w:t>
      </w:r>
    </w:p>
    <w:p w14:paraId="43B7564D">
      <w:pPr>
        <w:widowControl/>
        <w:rPr>
          <w:rFonts w:hint="default" w:ascii="Times New Roman" w:hAnsi="Times New Roman" w:eastAsia="宋体" w:cs="Times New Roman"/>
        </w:rPr>
      </w:pPr>
      <w:r>
        <w:rPr>
          <w:rFonts w:hint="default" w:ascii="Times New Roman" w:hAnsi="Times New Roman" w:eastAsia="宋体" w:cs="Times New Roman"/>
        </w:rPr>
        <w:t>问题：看到候选人曾接受AI提示或组织培训，评价者究竟将较好成绩解释为能力增强、任务熟悉度增加，还是障碍被移除？这关系到组织如何对支持来源进行归因。Reif等（2025）和Yang与Shi（2026）已经直接研究AI使用带来的社会评价与管理者判断 [2–3]，宽泛“帮助经历改变评价”重叠很高。</w:t>
      </w:r>
    </w:p>
    <w:p w14:paraId="4459690A">
      <w:pPr>
        <w:widowControl/>
        <w:rPr>
          <w:rFonts w:hint="default" w:ascii="Times New Roman" w:hAnsi="Times New Roman" w:eastAsia="宋体" w:cs="Times New Roman"/>
        </w:rPr>
      </w:pPr>
      <w:r>
        <w:rPr>
          <w:rFonts w:hint="default" w:ascii="Times New Roman" w:hAnsi="Times New Roman" w:eastAsia="宋体" w:cs="Times New Roman"/>
        </w:rPr>
        <w:t>可聚焦于“相同独立测验成绩、不同支持来源与过程证据”如何改变能力与潜力的判断偏差，并比较披露规则是否改善评价校准。这一路径需要独立招募评价者，难点是材料真实性与外部效度。若只观察到已知的AI使用惩罚，则不宜独立立项。</w:t>
      </w:r>
    </w:p>
    <w:p w14:paraId="53031A38">
      <w:pPr>
        <w:pStyle w:val="3"/>
        <w:widowControl/>
        <w:rPr>
          <w:rFonts w:hint="default" w:ascii="Times New Roman" w:hAnsi="Times New Roman" w:eastAsia="宋体" w:cs="Times New Roman"/>
        </w:rPr>
      </w:pPr>
      <w:r>
        <w:rPr>
          <w:rFonts w:hint="default" w:ascii="Times New Roman" w:hAnsi="Times New Roman" w:eastAsia="宋体" w:cs="Times New Roman"/>
        </w:rPr>
        <w:t>五、原“评价塑造未来人才池”框架的归位</w:t>
      </w:r>
    </w:p>
    <w:p w14:paraId="2AF1C341">
      <w:pPr>
        <w:widowControl/>
        <w:rPr>
          <w:rFonts w:hint="default" w:ascii="Times New Roman" w:hAnsi="Times New Roman" w:eastAsia="宋体" w:cs="Times New Roman"/>
        </w:rPr>
      </w:pPr>
      <w:r>
        <w:rPr>
          <w:rFonts w:hint="eastAsia" w:ascii="Times New Roman" w:hAnsi="Times New Roman" w:eastAsia="宋体" w:cs="Times New Roman"/>
          <w:lang w:val="en-US" w:eastAsia="zh-CN"/>
        </w:rPr>
        <w:t>之前那篇初稿的</w:t>
      </w:r>
      <w:r>
        <w:rPr>
          <w:rFonts w:hint="default" w:ascii="Times New Roman" w:hAnsi="Times New Roman" w:eastAsia="宋体" w:cs="Times New Roman"/>
        </w:rPr>
        <w:t>主线是：评价规则→反馈→个人学习、证明或申请行为→下一轮岗位匹配与人才构成。这条链条仍能统一上述多个问题，但只能作为研究视角，不能声称“首次发现招聘评价使人才供给内生”。已有战略分类、performative prediction、动态投资、反应性和培训筛选研究已涉及关键环节 [7–8,11–14,16,20–21]。应从其中一个可否证机制切入，避免把“功能组合多”误写成“理论空白大”。</w:t>
      </w:r>
    </w:p>
    <w:p w14:paraId="349048EC">
      <w:pPr>
        <w:widowControl/>
        <w:spacing w:after="100"/>
        <w:rPr>
          <w:rFonts w:hint="default" w:ascii="Times New Roman" w:hAnsi="Times New Roman" w:eastAsia="宋体" w:cs="Times New Roman"/>
        </w:rPr>
      </w:pPr>
      <w:r>
        <w:rPr>
          <w:rFonts w:hint="default" w:ascii="Times New Roman" w:hAnsi="Times New Roman" w:eastAsia="宋体" w:cs="Times New Roman"/>
          <w:b/>
          <w:color w:val="24577D"/>
        </w:rPr>
        <w:t>既有仿真的适用边界　</w:t>
      </w:r>
      <w:r>
        <w:rPr>
          <w:rFonts w:hint="default" w:ascii="Times New Roman" w:hAnsi="Times New Roman" w:eastAsia="宋体" w:cs="Times New Roman"/>
        </w:rPr>
        <w:t>根据现有代码只读审计：已有模型包含真实能力与可见证据两个状态、固定评分与录用规则、根据可见技能缺口选定学习目标，以及同一初始群体多轮的申请与录用退出；尚无显式最优投资预算、独立的成因诊断、企业/AI规则重训练与新生代进入。代码中“完成任务→获得证明”的直接规定不是待发现结果。后续理论选题需要新的证据设计，不能从既有六轮输出直接宣布长期人才供给均衡。</w:t>
      </w:r>
    </w:p>
    <w:p w14:paraId="656C33FD">
      <w:pPr>
        <w:pStyle w:val="3"/>
        <w:widowControl/>
        <w:rPr>
          <w:rFonts w:hint="default" w:ascii="Times New Roman" w:hAnsi="Times New Roman" w:eastAsia="宋体" w:cs="Times New Roman"/>
        </w:rPr>
      </w:pPr>
      <w:r>
        <w:rPr>
          <w:rFonts w:hint="default" w:ascii="Times New Roman" w:hAnsi="Times New Roman" w:eastAsia="宋体" w:cs="Times New Roman"/>
        </w:rPr>
        <w:t>六、其他探索过、暂未形成充分文献定位的方向</w:t>
      </w:r>
    </w:p>
    <w:tbl>
      <w:tblPr>
        <w:tblStyle w:val="4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3402"/>
        <w:gridCol w:w="4082"/>
      </w:tblGrid>
      <w:tr w14:paraId="5AF5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99" w:type="dxa"/>
            <w:tcBorders>
              <w:top w:val="single" w:color="000000" w:themeColor="dark1" w:sz="12" w:space="0"/>
              <w:left w:val="nil"/>
              <w:bottom w:val="single" w:color="000000" w:themeColor="dark1" w:sz="6" w:space="0"/>
              <w:right w:val="nil"/>
            </w:tcBorders>
            <w:shd w:val="clear" w:color="auto" w:fill="FFFFFF"/>
            <w:tcMar>
              <w:top w:w="105" w:type="dxa"/>
              <w:left w:w="100" w:type="dxa"/>
              <w:bottom w:w="105" w:type="dxa"/>
              <w:right w:w="100" w:type="dxa"/>
            </w:tcMar>
          </w:tcPr>
          <w:p w14:paraId="531D0D1E">
            <w:pPr>
              <w:spacing w:after="0"/>
              <w:rPr>
                <w:rFonts w:hint="default" w:ascii="Times New Roman" w:hAnsi="Times New Roman" w:eastAsia="宋体" w:cs="Times New Roman"/>
                <w:b/>
                <w:i w:val="0"/>
              </w:rPr>
            </w:pPr>
            <w:r>
              <w:rPr>
                <w:rFonts w:hint="default" w:ascii="Times New Roman" w:hAnsi="Times New Roman" w:eastAsia="宋体" w:cs="Times New Roman"/>
                <w:b/>
                <w:i w:val="0"/>
                <w:color w:val="1B344A"/>
                <w:sz w:val="16"/>
              </w:rPr>
              <w:t>探索方向</w:t>
            </w:r>
          </w:p>
        </w:tc>
        <w:tc>
          <w:tcPr>
            <w:tcW w:w="3402" w:type="dxa"/>
            <w:tcBorders>
              <w:top w:val="single" w:color="000000" w:themeColor="dark1" w:sz="12" w:space="0"/>
              <w:left w:val="nil"/>
              <w:bottom w:val="single" w:color="000000" w:themeColor="dark1" w:sz="6" w:space="0"/>
              <w:right w:val="nil"/>
            </w:tcBorders>
            <w:shd w:val="clear" w:color="auto" w:fill="FFFFFF"/>
            <w:tcMar>
              <w:top w:w="105" w:type="dxa"/>
              <w:left w:w="100" w:type="dxa"/>
              <w:bottom w:w="105" w:type="dxa"/>
              <w:right w:w="100" w:type="dxa"/>
            </w:tcMar>
          </w:tcPr>
          <w:p w14:paraId="0B1205C4">
            <w:pPr>
              <w:spacing w:after="0"/>
              <w:rPr>
                <w:rFonts w:hint="default" w:ascii="Times New Roman" w:hAnsi="Times New Roman" w:eastAsia="宋体" w:cs="Times New Roman"/>
                <w:b/>
                <w:i w:val="0"/>
              </w:rPr>
            </w:pPr>
            <w:r>
              <w:rPr>
                <w:rFonts w:hint="default" w:ascii="Times New Roman" w:hAnsi="Times New Roman" w:eastAsia="宋体" w:cs="Times New Roman"/>
                <w:b/>
                <w:i w:val="0"/>
                <w:color w:val="1B344A"/>
                <w:sz w:val="16"/>
              </w:rPr>
              <w:t>可形成的具体问题</w:t>
            </w:r>
          </w:p>
        </w:tc>
        <w:tc>
          <w:tcPr>
            <w:tcW w:w="4082" w:type="dxa"/>
            <w:tcBorders>
              <w:top w:val="single" w:color="000000" w:themeColor="dark1" w:sz="12" w:space="0"/>
              <w:left w:val="nil"/>
              <w:bottom w:val="single" w:color="000000" w:themeColor="dark1" w:sz="6" w:space="0"/>
              <w:right w:val="nil"/>
            </w:tcBorders>
            <w:shd w:val="clear" w:color="auto" w:fill="FFFFFF"/>
            <w:tcMar>
              <w:top w:w="105" w:type="dxa"/>
              <w:left w:w="100" w:type="dxa"/>
              <w:bottom w:w="105" w:type="dxa"/>
              <w:right w:w="100" w:type="dxa"/>
            </w:tcMar>
          </w:tcPr>
          <w:p w14:paraId="55452395">
            <w:pPr>
              <w:spacing w:after="0"/>
              <w:rPr>
                <w:rFonts w:hint="default" w:ascii="Times New Roman" w:hAnsi="Times New Roman" w:eastAsia="宋体" w:cs="Times New Roman"/>
                <w:b/>
                <w:i w:val="0"/>
              </w:rPr>
            </w:pPr>
            <w:r>
              <w:rPr>
                <w:rFonts w:hint="default" w:ascii="Times New Roman" w:hAnsi="Times New Roman" w:eastAsia="宋体" w:cs="Times New Roman"/>
                <w:b/>
                <w:i w:val="0"/>
                <w:color w:val="1B344A"/>
                <w:sz w:val="16"/>
              </w:rPr>
              <w:t>需补做的工作</w:t>
            </w:r>
          </w:p>
        </w:tc>
      </w:tr>
      <w:tr w14:paraId="52D3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Borders>
              <w:top w:val="single" w:color="000000" w:themeColor="dark1" w:sz="6" w:space="0"/>
              <w:left w:val="nil"/>
              <w:bottom w:val="nil"/>
              <w:right w:val="nil"/>
            </w:tcBorders>
            <w:shd w:val="clear" w:color="auto" w:fill="FFFFFF"/>
            <w:tcMar>
              <w:top w:w="85" w:type="dxa"/>
              <w:left w:w="95" w:type="dxa"/>
              <w:bottom w:w="85" w:type="dxa"/>
              <w:right w:w="95" w:type="dxa"/>
            </w:tcMar>
            <w:vAlign w:val="center"/>
          </w:tcPr>
          <w:p w14:paraId="7AD31631">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跨工具协作能力迁移</w:t>
            </w:r>
          </w:p>
        </w:tc>
        <w:tc>
          <w:tcPr>
            <w:tcW w:w="3402" w:type="dxa"/>
            <w:tcBorders>
              <w:top w:val="single" w:color="000000" w:themeColor="dark1" w:sz="6" w:space="0"/>
              <w:left w:val="nil"/>
              <w:bottom w:val="nil"/>
              <w:right w:val="nil"/>
            </w:tcBorders>
            <w:shd w:val="clear" w:color="auto" w:fill="FFFFFF"/>
            <w:tcMar>
              <w:top w:w="85" w:type="dxa"/>
              <w:left w:w="95" w:type="dxa"/>
              <w:bottom w:w="85" w:type="dxa"/>
              <w:right w:w="95" w:type="dxa"/>
            </w:tcMar>
            <w:vAlign w:val="center"/>
          </w:tcPr>
          <w:p w14:paraId="5113F5FA">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AI辅助任务成绩能否预测脱离同一工具的独立工作表现？</w:t>
            </w:r>
          </w:p>
        </w:tc>
        <w:tc>
          <w:tcPr>
            <w:tcW w:w="4082" w:type="dxa"/>
            <w:tcBorders>
              <w:top w:val="single" w:color="000000" w:themeColor="dark1" w:sz="6" w:space="0"/>
              <w:left w:val="nil"/>
              <w:bottom w:val="nil"/>
              <w:right w:val="nil"/>
            </w:tcBorders>
            <w:shd w:val="clear" w:color="auto" w:fill="FFFFFF"/>
            <w:tcMar>
              <w:top w:w="85" w:type="dxa"/>
              <w:left w:w="95" w:type="dxa"/>
              <w:bottom w:w="85" w:type="dxa"/>
              <w:right w:w="95" w:type="dxa"/>
            </w:tcMar>
            <w:vAlign w:val="center"/>
          </w:tcPr>
          <w:p w14:paraId="36116F07">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测量效度、迁移学习、人机协作能力的最近邻排重</w:t>
            </w:r>
          </w:p>
        </w:tc>
      </w:tr>
      <w:tr w14:paraId="3293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Borders>
              <w:top w:val="nil"/>
              <w:left w:val="nil"/>
              <w:bottom w:val="nil"/>
              <w:right w:val="nil"/>
            </w:tcBorders>
            <w:shd w:val="clear" w:color="auto" w:fill="FFFFFF"/>
            <w:tcMar>
              <w:top w:w="85" w:type="dxa"/>
              <w:left w:w="95" w:type="dxa"/>
              <w:bottom w:w="85" w:type="dxa"/>
              <w:right w:w="95" w:type="dxa"/>
            </w:tcMar>
            <w:vAlign w:val="center"/>
          </w:tcPr>
          <w:p w14:paraId="78A0A8C0">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AI自适应追问</w:t>
            </w:r>
          </w:p>
        </w:tc>
        <w:tc>
          <w:tcPr>
            <w:tcW w:w="3402" w:type="dxa"/>
            <w:tcBorders>
              <w:top w:val="nil"/>
              <w:left w:val="nil"/>
              <w:bottom w:val="nil"/>
              <w:right w:val="nil"/>
            </w:tcBorders>
            <w:shd w:val="clear" w:color="auto" w:fill="FFFFFF"/>
            <w:tcMar>
              <w:top w:w="85" w:type="dxa"/>
              <w:left w:w="95" w:type="dxa"/>
              <w:bottom w:w="85" w:type="dxa"/>
              <w:right w:w="95" w:type="dxa"/>
            </w:tcMar>
            <w:vAlign w:val="center"/>
          </w:tcPr>
          <w:p w14:paraId="402F9843">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追问策略是否给予不同类型候选人不等量的能力展示机会？</w:t>
            </w:r>
          </w:p>
        </w:tc>
        <w:tc>
          <w:tcPr>
            <w:tcW w:w="4082" w:type="dxa"/>
            <w:tcBorders>
              <w:top w:val="nil"/>
              <w:left w:val="nil"/>
              <w:bottom w:val="nil"/>
              <w:right w:val="nil"/>
            </w:tcBorders>
            <w:shd w:val="clear" w:color="auto" w:fill="FFFFFF"/>
            <w:tcMar>
              <w:top w:w="85" w:type="dxa"/>
              <w:left w:w="95" w:type="dxa"/>
              <w:bottom w:w="85" w:type="dxa"/>
              <w:right w:w="95" w:type="dxa"/>
            </w:tcMar>
            <w:vAlign w:val="center"/>
          </w:tcPr>
          <w:p w14:paraId="318657F4">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自适应测评、公平评估、信息获取与测验效度</w:t>
            </w:r>
          </w:p>
        </w:tc>
      </w:tr>
      <w:tr w14:paraId="5DD9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Borders>
              <w:top w:val="nil"/>
              <w:left w:val="nil"/>
              <w:bottom w:val="nil"/>
              <w:right w:val="nil"/>
            </w:tcBorders>
            <w:shd w:val="clear" w:color="auto" w:fill="FFFFFF"/>
            <w:tcMar>
              <w:top w:w="85" w:type="dxa"/>
              <w:left w:w="95" w:type="dxa"/>
              <w:bottom w:w="85" w:type="dxa"/>
              <w:right w:w="95" w:type="dxa"/>
            </w:tcMar>
            <w:vAlign w:val="center"/>
          </w:tcPr>
          <w:p w14:paraId="5586AFB5">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证据不足时的补测</w:t>
            </w:r>
          </w:p>
        </w:tc>
        <w:tc>
          <w:tcPr>
            <w:tcW w:w="3402" w:type="dxa"/>
            <w:tcBorders>
              <w:top w:val="nil"/>
              <w:left w:val="nil"/>
              <w:bottom w:val="nil"/>
              <w:right w:val="nil"/>
            </w:tcBorders>
            <w:shd w:val="clear" w:color="auto" w:fill="FFFFFF"/>
            <w:tcMar>
              <w:top w:w="85" w:type="dxa"/>
              <w:left w:w="95" w:type="dxa"/>
              <w:bottom w:w="85" w:type="dxa"/>
              <w:right w:w="95" w:type="dxa"/>
            </w:tcMar>
            <w:vAlign w:val="center"/>
          </w:tcPr>
          <w:p w14:paraId="5D33C13A">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当材料缺失而非能力欠缺时，是否应先提供验证机会而非判低分？</w:t>
            </w:r>
          </w:p>
        </w:tc>
        <w:tc>
          <w:tcPr>
            <w:tcW w:w="4082" w:type="dxa"/>
            <w:tcBorders>
              <w:top w:val="nil"/>
              <w:left w:val="nil"/>
              <w:bottom w:val="nil"/>
              <w:right w:val="nil"/>
            </w:tcBorders>
            <w:shd w:val="clear" w:color="auto" w:fill="FFFFFF"/>
            <w:tcMar>
              <w:top w:w="85" w:type="dxa"/>
              <w:left w:w="95" w:type="dxa"/>
              <w:bottom w:w="85" w:type="dxa"/>
              <w:right w:w="95" w:type="dxa"/>
            </w:tcMar>
            <w:vAlign w:val="center"/>
          </w:tcPr>
          <w:p w14:paraId="5514FFB5">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与选题3的诊断机制是否本质同构</w:t>
            </w:r>
          </w:p>
        </w:tc>
      </w:tr>
      <w:tr w14:paraId="6E25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Borders>
              <w:top w:val="nil"/>
              <w:left w:val="nil"/>
              <w:bottom w:val="nil"/>
              <w:right w:val="nil"/>
            </w:tcBorders>
            <w:shd w:val="clear" w:color="auto" w:fill="FFFFFF"/>
            <w:tcMar>
              <w:top w:w="85" w:type="dxa"/>
              <w:left w:w="95" w:type="dxa"/>
              <w:bottom w:w="85" w:type="dxa"/>
              <w:right w:w="95" w:type="dxa"/>
            </w:tcMar>
            <w:vAlign w:val="center"/>
          </w:tcPr>
          <w:p w14:paraId="018B3966">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评分版本可比性</w:t>
            </w:r>
          </w:p>
        </w:tc>
        <w:tc>
          <w:tcPr>
            <w:tcW w:w="3402" w:type="dxa"/>
            <w:tcBorders>
              <w:top w:val="nil"/>
              <w:left w:val="nil"/>
              <w:bottom w:val="nil"/>
              <w:right w:val="nil"/>
            </w:tcBorders>
            <w:shd w:val="clear" w:color="auto" w:fill="FFFFFF"/>
            <w:tcMar>
              <w:top w:w="85" w:type="dxa"/>
              <w:left w:w="95" w:type="dxa"/>
              <w:bottom w:w="85" w:type="dxa"/>
              <w:right w:w="95" w:type="dxa"/>
            </w:tcMar>
            <w:vAlign w:val="center"/>
          </w:tcPr>
          <w:p w14:paraId="02C8CD31">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AI评价规则更新前后的个人能力分数还可比较吗？</w:t>
            </w:r>
          </w:p>
        </w:tc>
        <w:tc>
          <w:tcPr>
            <w:tcW w:w="4082" w:type="dxa"/>
            <w:tcBorders>
              <w:top w:val="nil"/>
              <w:left w:val="nil"/>
              <w:bottom w:val="nil"/>
              <w:right w:val="nil"/>
            </w:tcBorders>
            <w:shd w:val="clear" w:color="auto" w:fill="FFFFFF"/>
            <w:tcMar>
              <w:top w:w="85" w:type="dxa"/>
              <w:left w:w="95" w:type="dxa"/>
              <w:bottom w:w="85" w:type="dxa"/>
              <w:right w:w="95" w:type="dxa"/>
            </w:tcMar>
            <w:vAlign w:val="center"/>
          </w:tcPr>
          <w:p w14:paraId="45ECDF87">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测量等值、算法版本漂移与公平性</w:t>
            </w:r>
          </w:p>
        </w:tc>
      </w:tr>
      <w:tr w14:paraId="57FE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Borders>
              <w:top w:val="nil"/>
              <w:left w:val="nil"/>
              <w:bottom w:val="single" w:color="000000" w:themeColor="dark1" w:sz="12" w:space="0"/>
              <w:right w:val="nil"/>
            </w:tcBorders>
            <w:shd w:val="clear" w:color="auto" w:fill="FFFFFF"/>
            <w:tcMar>
              <w:top w:w="85" w:type="dxa"/>
              <w:left w:w="95" w:type="dxa"/>
              <w:bottom w:w="85" w:type="dxa"/>
              <w:right w:w="95" w:type="dxa"/>
            </w:tcMar>
            <w:vAlign w:val="center"/>
          </w:tcPr>
          <w:p w14:paraId="2702E53B">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团队纠错能力</w:t>
            </w:r>
          </w:p>
        </w:tc>
        <w:tc>
          <w:tcPr>
            <w:tcW w:w="3402" w:type="dxa"/>
            <w:tcBorders>
              <w:top w:val="nil"/>
              <w:left w:val="nil"/>
              <w:bottom w:val="single" w:color="000000" w:themeColor="dark1" w:sz="12" w:space="0"/>
              <w:right w:val="nil"/>
            </w:tcBorders>
            <w:shd w:val="clear" w:color="auto" w:fill="FFFFFF"/>
            <w:tcMar>
              <w:top w:w="85" w:type="dxa"/>
              <w:left w:w="95" w:type="dxa"/>
              <w:bottom w:w="85" w:type="dxa"/>
              <w:right w:w="95" w:type="dxa"/>
            </w:tcMar>
            <w:vAlign w:val="center"/>
          </w:tcPr>
          <w:p w14:paraId="0EB27A61">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个人在AI协作项目中的纠错与监督贡献怎样被组织识别？</w:t>
            </w:r>
          </w:p>
        </w:tc>
        <w:tc>
          <w:tcPr>
            <w:tcW w:w="4082" w:type="dxa"/>
            <w:tcBorders>
              <w:top w:val="nil"/>
              <w:left w:val="nil"/>
              <w:bottom w:val="single" w:color="000000" w:themeColor="dark1" w:sz="12" w:space="0"/>
              <w:right w:val="nil"/>
            </w:tcBorders>
            <w:shd w:val="clear" w:color="auto" w:fill="FFFFFF"/>
            <w:tcMar>
              <w:top w:w="85" w:type="dxa"/>
              <w:left w:w="95" w:type="dxa"/>
              <w:bottom w:w="85" w:type="dxa"/>
              <w:right w:w="95" w:type="dxa"/>
            </w:tcMar>
            <w:vAlign w:val="center"/>
          </w:tcPr>
          <w:p w14:paraId="6FBCDF29">
            <w:pPr>
              <w:spacing w:after="0" w:line="278" w:lineRule="auto"/>
              <w:rPr>
                <w:rFonts w:hint="default" w:ascii="Times New Roman" w:hAnsi="Times New Roman" w:eastAsia="宋体" w:cs="Times New Roman"/>
                <w:b w:val="0"/>
                <w:i w:val="0"/>
                <w:color w:val="08090C"/>
              </w:rPr>
            </w:pPr>
            <w:r>
              <w:rPr>
                <w:rFonts w:hint="default" w:ascii="Times New Roman" w:hAnsi="Times New Roman" w:eastAsia="宋体" w:cs="Times New Roman"/>
                <w:b w:val="0"/>
                <w:i w:val="0"/>
                <w:color w:val="08090C"/>
                <w:sz w:val="16"/>
              </w:rPr>
              <w:t>团队能力归因、过程数据与AI协作测评</w:t>
            </w:r>
          </w:p>
        </w:tc>
      </w:tr>
    </w:tbl>
    <w:p w14:paraId="045C61F0">
      <w:pPr>
        <w:widowControl/>
        <w:spacing w:after="0"/>
        <w:rPr>
          <w:rFonts w:hint="default" w:ascii="Times New Roman" w:hAnsi="Times New Roman" w:eastAsia="宋体" w:cs="Times New Roman"/>
        </w:rPr>
      </w:pPr>
    </w:p>
    <w:p w14:paraId="50A1284D">
      <w:pPr>
        <w:pStyle w:val="3"/>
        <w:widowControl/>
        <w:rPr>
          <w:rFonts w:hint="default" w:ascii="Times New Roman" w:hAnsi="Times New Roman" w:eastAsia="宋体" w:cs="Times New Roman"/>
        </w:rPr>
      </w:pPr>
      <w:r>
        <w:rPr>
          <w:rFonts w:hint="default" w:ascii="Times New Roman" w:hAnsi="Times New Roman" w:eastAsia="宋体" w:cs="Times New Roman"/>
        </w:rPr>
        <w:t>附录 A｜主要邻近文献与核验说明</w:t>
      </w:r>
    </w:p>
    <w:p w14:paraId="2FD8641C">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 </w:t>
      </w:r>
      <w:r>
        <w:rPr>
          <w:rFonts w:hint="default" w:ascii="Times New Roman" w:hAnsi="Times New Roman" w:eastAsia="宋体" w:cs="Times New Roman"/>
          <w:sz w:val="17"/>
        </w:rPr>
        <w:t>Bernstein, E. S. (2012). The Transparency Paradox: A Role for Privacy in Organizational Learning and Operational Control. Administrative Science Quarterly, 57(2), 181–216.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"https://doi.org/10.1177/0001839212453028"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〔正式期刊；研究摘要与机构页面〕</w:t>
      </w:r>
    </w:p>
    <w:p w14:paraId="526FA4EE">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[2] </w:t>
      </w:r>
      <w:r>
        <w:rPr>
          <w:rFonts w:hint="default" w:ascii="Times New Roman" w:hAnsi="Times New Roman" w:eastAsia="宋体" w:cs="Times New Roman"/>
          <w:sz w:val="17"/>
        </w:rPr>
        <w:t>Reif, J. A., Larrick, R. P., &amp; Soll, J. B. (2025). Evidence of a Social Evaluation Penalty for Using AI. PNAS, 122(19), e2426766122.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"https://doi.org/10.1073/pnas.2426766122"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〔正式期刊；出版者摘要与研究内容〕</w:t>
      </w:r>
    </w:p>
    <w:p w14:paraId="58DFEC6C">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[3] </w:t>
      </w:r>
      <w:r>
        <w:rPr>
          <w:rFonts w:hint="default" w:ascii="Times New Roman" w:hAnsi="Times New Roman" w:eastAsia="宋体" w:cs="Times New Roman"/>
          <w:sz w:val="17"/>
        </w:rPr>
        <w:t>Yang, Y., &amp; Shi, B. (2026). A Tool or A Collaborator: How Employees and Managers React to AI Framing and AI Usage Frequency Information. SSRN working paper.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"https://doi.org/10.2139/ssrn.7132918"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〔工作论文；公开摘要核对〕</w:t>
      </w:r>
    </w:p>
    <w:p w14:paraId="616520DB">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[4] </w:t>
      </w:r>
      <w:r>
        <w:rPr>
          <w:rFonts w:hint="default" w:ascii="Times New Roman" w:hAnsi="Times New Roman" w:eastAsia="宋体" w:cs="Times New Roman"/>
          <w:sz w:val="17"/>
        </w:rPr>
        <w:t>Belot, M., Kircher, P., &amp; Muller, P. (2019). Providing Advice to Jobseekers at Low Cost: An Experimental Study on Online Advice. Review of Economic Studies, 86(4), 1411–1447.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"https://doi.org/10.1093/restud/rdy059"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〔正式期刊；文章页与摘要〕</w:t>
      </w:r>
    </w:p>
    <w:p w14:paraId="05F13468">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[5] </w:t>
      </w:r>
      <w:r>
        <w:rPr>
          <w:rFonts w:hint="default" w:ascii="Times New Roman" w:hAnsi="Times New Roman" w:eastAsia="宋体" w:cs="Times New Roman"/>
          <w:sz w:val="17"/>
        </w:rPr>
        <w:t>Jiang, R., Chiappa, S., Lattimore, T., György, A., &amp; Kohli, P. (2019). Degenerate Feedback Loops in Recommender Systems. AIES.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"https://doi.org/10.1145/3306618.3314288"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〔正式会议；元数据与摘要〕</w:t>
      </w:r>
    </w:p>
    <w:p w14:paraId="7199CCCE">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[6] </w:t>
      </w:r>
      <w:r>
        <w:rPr>
          <w:rFonts w:hint="default" w:ascii="Times New Roman" w:hAnsi="Times New Roman" w:eastAsia="宋体" w:cs="Times New Roman"/>
          <w:sz w:val="17"/>
        </w:rPr>
        <w:t>Krauth, K., Wang, Y., &amp; Jordan, M. I. (2022). Breaking Feedback Loops in Recommender Systems with Causal Inference. arXiv:2207.01616.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"https://arxiv.org/abs/2207.01616"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〔预印本；摘要层〕</w:t>
      </w:r>
    </w:p>
    <w:p w14:paraId="443EAA53">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[7] </w:t>
      </w:r>
      <w:r>
        <w:rPr>
          <w:rFonts w:hint="default" w:ascii="Times New Roman" w:hAnsi="Times New Roman" w:eastAsia="宋体" w:cs="Times New Roman"/>
          <w:sz w:val="17"/>
        </w:rPr>
        <w:t>Liu, L. T., et al. (2020). The Disparate Equilibria of Algorithmic Decision Making when Individuals Invest Rationally. FAT* 2020.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"https://doi.org/10.1145/3351095.3372861"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〔模型§2.1–2.2定向核验〕</w:t>
      </w:r>
    </w:p>
    <w:p w14:paraId="0A5FBD5D">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[8] </w:t>
      </w:r>
      <w:r>
        <w:rPr>
          <w:rFonts w:hint="default" w:ascii="Times New Roman" w:hAnsi="Times New Roman" w:eastAsia="宋体" w:cs="Times New Roman"/>
          <w:sz w:val="17"/>
        </w:rPr>
        <w:t>Somerstep, S., Ritov, Y., &amp; Sun, Y. (2024). Algorithmic Fairness in Performative Policy Learning: Escaping the Impossibility of Group Fairness. FAccT 2024.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"https://doi.org/10.1145/3630106.3658929"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〔§3.2 Example 3.4定向核验〕</w:t>
      </w:r>
    </w:p>
    <w:p w14:paraId="7F5503D8">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[9] </w:t>
      </w:r>
      <w:r>
        <w:rPr>
          <w:rFonts w:hint="default" w:ascii="Times New Roman" w:hAnsi="Times New Roman" w:eastAsia="宋体" w:cs="Times New Roman"/>
          <w:sz w:val="17"/>
        </w:rPr>
        <w:t>Carranza, E., Garlick, R., Orkin, K., &amp; Rankin, N. (2022). Job Search and Hiring with Limited Information about Workseekers’ Skills. American Economic Review, 112(11), 3547–3583.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"https://doi.org/10.1257/aer.20200961"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〔处理设计及部分结果定向核验〕</w:t>
      </w:r>
    </w:p>
    <w:p w14:paraId="0E4D452E">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[10] </w:t>
      </w:r>
      <w:r>
        <w:rPr>
          <w:rFonts w:hint="default" w:ascii="Times New Roman" w:hAnsi="Times New Roman" w:eastAsia="宋体" w:cs="Times New Roman"/>
          <w:sz w:val="17"/>
        </w:rPr>
        <w:t>Upadhyay, S., Lakkaraju, H., &amp; Gajos, K. Z. (2025). Counterfactual Explanations May Not Be the Best Algorithmic Recourse Approach. IUI 2025.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"https://doi.org/10.1145/3708359.3712095"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〔实验任务设计与相关结果〕</w:t>
      </w:r>
    </w:p>
    <w:p w14:paraId="3830A4B4">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[11] </w:t>
      </w:r>
      <w:r>
        <w:rPr>
          <w:rFonts w:hint="default" w:ascii="Times New Roman" w:hAnsi="Times New Roman" w:eastAsia="宋体" w:cs="Times New Roman"/>
          <w:sz w:val="17"/>
        </w:rPr>
        <w:t>Autor, D. H. (2001). Why Do Temporary Help Firms Provide Free General Skills Training? Quarterly Journal of Economics, 116(4), 1409–1448.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"https://doi.org/10.1162/003355301753265615"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〔正式PDF引言及理论部分〕</w:t>
      </w:r>
    </w:p>
    <w:p w14:paraId="10DB2717">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[12] </w:t>
      </w:r>
      <w:r>
        <w:rPr>
          <w:rFonts w:hint="default" w:ascii="Times New Roman" w:hAnsi="Times New Roman" w:eastAsia="宋体" w:cs="Times New Roman"/>
          <w:sz w:val="17"/>
        </w:rPr>
        <w:t>Acemoglu, D., &amp; Pischke, J.-S. (2000). Certification of Training and Training Outcomes. European Economic Review, 44(4–6), 917–927.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"https://doi.org/10.1016/S0014-2921(99)00049-5"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〔出版者节选；非全文逐式核验〕</w:t>
      </w:r>
    </w:p>
    <w:p w14:paraId="305E5F8F">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[13] </w:t>
      </w:r>
      <w:r>
        <w:rPr>
          <w:rFonts w:hint="default" w:ascii="Times New Roman" w:hAnsi="Times New Roman" w:eastAsia="宋体" w:cs="Times New Roman"/>
          <w:sz w:val="17"/>
        </w:rPr>
        <w:t>Ahmadi, S., Beyhaghi, H., Blum, A., &amp; Naggita, K. (2022). On Classification of Strategic Agents Who Can Both Game and Improve. FORC 2022.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"https://doi.org/10.4230/LIPIcs.FORC.2022.3"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〔正式论文设定与目标〕</w:t>
      </w:r>
    </w:p>
    <w:p w14:paraId="6F46E026">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[14] </w:t>
      </w:r>
      <w:r>
        <w:rPr>
          <w:rFonts w:hint="default" w:ascii="Times New Roman" w:hAnsi="Times New Roman" w:eastAsia="宋体" w:cs="Times New Roman"/>
          <w:sz w:val="17"/>
        </w:rPr>
        <w:t>Couto, M. C., Barsotti, F., &amp; Santos, F. P. (2025). Collective Dynamics of Strategic Classification. arXiv:2508.09340.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"https://arxiv.org/abs/2508.09340"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〔预印本；模型§2.1–2.3〕</w:t>
      </w:r>
    </w:p>
    <w:p w14:paraId="20B8E6F9">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[15] </w:t>
      </w:r>
      <w:r>
        <w:rPr>
          <w:rFonts w:hint="default" w:ascii="Times New Roman" w:hAnsi="Times New Roman" w:eastAsia="宋体" w:cs="Times New Roman"/>
          <w:sz w:val="17"/>
        </w:rPr>
        <w:t>Bapna, S., Benson, A., &amp; Funk, R. (2026). Job Rejection Message Content Shapes the Composition of Future Applicant Pools. SSRN working paper.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"https://doi.org/10.2139/ssrn.3953695"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〔工作论文；摘要/元数据〕</w:t>
      </w:r>
    </w:p>
    <w:p w14:paraId="654EE005">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[16] </w:t>
      </w:r>
      <w:r>
        <w:rPr>
          <w:rFonts w:hint="default" w:ascii="Times New Roman" w:hAnsi="Times New Roman" w:eastAsia="宋体" w:cs="Times New Roman"/>
          <w:sz w:val="17"/>
        </w:rPr>
        <w:t>Espeland, W. N., &amp; Sauder, M. (2007). Rankings and Reactivity: How Public Measures Recreate Social Worlds. American Journal of Sociology.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"https://doi.org/10.1086/517897"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〔组织反应性核心论述〕</w:t>
      </w:r>
    </w:p>
    <w:p w14:paraId="712319BB">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[17] </w:t>
      </w:r>
      <w:r>
        <w:rPr>
          <w:rFonts w:hint="default" w:ascii="Times New Roman" w:hAnsi="Times New Roman" w:eastAsia="宋体" w:cs="Times New Roman"/>
          <w:sz w:val="17"/>
        </w:rPr>
        <w:t>Qiu, X., &amp; Shan, L. (2026). Testing Under Strategic Manipulation: Mechanism Design for Human and AI Institutions. AAAI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"https://doi.org/10.1609/aaai.v40i20.38772"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〔§2固定真实属性设定〕</w:t>
      </w:r>
    </w:p>
    <w:p w14:paraId="302231C0">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[18] </w:t>
      </w:r>
      <w:r>
        <w:rPr>
          <w:rFonts w:hint="default" w:ascii="Times New Roman" w:hAnsi="Times New Roman" w:eastAsia="宋体" w:cs="Times New Roman"/>
          <w:sz w:val="17"/>
        </w:rPr>
        <w:t>Miller, J., Milli, S., &amp; Hardt, M. (2020). Strategic Classification is Causal Modeling in Disguise. ICML.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"https://proceedings.mlr.press/v119/miller20b.html"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〔正式摘要与元数据〕</w:t>
      </w:r>
    </w:p>
    <w:p w14:paraId="23562545">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[19] </w:t>
      </w:r>
      <w:r>
        <w:rPr>
          <w:rFonts w:hint="default" w:ascii="Times New Roman" w:hAnsi="Times New Roman" w:eastAsia="宋体" w:cs="Times New Roman"/>
          <w:sz w:val="17"/>
        </w:rPr>
        <w:t>Hausknecht, J. P., et al. (2007). Retesting in Selection: A Meta-Analysis of Coaching and Practice Effects for Tests of Cognitive Ability. Journal of Applied Psychology.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"https://pubmed.ncbi.nlm.nih.gov/17371085/"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〔文献线索，未在本轮完整模型核验〕</w:t>
      </w:r>
    </w:p>
    <w:p w14:paraId="1BB71387">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[20] </w:t>
      </w:r>
      <w:r>
        <w:rPr>
          <w:rFonts w:hint="default" w:ascii="Times New Roman" w:hAnsi="Times New Roman" w:eastAsia="宋体" w:cs="Times New Roman"/>
          <w:sz w:val="17"/>
        </w:rPr>
        <w:t>Perdomo, J., et al. (2020). Performative Prediction. ICML.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"https://proceedings.mlr.press/v119/perdomo20a.html"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〔正式摘要与元数据〕</w:t>
      </w:r>
    </w:p>
    <w:p w14:paraId="35DE5458">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[21] </w:t>
      </w:r>
      <w:r>
        <w:rPr>
          <w:rFonts w:hint="default" w:ascii="Times New Roman" w:hAnsi="Times New Roman" w:eastAsia="宋体" w:cs="Times New Roman"/>
          <w:sz w:val="17"/>
        </w:rPr>
        <w:t>Spoladore, D., Criscuolo, S., &amp; Isgrò, F. (2026). Representing Jobs and Job Seekers in AI-Based Recommender Systems: A Literature Review. Engineering Applications of Artificial Intelligence, 174, 114450.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"https://doi.org/10.1016/j.engappai.2026.114450"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〔综述文章；摘要层〕</w:t>
      </w:r>
    </w:p>
    <w:p w14:paraId="51540150">
      <w:pPr>
        <w:widowControl/>
        <w:spacing w:after="60" w:line="271" w:lineRule="auto"/>
        <w:rPr>
          <w:rFonts w:hint="default" w:ascii="Times New Roman" w:hAnsi="Times New Roman" w:eastAsia="宋体" w:cs="Times New Roman"/>
        </w:rPr>
      </w:pPr>
      <w:r>
        <w:rPr>
          <w:rFonts w:hint="default" w:ascii="Times New Roman" w:hAnsi="Times New Roman" w:eastAsia="宋体" w:cs="Times New Roman"/>
          <w:b/>
          <w:color w:val="1B344A"/>
        </w:rPr>
        <w:t xml:space="preserve">[22] </w:t>
      </w:r>
      <w:r>
        <w:rPr>
          <w:rFonts w:hint="default" w:ascii="Times New Roman" w:hAnsi="Times New Roman" w:eastAsia="宋体" w:cs="Times New Roman"/>
          <w:sz w:val="17"/>
        </w:rPr>
        <w:t>Piezunka, H., &amp; Dahlander, L. (2019). Idea Rejected, Tie Formed: Organizations’ Feedback on Crowdsourced Ideas. Academy of Management Journal.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"https://doi.org/10.5465/amj.2016.0703"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276B93"/>
          <w:u w:val="single"/>
        </w:rPr>
        <w:t>原文</w:t>
      </w:r>
      <w:r>
        <w:rPr>
          <w:rFonts w:hint="default" w:ascii="Times New Roman" w:hAnsi="Times New Roman" w:eastAsia="宋体" w:cs="Times New Roman"/>
          <w:color w:val="276B93"/>
          <w:u w:val="single"/>
        </w:rPr>
        <w:fldChar w:fldCharType="end"/>
      </w:r>
      <w:r>
        <w:rPr>
          <w:rFonts w:hint="default" w:ascii="Times New Roman" w:hAnsi="Times New Roman" w:eastAsia="宋体" w:cs="Times New Roman"/>
          <w:i/>
          <w:color w:val="5D6871"/>
          <w:sz w:val="15"/>
        </w:rPr>
        <w:t xml:space="preserve"> 〔既有研究线索；未作全文复核〕</w:t>
      </w:r>
    </w:p>
    <w:p w14:paraId="53B16449">
      <w:pPr>
        <w:widowControl/>
        <w:rPr>
          <w:rFonts w:hint="default" w:ascii="Times New Roman" w:hAnsi="Times New Roman" w:eastAsia="宋体" w:cs="Times New Roman"/>
        </w:rPr>
      </w:pPr>
    </w:p>
    <w:sectPr>
      <w:headerReference r:id="rId5" w:type="default"/>
      <w:footerReference r:id="rId6" w:type="default"/>
      <w:pgSz w:w="11906" w:h="16838"/>
      <w:pgMar w:top="1179" w:right="1213" w:bottom="1049" w:left="1264" w:header="510"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西文标题">
    <w:altName w:val="FFont-Family"/>
    <w:panose1 w:val="00000000000000000000"/>
    <w:charset w:val="00"/>
    <w:family w:val="auto"/>
    <w:pitch w:val="default"/>
    <w:sig w:usb0="00000000" w:usb1="00000000" w:usb2="00000000" w:usb3="00000000" w:csb0="00000000" w:csb1="00000000"/>
  </w:font>
  <w:font w:name="+中文标题">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8DE27">
    <w:pPr>
      <w:pStyle w:val="30"/>
      <w:tabs>
        <w:tab w:val="center" w:pos="4680"/>
        <w:tab w:val="right" w:pos="9360"/>
        <w:tab w:val="clear" w:pos="4153"/>
        <w:tab w:val="clear" w:pos="8306"/>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70BE5">
    <w:pPr>
      <w:pStyle w:val="31"/>
      <w:tabs>
        <w:tab w:val="center" w:pos="4680"/>
        <w:tab w:val="right" w:pos="9360"/>
        <w:tab w:val="clear" w:pos="4153"/>
        <w:tab w:val="clear" w:pos="8306"/>
      </w:tabs>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3A36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0" w:semiHidden="0" w:name="Title"/>
    <w:lsdException w:uiPriority="99" w:name="Closing"/>
    <w:lsdException w:qFormat="1" w:unhideWhenUsed="0" w:uiPriority="0" w:semiHidden="0" w:name="Signature"/>
    <w:lsdException w:qFormat="1" w:unhideWhenUsed="0" w:uiPriority="0" w:name="Default Paragraph Font"/>
    <w:lsdException w:qFormat="1" w:unhideWhenUsed="0" w:uiPriority="0"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3">
    <w:name w:val="heading 1"/>
    <w:basedOn w:val="1"/>
    <w:next w:val="1"/>
    <w:link w:val="157"/>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4">
    <w:name w:val="heading 2"/>
    <w:basedOn w:val="1"/>
    <w:next w:val="1"/>
    <w:link w:val="158"/>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5">
    <w:name w:val="heading 3"/>
    <w:basedOn w:val="1"/>
    <w:next w:val="1"/>
    <w:link w:val="159"/>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6">
    <w:name w:val="heading 4"/>
    <w:basedOn w:val="1"/>
    <w:next w:val="1"/>
    <w:link w:val="169"/>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7">
    <w:name w:val="heading 5"/>
    <w:basedOn w:val="1"/>
    <w:next w:val="8"/>
    <w:link w:val="170"/>
    <w:unhideWhenUsed/>
    <w:qFormat/>
    <w:uiPriority w:val="0"/>
    <w:pPr>
      <w:keepNext/>
      <w:keepLines/>
      <w:spacing w:before="120" w:beforeLines="120" w:beforeAutospacing="0" w:after="80" w:afterLines="80" w:afterAutospacing="0" w:line="288" w:lineRule="auto"/>
      <w:outlineLvl w:val="4"/>
    </w:pPr>
    <w:rPr>
      <w:b/>
      <w:bCs/>
    </w:rPr>
  </w:style>
  <w:style w:type="paragraph" w:styleId="9">
    <w:name w:val="heading 6"/>
    <w:basedOn w:val="1"/>
    <w:next w:val="8"/>
    <w:link w:val="171"/>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10">
    <w:name w:val="heading 7"/>
    <w:basedOn w:val="1"/>
    <w:next w:val="8"/>
    <w:link w:val="172"/>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1">
    <w:name w:val="heading 8"/>
    <w:basedOn w:val="1"/>
    <w:next w:val="8"/>
    <w:link w:val="173"/>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2">
    <w:name w:val="heading 9"/>
    <w:basedOn w:val="1"/>
    <w:next w:val="8"/>
    <w:link w:val="174"/>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145">
    <w:name w:val="Default Paragraph Font"/>
    <w:semiHidden/>
    <w:qFormat/>
    <w:uiPriority w:val="0"/>
  </w:style>
  <w:style w:type="table" w:default="1" w:styleId="45">
    <w:name w:val="Normal Table"/>
    <w:semiHidden/>
    <w:unhideWhenUsed/>
    <w:uiPriority w:val="99"/>
    <w:tblPr>
      <w:tblCellMar>
        <w:top w:w="0" w:type="dxa"/>
        <w:left w:w="108" w:type="dxa"/>
        <w:bottom w:w="0" w:type="dxa"/>
        <w:right w:w="108" w:type="dxa"/>
      </w:tblCellMar>
    </w:tblPr>
  </w:style>
  <w:style w:type="paragraph" w:styleId="2">
    <w:name w:val="macro"/>
    <w:link w:val="166"/>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8">
    <w:name w:val="Body Text"/>
    <w:basedOn w:val="1"/>
    <w:link w:val="163"/>
    <w:qFormat/>
    <w:uiPriority w:val="0"/>
    <w:pPr>
      <w:spacing w:after="120" w:afterLines="0" w:afterAutospacing="0"/>
    </w:pPr>
  </w:style>
  <w:style w:type="paragraph" w:styleId="13">
    <w:name w:val="List 3"/>
    <w:basedOn w:val="1"/>
    <w:unhideWhenUsed/>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7">
    <w:name w:val="List Bullet"/>
    <w:basedOn w:val="1"/>
    <w:unhideWhenUsed/>
    <w:uiPriority w:val="99"/>
    <w:pPr>
      <w:numPr>
        <w:ilvl w:val="0"/>
        <w:numId w:val="3"/>
      </w:numPr>
      <w:contextualSpacing/>
    </w:pPr>
  </w:style>
  <w:style w:type="paragraph" w:styleId="18">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9">
    <w:name w:val="Salutation"/>
    <w:basedOn w:val="1"/>
    <w:next w:val="1"/>
    <w:qFormat/>
    <w:uiPriority w:val="0"/>
  </w:style>
  <w:style w:type="paragraph" w:styleId="20">
    <w:name w:val="Body Text 3"/>
    <w:basedOn w:val="1"/>
    <w:link w:val="165"/>
    <w:unhideWhenUsed/>
    <w:uiPriority w:val="99"/>
    <w:pPr>
      <w:spacing w:after="120"/>
    </w:pPr>
    <w:rPr>
      <w:sz w:val="16"/>
      <w:szCs w:val="16"/>
    </w:rPr>
  </w:style>
  <w:style w:type="paragraph" w:styleId="21">
    <w:name w:val="List Bullet 3"/>
    <w:basedOn w:val="1"/>
    <w:unhideWhenUsed/>
    <w:uiPriority w:val="99"/>
    <w:pPr>
      <w:numPr>
        <w:ilvl w:val="0"/>
        <w:numId w:val="4"/>
      </w:numPr>
      <w:contextualSpacing/>
    </w:pPr>
  </w:style>
  <w:style w:type="paragraph" w:styleId="22">
    <w:name w:val="List Number 3"/>
    <w:basedOn w:val="1"/>
    <w:unhideWhenUsed/>
    <w:uiPriority w:val="99"/>
    <w:pPr>
      <w:numPr>
        <w:ilvl w:val="0"/>
        <w:numId w:val="5"/>
      </w:numPr>
      <w:contextualSpacing/>
    </w:pPr>
  </w:style>
  <w:style w:type="paragraph" w:styleId="23">
    <w:name w:val="List 2"/>
    <w:basedOn w:val="1"/>
    <w:unhideWhenUsed/>
    <w:uiPriority w:val="99"/>
    <w:pPr>
      <w:ind w:left="720" w:hanging="360"/>
      <w:contextualSpacing/>
    </w:pPr>
  </w:style>
  <w:style w:type="paragraph" w:styleId="24">
    <w:name w:val="List Continue"/>
    <w:basedOn w:val="1"/>
    <w:unhideWhenUsed/>
    <w:uiPriority w:val="99"/>
    <w:pPr>
      <w:spacing w:after="120"/>
      <w:ind w:left="360"/>
      <w:contextualSpacing/>
    </w:pPr>
  </w:style>
  <w:style w:type="paragraph" w:styleId="25">
    <w:name w:val="List Bullet 2"/>
    <w:basedOn w:val="1"/>
    <w:unhideWhenUsed/>
    <w:uiPriority w:val="99"/>
    <w:pPr>
      <w:numPr>
        <w:ilvl w:val="0"/>
        <w:numId w:val="6"/>
      </w:numPr>
      <w:contextualSpacing/>
    </w:pPr>
  </w:style>
  <w:style w:type="paragraph" w:styleId="26">
    <w:name w:val="toc 3"/>
    <w:basedOn w:val="1"/>
    <w:next w:val="1"/>
    <w:qFormat/>
    <w:uiPriority w:val="0"/>
    <w:pPr>
      <w:ind w:left="840" w:leftChars="400"/>
    </w:pPr>
  </w:style>
  <w:style w:type="paragraph" w:styleId="27">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8">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29">
    <w:name w:val="Balloon Text"/>
    <w:basedOn w:val="1"/>
    <w:qFormat/>
    <w:uiPriority w:val="0"/>
    <w:rPr>
      <w:sz w:val="18"/>
      <w:szCs w:val="18"/>
    </w:rPr>
  </w:style>
  <w:style w:type="paragraph" w:styleId="30">
    <w:name w:val="footer"/>
    <w:basedOn w:val="1"/>
    <w:link w:val="155"/>
    <w:qFormat/>
    <w:uiPriority w:val="0"/>
    <w:pPr>
      <w:tabs>
        <w:tab w:val="center" w:pos="4153"/>
        <w:tab w:val="right" w:pos="8306"/>
      </w:tabs>
      <w:ind w:firstLine="0" w:firstLineChars="0"/>
      <w:jc w:val="left"/>
    </w:pPr>
    <w:rPr>
      <w:sz w:val="18"/>
      <w:szCs w:val="18"/>
    </w:rPr>
  </w:style>
  <w:style w:type="paragraph" w:styleId="31">
    <w:name w:val="header"/>
    <w:basedOn w:val="1"/>
    <w:link w:val="154"/>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32">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33">
    <w:name w:val="toc 1"/>
    <w:basedOn w:val="1"/>
    <w:next w:val="1"/>
    <w:qFormat/>
    <w:uiPriority w:val="0"/>
  </w:style>
  <w:style w:type="paragraph" w:styleId="34">
    <w:name w:val="Subtitle"/>
    <w:basedOn w:val="1"/>
    <w:next w:val="8"/>
    <w:link w:val="161"/>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35">
    <w:name w:val="List"/>
    <w:basedOn w:val="1"/>
    <w:unhideWhenUsed/>
    <w:uiPriority w:val="99"/>
    <w:pPr>
      <w:ind w:left="360" w:hanging="360"/>
      <w:contextualSpacing/>
    </w:pPr>
  </w:style>
  <w:style w:type="paragraph" w:styleId="36">
    <w:name w:val="footnote text"/>
    <w:basedOn w:val="1"/>
    <w:qFormat/>
    <w:uiPriority w:val="0"/>
    <w:pPr>
      <w:jc w:val="left"/>
    </w:pPr>
    <w:rPr>
      <w:rFonts w:asciiTheme="minorAscii" w:hAnsiTheme="minorAscii" w:eastAsiaTheme="minorEastAsia"/>
      <w:sz w:val="24"/>
      <w:szCs w:val="24"/>
    </w:rPr>
  </w:style>
  <w:style w:type="paragraph" w:styleId="37">
    <w:name w:val="toc 2"/>
    <w:basedOn w:val="1"/>
    <w:next w:val="1"/>
    <w:qFormat/>
    <w:uiPriority w:val="0"/>
    <w:pPr>
      <w:ind w:left="420" w:leftChars="200"/>
    </w:pPr>
  </w:style>
  <w:style w:type="paragraph" w:styleId="38">
    <w:name w:val="Body Text 2"/>
    <w:basedOn w:val="1"/>
    <w:link w:val="164"/>
    <w:unhideWhenUsed/>
    <w:uiPriority w:val="99"/>
    <w:pPr>
      <w:spacing w:after="120" w:line="480" w:lineRule="auto"/>
    </w:pPr>
  </w:style>
  <w:style w:type="paragraph" w:styleId="39">
    <w:name w:val="List Continue 2"/>
    <w:basedOn w:val="1"/>
    <w:unhideWhenUsed/>
    <w:uiPriority w:val="99"/>
    <w:pPr>
      <w:spacing w:after="120"/>
      <w:ind w:left="720"/>
      <w:contextualSpacing/>
    </w:pPr>
  </w:style>
  <w:style w:type="paragraph" w:styleId="40">
    <w:name w:val="HTML Preformatted"/>
    <w:basedOn w:val="1"/>
    <w:qFormat/>
    <w:uiPriority w:val="0"/>
    <w:rPr>
      <w:rFonts w:ascii="Courier New" w:hAnsi="Courier New"/>
      <w:sz w:val="20"/>
    </w:rPr>
  </w:style>
  <w:style w:type="paragraph" w:styleId="41">
    <w:name w:val="Normal (Web)"/>
    <w:basedOn w:val="1"/>
    <w:qFormat/>
    <w:uiPriority w:val="0"/>
    <w:rPr>
      <w:sz w:val="24"/>
    </w:rPr>
  </w:style>
  <w:style w:type="paragraph" w:styleId="42">
    <w:name w:val="List Continue 3"/>
    <w:basedOn w:val="1"/>
    <w:unhideWhenUsed/>
    <w:uiPriority w:val="99"/>
    <w:pPr>
      <w:spacing w:after="120"/>
      <w:ind w:left="1080"/>
      <w:contextualSpacing/>
    </w:pPr>
  </w:style>
  <w:style w:type="paragraph" w:styleId="43">
    <w:name w:val="Title"/>
    <w:basedOn w:val="1"/>
    <w:link w:val="160"/>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44">
    <w:name w:val="annotation subject"/>
    <w:basedOn w:val="18"/>
    <w:next w:val="18"/>
    <w:qFormat/>
    <w:uiPriority w:val="0"/>
    <w:rPr>
      <w:b/>
      <w:color w:val="262626" w:themeColor="text1" w:themeTint="D9"/>
      <w14:textFill>
        <w14:solidFill>
          <w14:schemeClr w14:val="tx1">
            <w14:lumMod w14:val="85000"/>
            <w14:lumOff w14:val="15000"/>
          </w14:schemeClr>
        </w14:solidFill>
      </w14:textFill>
    </w:rPr>
  </w:style>
  <w:style w:type="table" w:styleId="46">
    <w:name w:val="Table Grid"/>
    <w:basedOn w:val="4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7">
    <w:name w:val="Light Shading"/>
    <w:basedOn w:val="4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8">
    <w:name w:val="Light Shading Accent 1"/>
    <w:basedOn w:val="4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9">
    <w:name w:val="Light Shading Accent 2"/>
    <w:basedOn w:val="4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0">
    <w:name w:val="Light Shading Accent 3"/>
    <w:basedOn w:val="4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1">
    <w:name w:val="Light Shading Accent 4"/>
    <w:basedOn w:val="4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4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3">
    <w:name w:val="Light Shading Accent 6"/>
    <w:basedOn w:val="4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4">
    <w:name w:val="Light List"/>
    <w:basedOn w:val="4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5">
    <w:name w:val="Light List Accent 1"/>
    <w:basedOn w:val="4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6">
    <w:name w:val="Light List Accent 2"/>
    <w:basedOn w:val="4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7">
    <w:name w:val="Light List Accent 3"/>
    <w:basedOn w:val="4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8">
    <w:name w:val="Light List Accent 4"/>
    <w:basedOn w:val="4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9">
    <w:name w:val="Light List Accent 5"/>
    <w:basedOn w:val="4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4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1">
    <w:name w:val="Light Grid"/>
    <w:basedOn w:val="4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2">
    <w:name w:val="Light Grid Accent 1"/>
    <w:basedOn w:val="4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3">
    <w:name w:val="Light Grid Accent 2"/>
    <w:basedOn w:val="4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4">
    <w:name w:val="Light Grid Accent 3"/>
    <w:basedOn w:val="4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5">
    <w:name w:val="Light Grid Accent 4"/>
    <w:basedOn w:val="4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6">
    <w:name w:val="Light Grid Accent 5"/>
    <w:basedOn w:val="4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7">
    <w:name w:val="Light Grid Accent 6"/>
    <w:basedOn w:val="4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8">
    <w:name w:val="Medium Shading 1"/>
    <w:basedOn w:val="4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9">
    <w:name w:val="Medium Shading 1 Accent 1"/>
    <w:basedOn w:val="4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0">
    <w:name w:val="Medium Shading 1 Accent 2"/>
    <w:basedOn w:val="4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1">
    <w:name w:val="Medium Shading 1 Accent 3"/>
    <w:basedOn w:val="4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2">
    <w:name w:val="Medium Shading 1 Accent 4"/>
    <w:basedOn w:val="4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3">
    <w:name w:val="Medium Shading 1 Accent 5"/>
    <w:basedOn w:val="4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4">
    <w:name w:val="Medium Shading 1 Accent 6"/>
    <w:basedOn w:val="4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5">
    <w:name w:val="Medium Shading 2"/>
    <w:basedOn w:val="4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1"/>
    <w:basedOn w:val="4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2"/>
    <w:basedOn w:val="4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3"/>
    <w:basedOn w:val="4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4"/>
    <w:basedOn w:val="4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5"/>
    <w:basedOn w:val="4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6"/>
    <w:basedOn w:val="4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List 1"/>
    <w:basedOn w:val="4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3">
    <w:name w:val="Medium List 1 Accent 1"/>
    <w:basedOn w:val="4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4">
    <w:name w:val="Medium List 1 Accent 2"/>
    <w:basedOn w:val="4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5">
    <w:name w:val="Medium List 1 Accent 3"/>
    <w:basedOn w:val="4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6">
    <w:name w:val="Medium List 1 Accent 4"/>
    <w:basedOn w:val="4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7">
    <w:name w:val="Medium List 1 Accent 5"/>
    <w:basedOn w:val="4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8">
    <w:name w:val="Medium List 1 Accent 6"/>
    <w:basedOn w:val="4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9">
    <w:name w:val="Medium List 2"/>
    <w:basedOn w:val="4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1"/>
    <w:basedOn w:val="4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2"/>
    <w:basedOn w:val="4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3"/>
    <w:basedOn w:val="4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4"/>
    <w:basedOn w:val="4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5"/>
    <w:basedOn w:val="4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6"/>
    <w:basedOn w:val="4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Grid 1"/>
    <w:basedOn w:val="4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7">
    <w:name w:val="Medium Grid 1 Accent 1"/>
    <w:basedOn w:val="4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8">
    <w:name w:val="Medium Grid 1 Accent 2"/>
    <w:basedOn w:val="4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9">
    <w:name w:val="Medium Grid 1 Accent 3"/>
    <w:basedOn w:val="4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0">
    <w:name w:val="Medium Grid 1 Accent 4"/>
    <w:basedOn w:val="4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1">
    <w:name w:val="Medium Grid 1 Accent 5"/>
    <w:basedOn w:val="4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2">
    <w:name w:val="Medium Grid 1 Accent 6"/>
    <w:basedOn w:val="4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3">
    <w:name w:val="Medium Grid 2"/>
    <w:basedOn w:val="4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4">
    <w:name w:val="Medium Grid 2 Accent 1"/>
    <w:basedOn w:val="4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5">
    <w:name w:val="Medium Grid 2 Accent 2"/>
    <w:basedOn w:val="4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6">
    <w:name w:val="Medium Grid 2 Accent 3"/>
    <w:basedOn w:val="4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7">
    <w:name w:val="Medium Grid 2 Accent 4"/>
    <w:basedOn w:val="4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8">
    <w:name w:val="Medium Grid 2 Accent 5"/>
    <w:basedOn w:val="4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9">
    <w:name w:val="Medium Grid 2 Accent 6"/>
    <w:basedOn w:val="4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0">
    <w:name w:val="Medium Grid 3"/>
    <w:basedOn w:val="4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1">
    <w:name w:val="Medium Grid 3 Accent 1"/>
    <w:basedOn w:val="4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2">
    <w:name w:val="Medium Grid 3 Accent 2"/>
    <w:basedOn w:val="4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3">
    <w:name w:val="Medium Grid 3 Accent 3"/>
    <w:basedOn w:val="4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4">
    <w:name w:val="Medium Grid 3 Accent 4"/>
    <w:basedOn w:val="4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5">
    <w:name w:val="Medium Grid 3 Accent 5"/>
    <w:basedOn w:val="4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6">
    <w:name w:val="Medium Grid 3 Accent 6"/>
    <w:basedOn w:val="4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7">
    <w:name w:val="Dark List"/>
    <w:basedOn w:val="4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8">
    <w:name w:val="Dark List Accent 1"/>
    <w:basedOn w:val="4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9">
    <w:name w:val="Dark List Accent 2"/>
    <w:basedOn w:val="4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0">
    <w:name w:val="Dark List Accent 3"/>
    <w:basedOn w:val="4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1">
    <w:name w:val="Dark List Accent 4"/>
    <w:basedOn w:val="4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2">
    <w:name w:val="Dark List Accent 5"/>
    <w:basedOn w:val="4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3">
    <w:name w:val="Dark List Accent 6"/>
    <w:basedOn w:val="4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4">
    <w:name w:val="Colorful Shading"/>
    <w:basedOn w:val="4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1"/>
    <w:basedOn w:val="4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2"/>
    <w:basedOn w:val="4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3"/>
    <w:basedOn w:val="4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8">
    <w:name w:val="Colorful Shading Accent 4"/>
    <w:basedOn w:val="4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5"/>
    <w:basedOn w:val="4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6"/>
    <w:basedOn w:val="4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List"/>
    <w:basedOn w:val="4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2">
    <w:name w:val="Colorful List Accent 1"/>
    <w:basedOn w:val="4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3">
    <w:name w:val="Colorful List Accent 2"/>
    <w:basedOn w:val="4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4">
    <w:name w:val="Colorful List Accent 3"/>
    <w:basedOn w:val="4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5">
    <w:name w:val="Colorful List Accent 4"/>
    <w:basedOn w:val="4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6">
    <w:name w:val="Colorful List Accent 5"/>
    <w:basedOn w:val="4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7">
    <w:name w:val="Colorful List Accent 6"/>
    <w:basedOn w:val="4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8">
    <w:name w:val="Colorful Grid"/>
    <w:basedOn w:val="4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9">
    <w:name w:val="Colorful Grid Accent 1"/>
    <w:basedOn w:val="4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0">
    <w:name w:val="Colorful Grid Accent 2"/>
    <w:basedOn w:val="4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1">
    <w:name w:val="Colorful Grid Accent 3"/>
    <w:basedOn w:val="4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Colorful Grid Accent 4"/>
    <w:basedOn w:val="4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3">
    <w:name w:val="Colorful Grid Accent 5"/>
    <w:basedOn w:val="4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4">
    <w:name w:val="Colorful Grid Accent 6"/>
    <w:basedOn w:val="4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6">
    <w:name w:val="Strong"/>
    <w:basedOn w:val="145"/>
    <w:qFormat/>
    <w:uiPriority w:val="0"/>
    <w:rPr>
      <w:rFonts w:asciiTheme="minorAscii" w:hAnsiTheme="minorAscii" w:eastAsiaTheme="minorEastAsia"/>
      <w:b/>
    </w:rPr>
  </w:style>
  <w:style w:type="character" w:styleId="147">
    <w:name w:val="endnote reference"/>
    <w:basedOn w:val="145"/>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148">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149">
    <w:name w:val="FollowedHyperlink"/>
    <w:basedOn w:val="145"/>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150">
    <w:name w:val="Emphasis"/>
    <w:basedOn w:val="145"/>
    <w:qFormat/>
    <w:uiPriority w:val="0"/>
    <w:rPr>
      <w:i/>
    </w:rPr>
  </w:style>
  <w:style w:type="character" w:styleId="151">
    <w:name w:val="Hyperlink"/>
    <w:basedOn w:val="145"/>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152">
    <w:name w:val="annotation reference"/>
    <w:basedOn w:val="145"/>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153">
    <w:name w:val="footnote reference"/>
    <w:basedOn w:val="145"/>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customStyle="1" w:styleId="154">
    <w:name w:val="Header Char"/>
    <w:link w:val="31"/>
    <w:uiPriority w:val="99"/>
    <w:rPr>
      <w:sz w:val="18"/>
      <w:szCs w:val="18"/>
    </w:rPr>
  </w:style>
  <w:style w:type="character" w:customStyle="1" w:styleId="155">
    <w:name w:val="Footer Char"/>
    <w:link w:val="30"/>
    <w:qFormat/>
    <w:uiPriority w:val="99"/>
    <w:rPr>
      <w:sz w:val="18"/>
      <w:szCs w:val="18"/>
    </w:rPr>
  </w:style>
  <w:style w:type="paragraph" w:styleId="15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7">
    <w:name w:val="Heading 1 Char"/>
    <w:link w:val="3"/>
    <w:uiPriority w:val="9"/>
    <w:rPr>
      <w:b/>
      <w:bCs/>
      <w:kern w:val="44"/>
      <w:sz w:val="36"/>
      <w:szCs w:val="36"/>
    </w:rPr>
  </w:style>
  <w:style w:type="character" w:customStyle="1" w:styleId="158">
    <w:name w:val="Heading 2 Char"/>
    <w:link w:val="4"/>
    <w:uiPriority w:val="9"/>
    <w:rPr>
      <w:b/>
      <w:bCs/>
      <w:sz w:val="32"/>
      <w:szCs w:val="32"/>
    </w:rPr>
  </w:style>
  <w:style w:type="character" w:customStyle="1" w:styleId="159">
    <w:name w:val="Heading 3 Char"/>
    <w:link w:val="5"/>
    <w:uiPriority w:val="9"/>
    <w:rPr>
      <w:b/>
      <w:bCs/>
      <w:sz w:val="30"/>
      <w:szCs w:val="30"/>
    </w:rPr>
  </w:style>
  <w:style w:type="character" w:customStyle="1" w:styleId="160">
    <w:name w:val="Title Char"/>
    <w:link w:val="43"/>
    <w:uiPriority w:val="10"/>
    <w:rPr>
      <w:rFonts w:asciiTheme="majorAscii" w:hAnsiTheme="majorAscii" w:eastAsiaTheme="majorEastAsia"/>
      <w:b/>
      <w:bCs/>
      <w:sz w:val="44"/>
      <w:szCs w:val="44"/>
    </w:rPr>
  </w:style>
  <w:style w:type="character" w:customStyle="1" w:styleId="161">
    <w:name w:val="Subtitle Char"/>
    <w:link w:val="34"/>
    <w:uiPriority w:val="11"/>
    <w:rPr>
      <w:rFonts w:asciiTheme="majorAscii" w:hAnsiTheme="majorAscii" w:eastAsiaTheme="majorEastAsia"/>
      <w:b/>
      <w:kern w:val="28"/>
      <w:sz w:val="32"/>
      <w:szCs w:val="32"/>
    </w:rPr>
  </w:style>
  <w:style w:type="paragraph" w:styleId="162">
    <w:name w:val="List Paragraph"/>
    <w:basedOn w:val="1"/>
    <w:qFormat/>
    <w:uiPriority w:val="34"/>
    <w:pPr>
      <w:ind w:left="720"/>
      <w:contextualSpacing/>
    </w:pPr>
  </w:style>
  <w:style w:type="character" w:customStyle="1" w:styleId="163">
    <w:name w:val="Body Text Char"/>
    <w:link w:val="8"/>
    <w:uiPriority w:val="99"/>
  </w:style>
  <w:style w:type="character" w:customStyle="1" w:styleId="164">
    <w:name w:val="Body Text 2 Char"/>
    <w:basedOn w:val="145"/>
    <w:link w:val="38"/>
    <w:uiPriority w:val="99"/>
  </w:style>
  <w:style w:type="character" w:customStyle="1" w:styleId="165">
    <w:name w:val="Body Text 3 Char"/>
    <w:basedOn w:val="145"/>
    <w:link w:val="20"/>
    <w:uiPriority w:val="99"/>
    <w:rPr>
      <w:sz w:val="16"/>
      <w:szCs w:val="16"/>
    </w:rPr>
  </w:style>
  <w:style w:type="character" w:customStyle="1" w:styleId="166">
    <w:name w:val="Macro Text Char"/>
    <w:basedOn w:val="145"/>
    <w:link w:val="2"/>
    <w:uiPriority w:val="99"/>
    <w:rPr>
      <w:rFonts w:ascii="Courier" w:hAnsi="Courier"/>
      <w:sz w:val="20"/>
      <w:szCs w:val="20"/>
    </w:rPr>
  </w:style>
  <w:style w:type="paragraph" w:styleId="167">
    <w:name w:val="Quote"/>
    <w:basedOn w:val="1"/>
    <w:next w:val="1"/>
    <w:link w:val="168"/>
    <w:qFormat/>
    <w:uiPriority w:val="29"/>
    <w:rPr>
      <w:i/>
      <w:iCs/>
      <w:color w:val="000000" w:themeColor="text1"/>
      <w14:textFill>
        <w14:solidFill>
          <w14:schemeClr w14:val="tx1"/>
        </w14:solidFill>
      </w14:textFill>
    </w:rPr>
  </w:style>
  <w:style w:type="character" w:customStyle="1" w:styleId="168">
    <w:name w:val="Quote Char"/>
    <w:basedOn w:val="145"/>
    <w:link w:val="167"/>
    <w:uiPriority w:val="29"/>
    <w:rPr>
      <w:i/>
      <w:iCs/>
      <w:color w:val="000000" w:themeColor="text1"/>
      <w14:textFill>
        <w14:solidFill>
          <w14:schemeClr w14:val="tx1"/>
        </w14:solidFill>
      </w14:textFill>
    </w:rPr>
  </w:style>
  <w:style w:type="character" w:customStyle="1" w:styleId="169">
    <w:name w:val="Heading 4 Char"/>
    <w:link w:val="6"/>
    <w:semiHidden/>
    <w:uiPriority w:val="9"/>
    <w:rPr>
      <w:b/>
      <w:bCs/>
      <w:sz w:val="28"/>
      <w:szCs w:val="28"/>
    </w:rPr>
  </w:style>
  <w:style w:type="character" w:customStyle="1" w:styleId="170">
    <w:name w:val="Heading 5 Char"/>
    <w:link w:val="7"/>
    <w:semiHidden/>
    <w:uiPriority w:val="9"/>
    <w:rPr>
      <w:b/>
      <w:bCs/>
    </w:rPr>
  </w:style>
  <w:style w:type="character" w:customStyle="1" w:styleId="171">
    <w:name w:val="Heading 6 Char"/>
    <w:link w:val="9"/>
    <w:semiHidden/>
    <w:uiPriority w:val="9"/>
    <w:rPr>
      <w:rFonts w:asciiTheme="minorAscii" w:hAnsiTheme="minorAscii" w:eastAsiaTheme="minorEastAsia"/>
      <w:b/>
      <w:bCs/>
    </w:rPr>
  </w:style>
  <w:style w:type="character" w:customStyle="1" w:styleId="172">
    <w:name w:val="Heading 7 Char"/>
    <w:link w:val="10"/>
    <w:semiHidden/>
    <w:uiPriority w:val="9"/>
    <w:rPr>
      <w:rFonts w:asciiTheme="minorAscii" w:hAnsiTheme="minorAscii" w:eastAsiaTheme="minorEastAsia"/>
      <w:b/>
      <w:bCs/>
    </w:rPr>
  </w:style>
  <w:style w:type="character" w:customStyle="1" w:styleId="173">
    <w:name w:val="Heading 8 Char"/>
    <w:link w:val="11"/>
    <w:semiHidden/>
    <w:uiPriority w:val="9"/>
    <w:rPr>
      <w:rFonts w:asciiTheme="minorAscii" w:hAnsiTheme="minorAscii" w:eastAsiaTheme="minorEastAsia"/>
      <w:b/>
      <w:bCs/>
    </w:rPr>
  </w:style>
  <w:style w:type="character" w:customStyle="1" w:styleId="174">
    <w:name w:val="Heading 9 Char"/>
    <w:link w:val="12"/>
    <w:semiHidden/>
    <w:uiPriority w:val="9"/>
    <w:rPr>
      <w:rFonts w:asciiTheme="minorAscii" w:hAnsiTheme="minorAscii" w:eastAsiaTheme="minorEastAsia"/>
      <w:b/>
      <w:bCs/>
      <w:sz w:val="24"/>
    </w:rPr>
  </w:style>
  <w:style w:type="paragraph" w:styleId="175">
    <w:name w:val="Intense Quote"/>
    <w:basedOn w:val="1"/>
    <w:next w:val="1"/>
    <w:link w:val="17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6">
    <w:name w:val="Intense Quote Char"/>
    <w:basedOn w:val="145"/>
    <w:link w:val="175"/>
    <w:uiPriority w:val="30"/>
    <w:rPr>
      <w:b/>
      <w:bCs/>
      <w:i/>
      <w:iCs/>
      <w:color w:val="4F81BD" w:themeColor="accent1"/>
      <w14:textFill>
        <w14:solidFill>
          <w14:schemeClr w14:val="accent1"/>
        </w14:solidFill>
      </w14:textFill>
    </w:rPr>
  </w:style>
  <w:style w:type="character" w:customStyle="1" w:styleId="177">
    <w:name w:val="Subtle Emphasis"/>
    <w:basedOn w:val="145"/>
    <w:qFormat/>
    <w:uiPriority w:val="19"/>
    <w:rPr>
      <w:i/>
      <w:iCs/>
      <w:color w:val="808080" w:themeColor="text1" w:themeTint="80"/>
      <w14:textFill>
        <w14:solidFill>
          <w14:schemeClr w14:val="tx1">
            <w14:lumMod w14:val="50000"/>
            <w14:lumOff w14:val="50000"/>
          </w14:schemeClr>
        </w14:solidFill>
      </w14:textFill>
    </w:rPr>
  </w:style>
  <w:style w:type="character" w:customStyle="1" w:styleId="178">
    <w:name w:val="Intense Emphasis"/>
    <w:basedOn w:val="145"/>
    <w:qFormat/>
    <w:uiPriority w:val="21"/>
    <w:rPr>
      <w:b/>
      <w:bCs/>
      <w:i/>
      <w:iCs/>
      <w:color w:val="4F81BD" w:themeColor="accent1"/>
      <w14:textFill>
        <w14:solidFill>
          <w14:schemeClr w14:val="accent1"/>
        </w14:solidFill>
      </w14:textFill>
    </w:rPr>
  </w:style>
  <w:style w:type="character" w:customStyle="1" w:styleId="179">
    <w:name w:val="Subtle Reference"/>
    <w:basedOn w:val="145"/>
    <w:qFormat/>
    <w:uiPriority w:val="31"/>
    <w:rPr>
      <w:smallCaps/>
      <w:color w:val="C0504D" w:themeColor="accent2"/>
      <w:u w:val="single"/>
      <w14:textFill>
        <w14:solidFill>
          <w14:schemeClr w14:val="accent2"/>
        </w14:solidFill>
      </w14:textFill>
    </w:rPr>
  </w:style>
  <w:style w:type="character" w:customStyle="1" w:styleId="180">
    <w:name w:val="Intense Reference"/>
    <w:basedOn w:val="145"/>
    <w:qFormat/>
    <w:uiPriority w:val="32"/>
    <w:rPr>
      <w:b/>
      <w:bCs/>
      <w:smallCaps/>
      <w:color w:val="C0504D" w:themeColor="accent2"/>
      <w:spacing w:val="5"/>
      <w:u w:val="single"/>
      <w14:textFill>
        <w14:solidFill>
          <w14:schemeClr w14:val="accent2"/>
        </w14:solidFill>
      </w14:textFill>
    </w:rPr>
  </w:style>
  <w:style w:type="character" w:customStyle="1" w:styleId="181">
    <w:name w:val="Book Title"/>
    <w:basedOn w:val="145"/>
    <w:qFormat/>
    <w:uiPriority w:val="33"/>
    <w:rPr>
      <w:b/>
      <w:bCs/>
      <w:smallCaps/>
      <w:spacing w:val="5"/>
    </w:rPr>
  </w:style>
  <w:style w:type="paragraph" w:customStyle="1" w:styleId="182">
    <w:name w:val="TOC Heading"/>
    <w:basedOn w:val="3"/>
    <w:next w:val="1"/>
    <w:semiHidden/>
    <w:unhideWhenUsed/>
    <w:qFormat/>
    <w:uiPriority w:val="39"/>
    <w:pPr>
      <w:outlineLvl w:val="9"/>
    </w:pPr>
  </w:style>
  <w:style w:type="paragraph" w:customStyle="1" w:styleId="183">
    <w:name w:val="Small note"/>
    <w:basedOn w:val="1"/>
    <w:uiPriority w:val="0"/>
    <w:pPr>
      <w:spacing w:after="80" w:line="278" w:lineRule="auto"/>
    </w:pPr>
    <w:rPr>
      <w:rFonts w:ascii="Noto Serif CJK SC" w:hAnsi="Noto Serif CJK SC" w:eastAsia="Noto Serif CJK SC"/>
      <w:color w:val="5D6871"/>
      <w:sz w:val="17"/>
    </w:rPr>
  </w:style>
  <w:style w:type="paragraph" w:customStyle="1" w:styleId="184">
    <w:name w:val="文档说明标题"/>
    <w:next w:val="1"/>
    <w:autoRedefine/>
    <w:qFormat/>
    <w:uiPriority w:val="0"/>
    <w:pPr>
      <w:adjustRightInd w:val="0"/>
      <w:snapToGrid w:val="0"/>
      <w:spacing w:before="50" w:beforeLines="50" w:line="312" w:lineRule="auto"/>
      <w:jc w:val="center"/>
      <w:outlineLvl w:val="9"/>
    </w:pPr>
    <w:rPr>
      <w:rFonts w:hint="default" w:cs="Times New Roman" w:asciiTheme="majorAscii" w:hAnsiTheme="majorAscii" w:eastAsiaTheme="majorEastAsia"/>
      <w:b/>
      <w:sz w:val="32"/>
      <w:szCs w:val="32"/>
      <w:lang w:eastAsia="zh-Hans"/>
    </w:rPr>
  </w:style>
  <w:style w:type="paragraph" w:customStyle="1" w:styleId="185">
    <w:name w:val="章标题"/>
    <w:next w:val="1"/>
    <w:autoRedefine/>
    <w:qFormat/>
    <w:uiPriority w:val="0"/>
    <w:pPr>
      <w:keepNext/>
      <w:keepLines/>
      <w:bidi w:val="0"/>
      <w:adjustRightInd w:val="0"/>
      <w:snapToGrid w:val="0"/>
      <w:spacing w:before="50" w:beforeLines="50" w:afterLines="0" w:line="312" w:lineRule="auto"/>
      <w:jc w:val="center"/>
      <w:outlineLvl w:val="0"/>
    </w:pPr>
    <w:rPr>
      <w:rFonts w:cs="Times New Roman" w:asciiTheme="majorAscii" w:hAnsiTheme="majorAscii" w:eastAsiaTheme="majorEastAsia"/>
      <w:b/>
      <w:bCs/>
      <w:kern w:val="44"/>
      <w:sz w:val="32"/>
      <w:szCs w:val="32"/>
      <w:lang w:eastAsia="zh-Hans"/>
    </w:rPr>
  </w:style>
  <w:style w:type="paragraph" w:customStyle="1" w:styleId="186">
    <w:name w:val="节标题"/>
    <w:next w:val="1"/>
    <w:autoRedefine/>
    <w:qFormat/>
    <w:uiPriority w:val="0"/>
    <w:pPr>
      <w:keepNext/>
      <w:keepLines/>
      <w:adjustRightInd w:val="0"/>
      <w:snapToGrid w:val="0"/>
      <w:spacing w:before="50" w:beforeLines="50" w:afterLines="0" w:line="312" w:lineRule="auto"/>
      <w:jc w:val="center"/>
      <w:outlineLvl w:val="0"/>
    </w:pPr>
    <w:rPr>
      <w:rFonts w:cs="Times New Roman" w:asciiTheme="majorAscii" w:hAnsiTheme="majorAscii" w:eastAsiaTheme="majorEastAsia"/>
      <w:b/>
      <w:kern w:val="44"/>
      <w:sz w:val="30"/>
      <w:szCs w:val="30"/>
      <w:lang w:eastAsia="zh-Hans"/>
    </w:rPr>
  </w:style>
  <w:style w:type="paragraph" w:customStyle="1" w:styleId="187">
    <w:name w:val="附录标题"/>
    <w:next w:val="8"/>
    <w:autoRedefine/>
    <w:qFormat/>
    <w:uiPriority w:val="0"/>
    <w:pPr>
      <w:keepNext/>
      <w:keepLines/>
      <w:adjustRightInd w:val="0"/>
      <w:snapToGrid w:val="0"/>
      <w:spacing w:before="50" w:beforeLines="50" w:line="312" w:lineRule="auto"/>
      <w:jc w:val="center"/>
      <w:outlineLvl w:val="0"/>
    </w:pPr>
    <w:rPr>
      <w:rFonts w:cs="Times New Roman" w:asciiTheme="majorAscii" w:hAnsiTheme="majorAscii" w:eastAsiaTheme="majorEastAsia"/>
      <w:b/>
      <w:kern w:val="44"/>
      <w:sz w:val="32"/>
      <w:szCs w:val="32"/>
      <w:lang w:eastAsia="zh-Hans"/>
    </w:rPr>
  </w:style>
  <w:style w:type="character" w:customStyle="1" w:styleId="188">
    <w:name w:val="摘要"/>
    <w:basedOn w:val="145"/>
    <w:autoRedefine/>
    <w:qFormat/>
    <w:uiPriority w:val="0"/>
    <w:rPr>
      <w:rFonts w:hint="eastAsia" w:ascii="宋体" w:hAnsi="宋体" w:eastAsia="宋体"/>
      <w:b/>
      <w:lang w:val="en-US" w:eastAsia="zh-Hans"/>
    </w:rPr>
  </w:style>
  <w:style w:type="character" w:customStyle="1" w:styleId="189">
    <w:name w:val="关键词"/>
    <w:basedOn w:val="145"/>
    <w:autoRedefine/>
    <w:qFormat/>
    <w:uiPriority w:val="0"/>
    <w:rPr>
      <w:rFonts w:hint="eastAsia" w:ascii="宋体" w:hAnsi="宋体" w:eastAsia="宋体"/>
      <w:b/>
      <w:lang w:val="en-US" w:eastAsia="zh-Hans"/>
    </w:rPr>
  </w:style>
  <w:style w:type="paragraph" w:customStyle="1" w:styleId="190">
    <w:name w:val="题注1"/>
    <w:basedOn w:val="1"/>
    <w:autoRedefine/>
    <w:qFormat/>
    <w:uiPriority w:val="0"/>
    <w:pPr>
      <w:jc w:val="center"/>
    </w:pPr>
    <w:rPr>
      <w:rFonts w:hint="default" w:asciiTheme="minorAscii" w:hAnsiTheme="minorAscii"/>
      <w:lang w:eastAsia="zh-Hans"/>
    </w:rPr>
  </w:style>
  <w:style w:type="paragraph" w:customStyle="1" w:styleId="191">
    <w:name w:val="目录标题"/>
    <w:basedOn w:val="1"/>
    <w:qFormat/>
    <w:uiPriority w:val="0"/>
    <w:pPr>
      <w:spacing w:before="0" w:beforeLines="0" w:afterLines="0" w:line="240" w:lineRule="auto"/>
      <w:ind w:firstLine="0" w:firstLineChars="0"/>
      <w:jc w:val="center"/>
    </w:pPr>
    <w:rPr>
      <w:rFonts w:asciiTheme="minorAscii" w:hAnsiTheme="minorAscii" w:eastAsiaTheme="minorEastAsia"/>
      <w:b/>
      <w:sz w:val="28"/>
      <w:szCs w:val="28"/>
    </w:rPr>
  </w:style>
  <w:style w:type="paragraph" w:customStyle="1" w:styleId="192">
    <w:name w:val="主送对象"/>
    <w:next w:val="8"/>
    <w:qFormat/>
    <w:uiPriority w:val="0"/>
    <w:pPr>
      <w:adjustRightInd w:val="0"/>
      <w:snapToGrid w:val="0"/>
      <w:spacing w:line="576" w:lineRule="exact"/>
    </w:pPr>
    <w:rPr>
      <w:rFonts w:hint="default" w:cs="Times New Roman" w:asciiTheme="minorAscii" w:hAnsiTheme="minorAscii"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93">
    <w:name w:val="致谢标题"/>
    <w:qFormat/>
    <w:uiPriority w:val="0"/>
    <w:pPr>
      <w:keepNext/>
      <w:keepLines/>
      <w:adjustRightInd w:val="0"/>
      <w:snapToGrid w:val="0"/>
      <w:spacing w:before="50" w:beforeLines="50" w:line="312" w:lineRule="auto"/>
      <w:jc w:val="center"/>
      <w:outlineLvl w:val="0"/>
    </w:pPr>
    <w:rPr>
      <w:rFonts w:ascii="+西文标题" w:hAnsi="+西文标题" w:eastAsia="+中文标题" w:cs="Times New Roman"/>
      <w:b/>
      <w:bCs/>
      <w:kern w:val="44"/>
      <w:sz w:val="32"/>
      <w:szCs w:val="32"/>
    </w:rPr>
  </w:style>
  <w:style w:type="paragraph" w:customStyle="1" w:styleId="194">
    <w:name w:val="参考文献标题"/>
    <w:qFormat/>
    <w:uiPriority w:val="0"/>
    <w:pPr>
      <w:keepNext/>
      <w:keepLines/>
      <w:spacing w:before="50" w:beforeLines="50" w:after="20" w:afterLines="20" w:line="312" w:lineRule="auto"/>
      <w:jc w:val="center"/>
      <w:outlineLvl w:val="0"/>
    </w:pPr>
    <w:rPr>
      <w:rFonts w:ascii="+西文标题" w:hAnsi="+西文标题" w:eastAsia="+中文标题" w:cs="Times New Roman"/>
      <w:b/>
      <w:bCs/>
      <w:kern w:val="44"/>
      <w:sz w:val="32"/>
      <w:szCs w:val="32"/>
    </w:rPr>
  </w:style>
  <w:style w:type="paragraph" w:customStyle="1" w:styleId="195">
    <w:name w:val="声明标题"/>
    <w:qFormat/>
    <w:uiPriority w:val="0"/>
    <w:pPr>
      <w:keepNext/>
      <w:keepLines/>
      <w:adjustRightInd w:val="0"/>
      <w:snapToGrid w:val="0"/>
      <w:spacing w:before="50" w:beforeLines="50" w:line="312" w:lineRule="auto"/>
      <w:jc w:val="center"/>
      <w:outlineLvl w:val="0"/>
    </w:pPr>
    <w:rPr>
      <w:rFonts w:hint="default" w:cs="Times New Roman" w:asciiTheme="majorAscii" w:hAnsiTheme="majorAscii" w:eastAsiaTheme="majorEastAsia"/>
      <w:b/>
      <w:bCs/>
      <w:kern w:val="44"/>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2373</Words>
  <Characters>2633</Characters>
  <Lines>0</Lines>
  <Paragraphs>0</Paragraphs>
  <TotalTime>14</TotalTime>
  <ScaleCrop>false</ScaleCrop>
  <LinksUpToDate>false</LinksUpToDate>
  <CharactersWithSpaces>2692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罗清钰</dc:creator>
  <dc:description>generated by python-docx</dc:description>
  <cp:keywords>AI评价;研究选题;反馈;人才管理;文献空白</cp:keywords>
  <cp:lastModifiedBy>罗清钰</cp:lastModifiedBy>
  <dcterms:modified xsi:type="dcterms:W3CDTF">2026-10-24T14:15:21Z</dcterms:modified>
  <dc:subject>导师选题讨论</dc:subject>
  <dc:title>AI参与下的能力评估、反馈与人才决策：候选研究选题、邻近文献与潜在研究空白</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eyJoZGlkIjoiMzEwNTM5NzYwMDRjMzkwZTVkZjY2ODkwMGIxNGU0OTUiLCJ1c2VySWQiOiIyNDk4Njg3NjUifQ==</vt:lpwstr>
  </property>
  <property fmtid="{D5CDD505-2E9C-101B-9397-08002B2CF9AE}" pid="3" name="KSOProductBuildVer">
    <vt:lpwstr>2052-12.1.0.28505</vt:lpwstr>
  </property>
  <property fmtid="{D5CDD505-2E9C-101B-9397-08002B2CF9AE}" pid="4" name="ICV">
    <vt:lpwstr>5F13963B13F044A9B6B4F867EFC1F20A_12</vt:lpwstr>
  </property>
</Properties>
</file>