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u w:val="none"/>
        </w:rPr>
        <w:t>AI招聘中的低分成因诊断与补救机会配置</w:t>
      </w:r>
    </w:p>
    <w:p>
      <w:pPr>
        <w:pStyle w:val="Subtitle"/>
      </w:pPr>
      <w:r>
        <w:rPr>
          <w:color w:val="000000"/>
          <w:u w:val="none"/>
        </w:rPr>
        <w:t>研究计划 2026年10月27日</w:t>
      </w:r>
    </w:p>
    <w:p>
      <w:pPr>
        <w:jc w:val="both"/>
      </w:pPr>
      <w:r>
        <w:t>我们拟研究一个有限信息下的招聘决策问题：同样的低分，可能需要补技能，也可能需要证明已有技能。评估系统对成因的判断，如何与学习、验证机会共同影响候选人的投入和组织的后续选择？</w:t>
      </w:r>
    </w:p>
    <w:p>
      <w:pPr>
        <w:pStyle w:val="Heading1"/>
      </w:pPr>
      <w:r>
        <w:rPr>
          <w:color w:val="000000"/>
          <w:u w:val="none"/>
        </w:rPr>
        <w:t>一 研究问题</w:t>
      </w:r>
    </w:p>
    <w:p>
      <w:pPr>
        <w:jc w:val="both"/>
      </w:pPr>
      <w:r>
        <w:t>候选人初筛得分低，既可能因为目标技能不足，也可能因为已有技能缺少可信材料。若系统统一推荐补课，前者可能受益，后者却可能重复学习；只提供证明，也不能使技能不足者自动胜任。我们关注的是低分之后的补救决策：在成因尚不确定、时间和验证机会有限时，何时应学习、何时应验证，错误处方如何影响真正合格者被识别的机会？</w:t>
      </w:r>
    </w:p>
    <w:p>
      <w:pPr>
        <w:pStyle w:val="Heading1"/>
      </w:pPr>
      <w:r>
        <w:rPr>
          <w:color w:val="000000"/>
          <w:u w:val="none"/>
        </w:rPr>
        <w:t>二 理论基础与邻近研究</w:t>
      </w:r>
    </w:p>
    <w:p>
      <w:pPr>
        <w:jc w:val="both"/>
      </w:pPr>
      <w:r>
        <w:t>信号理论与人力资本理论分别帮助理解能力如何被市场识别、投资如何改变生产能力[1–2]。两者不是互斥解释；Autor已将培训、技能形成与筛选联系起来[3]。因此，我们不以“评价改变候选人”或“培训兼有认证作用”作为创新。</w:t>
      </w:r>
    </w:p>
    <w:p>
      <w:pPr>
        <w:jc w:val="both"/>
      </w:pPr>
      <w:r>
        <w:t>最直接的比较对象是Liu等的动态投资模型：资格投资内生，但给定资格与群体后的特征分布是输入[4]。Somerstep等进一步同框处理潜在技能投资与观测评估变化[5]；Carranza等区分私人技能信息与可向雇主可信传递的证明[6]；Miller等及Upadhyay等分别讨论真实改进的因果结构、补救建议与行动条件[7–8]。近期工作也已联合设计特征获取与算法补救[9]。</w:t>
      </w:r>
    </w:p>
    <w:p>
      <w:pPr>
        <w:jc w:val="both"/>
      </w:pPr>
      <w:r>
        <w:t>我们拟从“低分之后仍不完全知道成因”出发，将主动学习和可信验证作为可选择、但受不同机会约束的补救路径。需要检验的增量是诊断与机会配置的交互如何改变投入及选拔构成，而不是再增加一类候选人。最终以能否推出近邻模型未涵盖的条件判断来评估贡献。</w:t>
      </w:r>
    </w:p>
    <w:p>
      <w:pPr>
        <w:pStyle w:val="Heading1"/>
      </w:pPr>
      <w:r>
        <w:rPr>
          <w:color w:val="000000"/>
          <w:u w:val="none"/>
        </w:rPr>
        <w:t>三 最小理论模型</w:t>
      </w:r>
    </w:p>
    <w:p>
      <w:pPr>
        <w:jc w:val="both"/>
      </w:pPr>
      <w:r>
        <w:t>先建立一项技能、一个岗位要求、一次补救及后续一次选拔的模型。区分真实能力、可信证明与资源条件；评估系统只能看到申请材料和带噪诊断。候选人也不被假定完全知道低分原因，而是结合自己的信息和诊断，权衡学习、验证或不行动的预期录用收益与成本。雇主依据公开材料和验证结果选择，真实能力仅供研究者评价，不向算法提供真值。</w:t>
      </w:r>
    </w:p>
    <w:p>
      <w:pPr>
        <w:jc w:val="both"/>
      </w:pPr>
      <w:r>
        <w:t>诊断首先仅向候选人披露，以隔离它对行动的影响。学习主要提高能力，验证主要揭示已有能力，同时允许两种行动存在交叉效果。记录诊断成本、行动预算、验证可及性与雇主接受规则，推导行动分流及参与条件。先固定雇主规则；岗位容量竞争留作扩展，不在起点承诺长期市场均衡。</w:t>
      </w:r>
    </w:p>
    <w:p>
      <w:pPr>
        <w:pStyle w:val="Heading1"/>
      </w:pPr>
      <w:r>
        <w:rPr>
          <w:color w:val="000000"/>
          <w:u w:val="none"/>
        </w:rPr>
        <w:t>四 比较设计</w:t>
      </w:r>
    </w:p>
    <w:p>
      <w:pPr>
        <w:jc w:val="both"/>
      </w:pPr>
      <w:r>
        <w:t>以相同初始人群、选拔规则和总体干预预算，比较统一学习建议、带噪诊断后的自主选择，以及同精度诊断下更均等的验证机会。分别观察能力增长、可信证明、合格者漏识别、错误接纳、正确录用、投入成本及群体差距。新增能力和证明均在最终选拔前形成，避免观察窗口截断。</w:t>
      </w:r>
    </w:p>
    <w:p>
      <w:r>
        <w:br w:type="page"/>
      </w:r>
    </w:p>
    <w:p>
      <w:pPr>
        <w:pStyle w:val="Heading1"/>
      </w:pPr>
      <w:r>
        <w:rPr>
          <w:color w:val="000000"/>
          <w:u w:val="none"/>
        </w:rPr>
        <w:t>五 可检验判断</w:t>
      </w:r>
    </w:p>
    <w:p>
      <w:pPr>
        <w:jc w:val="both"/>
      </w:pPr>
      <w:r>
        <w:t>拟检验三个条件判断。第一，对已有能力但缺少证明者，可行验证是否减少重复学习、同时提高正确识别，而技能不足者主要仍需学习。第二，诊断改善能否转化为机会改善，是否取决于建议对应行动的可及性；平均匹配质量与群体差距是否可能不同向。第三，同等预算下，降低验证壁垒与增加培训投入是否因瓶颈构成而产生不同效果，并存在明确的适用边界。</w:t>
      </w:r>
    </w:p>
    <w:p>
      <w:pPr>
        <w:jc w:val="both"/>
      </w:pPr>
      <w:r>
        <w:t>我们不预设“诊断越准越有害”。在信息免费、可忽略、行动集合和他人行为不变的基准中，先验证更丰富信息不降低事前最优期望效用；再分析诊断成本和机会差异如何改变组织结果。完美诊断仅作理想上界。分别关闭学习或验证渠道，并检验交叉效果、误差与成本，排除免费真值、额外资源及门槛变化的解释。</w:t>
      </w:r>
    </w:p>
    <w:p>
      <w:pPr>
        <w:pStyle w:val="Heading1"/>
      </w:pPr>
      <w:r>
        <w:rPr>
          <w:color w:val="000000"/>
          <w:u w:val="none"/>
        </w:rPr>
        <w:t>六 预期贡献与推进路径</w:t>
      </w:r>
    </w:p>
    <w:p>
      <w:pPr>
        <w:jc w:val="both"/>
      </w:pPr>
      <w:r>
        <w:t>论文拟对话人力资本投资、信号与筛选研究，解释招聘反馈为何需要同时考虑低分成因和可执行的补救机会。AI是可反复提供诊断与连接行动机会的制度情境，不作为机制独有性的前提。若结果可被既有投资、认证或信息获取模型完整复现，我们将收窄贡献，不主张新的理论缺口。</w:t>
      </w:r>
    </w:p>
    <w:p>
      <w:pPr>
        <w:jc w:val="both"/>
      </w:pPr>
      <w:r>
        <w:t>方法上先完成解析推导，再视需要以独立版本ABM考察多技能、多岗位和多轮互动；保留历史基线不动。若落实受试者、任务和独立能力测量，可补充行为实验。当前所有判断均为待推导、待检验的研究预期；下一步希望请导师把关理论基准、信息结构与模型范围。</w:t>
      </w:r>
    </w:p>
    <w:p>
      <w:pPr>
        <w:pStyle w:val="Heading1"/>
      </w:pPr>
      <w:r>
        <w:rPr>
          <w:color w:val="000000"/>
          <w:u w:val="none"/>
        </w:rPr>
        <w:t>核心参考文献</w:t>
      </w:r>
    </w:p>
    <w:p>
      <w:pPr>
        <w:pStyle w:val="ProposalReference"/>
      </w:pPr>
      <w:r>
        <w:t>[1] Spence, M. (1973). Job market signaling. Quarterly Journal of Economics, 87(3), 355–374.</w:t>
      </w:r>
    </w:p>
    <w:p>
      <w:pPr>
        <w:pStyle w:val="ProposalReference"/>
      </w:pPr>
      <w:r>
        <w:t>[2] Becker, G. S. (1964). Human Capital: A Theoretical and Empirical Analysis, with Special Reference to Education. NBER.</w:t>
      </w:r>
    </w:p>
    <w:p>
      <w:pPr>
        <w:pStyle w:val="ProposalReference"/>
      </w:pPr>
      <w:r>
        <w:t>[3] Autor, D. H. (2001). Why do temporary help firms provide free general skills training? Quarterly Journal of Economics, 116(4), 1409–1448.</w:t>
      </w:r>
    </w:p>
    <w:p>
      <w:pPr>
        <w:pStyle w:val="ProposalReference"/>
      </w:pPr>
      <w:r>
        <w:t>[4] Liu, L. T., et al. (2020). The disparate equilibria of algorithmic decision making when individuals invest rationally. FAT*, 381–391.</w:t>
      </w:r>
    </w:p>
    <w:p>
      <w:pPr>
        <w:pStyle w:val="ProposalReference"/>
      </w:pPr>
      <w:r>
        <w:t>[5] Somerstep, S., Ritov, Y., &amp; Sun, Y. (2024). Algorithmic fairness in performative policy learning: Escaping the impossibility of group fairness. FAccT, 616–630.</w:t>
      </w:r>
    </w:p>
    <w:p>
      <w:pPr>
        <w:pStyle w:val="ProposalReference"/>
      </w:pPr>
      <w:r>
        <w:t>[6] Carranza, E., et al. (2022). Job search and hiring with limited information about workseekers’ skills. American Economic Review, 112(11), 3547–3583.</w:t>
      </w:r>
    </w:p>
    <w:p>
      <w:pPr>
        <w:pStyle w:val="ProposalReference"/>
      </w:pPr>
      <w:r>
        <w:t>[7] Miller, J., Milli, S., &amp; Hardt, M. (2020). Strategic classification is causal modeling in disguise. ICML, 6917–6926.</w:t>
      </w:r>
    </w:p>
    <w:p>
      <w:pPr>
        <w:pStyle w:val="ProposalReference"/>
      </w:pPr>
      <w:r>
        <w:t>[8] Upadhyay, S., Lakkaraju, H., &amp; Gajos, K. Z. (2025). Counterfactual explanations may not be the best algorithmic recourse approach. IUI, 446–462.</w:t>
      </w:r>
    </w:p>
    <w:p>
      <w:pPr>
        <w:pStyle w:val="ProposalReference"/>
      </w:pPr>
      <w:r>
        <w:t>[9] Galwaduge, V., &amp; Samarabandu, J. (2026). Explanations-Driven Active Feature Acquisition for Algorithmic Recourse. arXiv:2609.12179. 预印本.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Calibri" w:hAnsi="Calibri" w:cs="Calibri" w:eastAsia="宋体"/>
      <w:color w:val="000000"/>
      <w:sz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="Calibri" w:hAnsi="Calibri" w:cs="Calibri" w:eastAsia="黑体"/>
      <w:b/>
      <w:bCs/>
      <w:color w:val="000000"/>
      <w:sz w:val="24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="Calibri" w:hAnsi="Calibri" w:cs="Calibri" w:eastAsia="黑体"/>
      <w:color w:val="000000"/>
      <w:spacing w:val="5"/>
      <w:kern w:val="28"/>
      <w:sz w:val="34"/>
      <w:szCs w:val="5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="Calibri" w:hAnsi="Calibri" w:cs="Calibri" w:eastAsia="宋体"/>
      <w:i w:val="0"/>
      <w:iCs/>
      <w:color w:val="000000"/>
      <w:spacing w:val="15"/>
      <w:sz w:val="21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posalReference">
    <w:name w:val="Proposal Reference"/>
    <w:basedOn w:val="Normal"/>
    <w:pPr>
      <w:spacing w:line="240" w:lineRule="auto" w:after="40"/>
    </w:pPr>
    <w:rPr>
      <w:rFonts w:ascii="Calibri" w:hAnsi="Calibri" w:cs="Calibri" w:eastAsia="宋体"/>
      <w:color w:val="000000"/>
      <w:sz w:val="21"/>
      <w:lang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AI招聘中的低分成因诊断与补救机会配置</dc:title>
  <dc:subject>Research proposal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