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nter" w:hAnsi="Inter"/>
          <w:b/>
          <w:color w:val="16A34A"/>
          <w:sz w:val="20"/>
        </w:rPr>
        <w:t>TopFarms</w:t>
      </w:r>
    </w:p>
    <w:p>
      <w:pPr>
        <w:spacing w:after="40"/>
      </w:pPr>
      <w:r>
        <w:rPr>
          <w:rFonts w:ascii="Inter" w:hAnsi="Inter"/>
          <w:b/>
          <w:sz w:val="40"/>
        </w:rPr>
        <w:t>Employer &amp; Job-Seeker Insights — Master Report</w:t>
      </w:r>
    </w:p>
    <w:p>
      <w:pPr>
        <w:spacing w:after="160"/>
      </w:pPr>
      <w:r>
        <w:rPr>
          <w:rFonts w:ascii="Inter" w:hAnsi="Inter"/>
          <w:color w:val="5B6B5F"/>
          <w:sz w:val="20"/>
        </w:rPr>
        <w:t>A combined demand-signal review of the NZ farm labour market as it plays out on Facebook. Merges three TopFarms analyses into one: the job-seeker (supply) study, the employer (demand) study, and the two-sided synthesis that maps both to TopFarms front-end, back-end, admin-dashboard and lead-harvest architecture. Source: 35 job-seeker posts + 12 employer listings across five NZ dairy/farming Facebook groups, Feb–Jul 2026.</w:t>
      </w:r>
    </w:p>
    <w:p>
      <w:pPr>
        <w:spacing w:before="12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Contents</w:t>
      </w:r>
    </w:p>
    <w:p>
      <w:pPr>
        <w:spacing w:after="40"/>
        <w:ind w:left="283"/>
      </w:pPr>
      <w:r>
        <w:rPr>
          <w:rFonts w:ascii="Inter" w:hAnsi="Inter"/>
          <w:b/>
          <w:color w:val="16A34A"/>
        </w:rPr>
        <w:t xml:space="preserve">•  </w:t>
      </w:r>
      <w:r>
        <w:rPr>
          <w:rFonts w:ascii="Inter" w:hAnsi="Inter"/>
          <w:sz w:val="19"/>
        </w:rPr>
        <w:t>Part A — Job-Seeker Insights (supply side)</w:t>
      </w:r>
    </w:p>
    <w:p>
      <w:pPr>
        <w:spacing w:after="40"/>
        <w:ind w:left="283"/>
      </w:pPr>
      <w:r>
        <w:rPr>
          <w:rFonts w:ascii="Inter" w:hAnsi="Inter"/>
          <w:b/>
          <w:color w:val="16A34A"/>
        </w:rPr>
        <w:t xml:space="preserve">•  </w:t>
      </w:r>
      <w:r>
        <w:rPr>
          <w:rFonts w:ascii="Inter" w:hAnsi="Inter"/>
          <w:sz w:val="19"/>
        </w:rPr>
        <w:t>Part B — Employer Insights &amp; Architecture Map (demand side)</w:t>
      </w:r>
    </w:p>
    <w:p>
      <w:pPr>
        <w:spacing w:after="40"/>
        <w:ind w:left="283"/>
      </w:pPr>
      <w:r>
        <w:rPr>
          <w:rFonts w:ascii="Inter" w:hAnsi="Inter"/>
          <w:b/>
          <w:color w:val="16A34A"/>
        </w:rPr>
        <w:t xml:space="preserve">•  </w:t>
      </w:r>
      <w:r>
        <w:rPr>
          <w:rFonts w:ascii="Inter" w:hAnsi="Inter"/>
          <w:sz w:val="19"/>
        </w:rPr>
        <w:t>Part C — Two-Sided Synthesis (matching supply to demand)</w:t>
      </w:r>
    </w:p>
    <w:p>
      <w:pPr>
        <w:spacing w:after="40"/>
        <w:ind w:left="283"/>
      </w:pPr>
      <w:r>
        <w:rPr>
          <w:rFonts w:ascii="Inter" w:hAnsi="Inter"/>
          <w:b/>
          <w:color w:val="16A34A"/>
        </w:rPr>
        <w:t xml:space="preserve">•  </w:t>
      </w:r>
      <w:r>
        <w:rPr>
          <w:rFonts w:ascii="Inter" w:hAnsi="Inter"/>
          <w:sz w:val="19"/>
        </w:rPr>
        <w:t>Companion data: TopFarms_Combined_Data.xlsx (Seekers · Employers · Match_Fields · Supply_Demand)</w:t>
      </w:r>
    </w:p>
    <w:p>
      <w:r>
        <w:br w:type="page"/>
      </w:r>
    </w:p>
    <w:p>
      <w:pPr>
        <w:spacing w:before="280" w:after="120"/>
        <w:shd w:val="clear" w:fill="0F3D22"/>
        <w:ind w:left="113"/>
        <w:pBdr>
          <w:top w:val="single" w:sz="2" w:space="6" w:color="0F3D22"/>
          <w:bottom w:val="single" w:sz="2" w:space="6" w:color="0F3D22"/>
          <w:left w:val="single" w:sz="2" w:space="6" w:color="0F3D22"/>
          <w:right w:val="single" w:sz="2" w:space="6" w:color="0F3D22"/>
        </w:pBdr>
      </w:pPr>
      <w:r>
        <w:rPr>
          <w:rFonts w:ascii="Inter" w:hAnsi="Inter"/>
          <w:b/>
          <w:color w:val="FFFFFF"/>
          <w:sz w:val="30"/>
        </w:rPr>
        <w:t>Part A · Job-Seeker Insights (supply side)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E5E8E2"/>
          <w:left w:val="single" w:sz="2" w:color="E5E8E2"/>
          <w:bottom w:val="single" w:sz="2" w:color="E5E8E2"/>
          <w:right w:val="single" w:sz="2" w:color="E5E8E2"/>
          <w:insideH w:val="single" w:sz="2" w:color="E5E8E2"/>
          <w:insideV w:val="single" w:sz="2" w:color="E5E8E2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35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seeker posts</w:t>
            </w:r>
          </w:p>
        </w:tc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37%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want Farm Assistant</w:t>
            </w:r>
          </w:p>
        </w:tc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34%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need to start ASAP</w:t>
            </w:r>
          </w:p>
        </w:tc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31%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willing to relocate</w:t>
            </w:r>
          </w:p>
        </w:tc>
      </w:tr>
    </w:tbl>
    <w:p>
      <w:pPr>
        <w:spacing w:after="20"/>
      </w:pP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Who's posting &amp; what they want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Farm Assistants </w:t>
      </w:r>
      <w:r>
        <w:rPr>
          <w:rFonts w:ascii="Inter" w:hAnsi="Inter"/>
          <w:sz w:val="19"/>
        </w:rPr>
        <w:t>dominate — 37% seek Farm Assistant / Dairy Assistant roles. Relief/casual milking (17%) and Herd Manager / 2IC / senior (17%) follow, with dedicated Calf Rearers (11%) a distinct seasonal group.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Sector: </w:t>
      </w:r>
      <w:r>
        <w:rPr>
          <w:rFonts w:ascii="Inter" w:hAnsi="Inter"/>
          <w:sz w:val="19"/>
        </w:rPr>
        <w:t>Nearly all dairy; a minority bring drystock/sheep-beef crossover or adjacent animal backgrounds (pig, poultry, dairy goats). One career-changer (ex-builder) and one multi-sector.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Experience: </w:t>
      </w:r>
      <w:r>
        <w:rPr>
          <w:rFonts w:ascii="Inter" w:hAnsi="Inter"/>
          <w:sz w:val="19"/>
        </w:rPr>
        <w:t>From 17-year-olds offering free labour for a reference, through the 2–5 year 'assistant' middle, up to 10-year veterans chasing management. Experience is the most-stated attribute.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Skills &amp; credentials they lead with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Core skills: </w:t>
      </w:r>
      <w:r>
        <w:rPr>
          <w:rFonts w:ascii="Inter" w:hAnsi="Inter"/>
          <w:sz w:val="19"/>
        </w:rPr>
        <w:t>Consistent vocabulary: milking (rotary &amp; herringbone), mastitis/lameness detection, teat spraying, plant &amp; vat wash, calf rearing, feeding out, fencing &amp; break fences, tractor/ATV/2-&amp;-4-wheeler, effluent, shed hygiene.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Shed/system: </w:t>
      </w:r>
      <w:r>
        <w:rPr>
          <w:rFonts w:ascii="Inter" w:hAnsi="Inter"/>
          <w:sz w:val="19"/>
        </w:rPr>
        <w:t>23% name a shed preference (herringbone vs rotary), some specify herd-size comfort (120–1000 cows) or OAD/TAD. One refuses sole-charge; others sell it as a strength.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Certifications: </w:t>
      </w:r>
      <w:r>
        <w:rPr>
          <w:rFonts w:ascii="Inter" w:hAnsi="Inter"/>
          <w:sz w:val="19"/>
        </w:rPr>
        <w:t>31% cite a named credential — Milk Quality L3, Primary ITO L3, National Trade Academy course, DHI hoof, ATV/quad safety, AgriHealth tutorials. Verifiable → maps to a verified badge.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Where they are &amp; willingness to relocate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Geography: </w:t>
      </w:r>
      <w:r>
        <w:rPr>
          <w:rFonts w:ascii="Inter" w:hAnsi="Inter"/>
          <w:sz w:val="19"/>
        </w:rPr>
        <w:t>Waikato is the centre of gravity, with Canterbury/Selwyn, Taranaki, Northland, Manawatu clusters. Regions stated as specific towns, not areas.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Mobility: </w:t>
      </w:r>
      <w:r>
        <w:rPr>
          <w:rFonts w:ascii="Inter" w:hAnsi="Inter"/>
          <w:sz w:val="19"/>
        </w:rPr>
        <w:t>31% will go 'anywhere in NZ'; others are conditionally mobile ('will travel depending on accommodation/distance'); ~20% tightly geo-bound, almost always for family.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Migrant / pre-arrival: </w:t>
      </w:r>
      <w:r>
        <w:rPr>
          <w:rFonts w:ascii="Inter" w:hAnsi="Inter"/>
          <w:sz w:val="19"/>
        </w:rPr>
        <w:t>14% state visa/residency up front — AEWV (with expiry), Peak Seasonal Visa, NZ Resident/Citizen. At least one is offshore (South Africa) relocating to NZ mid-2026 with a fixed available-from date.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Timing, roster &amp; practical needs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Urgency: </w:t>
      </w:r>
      <w:r>
        <w:rPr>
          <w:rFonts w:ascii="Inter" w:hAnsi="Inter"/>
          <w:sz w:val="19"/>
        </w:rPr>
        <w:t>34% need to start ASAP; 26% are season-dated to 1 June / 'next season' / 'Calving 2026'. The calving calendar drives timing.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Roster &amp; needs: </w:t>
      </w:r>
      <w:r>
        <w:rPr>
          <w:rFonts w:ascii="Inter" w:hAnsi="Inter"/>
          <w:sz w:val="19"/>
        </w:rPr>
        <w:t>20% specify roster/hours ('six-on-two-off', 'every 2nd weekend off', OAD/TAD). 17% state an accommodation need (nice-to-have → hard 'own accommodation, 3-bedroom'). 23% disclose a couple/kids/sole-parent/dog situation.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Behavioural signals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Decay, leakage, social proof: </w:t>
      </w:r>
      <w:r>
        <w:rPr>
          <w:rFonts w:ascii="Inter" w:hAnsi="Inter"/>
          <w:sz w:val="19"/>
        </w:rPr>
        <w:t>9% visibly re-post ('Redoing my post', 'Bump') — listings decay, demand goes unmet. 26% publish phone/email in-post. Seekers self-verify by posting certificate photos and lean on peer vouching in comments.</w:t>
      </w:r>
    </w:p>
    <w:p>
      <w:r>
        <w:br w:type="page"/>
      </w:r>
    </w:p>
    <w:p>
      <w:pPr>
        <w:spacing w:before="280" w:after="120"/>
        <w:shd w:val="clear" w:fill="0F3D22"/>
        <w:ind w:left="113"/>
        <w:pBdr>
          <w:top w:val="single" w:sz="2" w:space="6" w:color="0F3D22"/>
          <w:bottom w:val="single" w:sz="2" w:space="6" w:color="0F3D22"/>
          <w:left w:val="single" w:sz="2" w:space="6" w:color="0F3D22"/>
          <w:right w:val="single" w:sz="2" w:space="6" w:color="0F3D22"/>
        </w:pBdr>
      </w:pPr>
      <w:r>
        <w:rPr>
          <w:rFonts w:ascii="Inter" w:hAnsi="Inter"/>
          <w:b/>
          <w:color w:val="FFFFFF"/>
          <w:sz w:val="30"/>
        </w:rPr>
        <w:t>Part B · Employer Insights &amp; Architecture Map (demand side)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E5E8E2"/>
          <w:left w:val="single" w:sz="2" w:color="E5E8E2"/>
          <w:bottom w:val="single" w:sz="2" w:color="E5E8E2"/>
          <w:right w:val="single" w:sz="2" w:color="E5E8E2"/>
          <w:insideH w:val="single" w:sz="2" w:color="E5E8E2"/>
          <w:insideV w:val="single" w:sz="2" w:color="E5E8E2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12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listings</w:t>
            </w:r>
          </w:p>
        </w:tc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83%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provide accommodation</w:t>
            </w:r>
          </w:p>
        </w:tc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50%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restrict on right-to-work</w:t>
            </w:r>
          </w:p>
        </w:tc>
        <w:tc>
          <w:tcPr>
            <w:tcW w:type="dxa" w:w="2484"/>
            <w:shd w:val="clear" w:fill="E8F5EC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F3D22"/>
                <w:sz w:val="30"/>
              </w:rPr>
              <w:t>58%</w:t>
            </w:r>
          </w:p>
          <w:p>
            <w:pPr>
              <w:spacing w:before="0"/>
            </w:pPr>
            <w:r>
              <w:rPr>
                <w:rFonts w:ascii="Inter" w:hAnsi="Inter"/>
                <w:color w:val="5B6B5F"/>
                <w:sz w:val="15"/>
              </w:rPr>
              <w:t>name farm tech</w:t>
            </w:r>
          </w:p>
        </w:tc>
      </w:tr>
    </w:tbl>
    <w:p>
      <w:pPr>
        <w:spacing w:after="20"/>
      </w:pP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What employers are asking for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Roles &amp; sub-industries: </w:t>
      </w:r>
      <w:r>
        <w:rPr>
          <w:rFonts w:ascii="Inter" w:hAnsi="Inter"/>
          <w:sz w:val="19"/>
        </w:rPr>
        <w:t>Farm Assistant (junior → experienced) dominates, alongside 2IC / herd manager, calf rearers, relief milkers, and a 'milk-for-rent' herd-owning arrangement. Two non-dairy sub-industries appear — poultry/egg (sole-charge) and sheep/lamb rearing.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Farm profile: </w:t>
      </w:r>
      <w:r>
        <w:rPr>
          <w:rFonts w:ascii="Inter" w:hAnsi="Inter"/>
          <w:sz w:val="19"/>
        </w:rPr>
        <w:t>Employers volunteer a rich profile: herd size (200–1,250 cows, 83%), shed type &amp; size, DairyNZ system (4–5, high input, grass-based), calving pattern, and in 58% automation as a selling point (Halter, Protrack, ACRs, auto-draft, auto-teatspray, in-shed feeding, pivot irrigation).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On offer: </w:t>
      </w:r>
      <w:r>
        <w:rPr>
          <w:rFonts w:ascii="Inter" w:hAnsi="Inter"/>
          <w:sz w:val="19"/>
        </w:rPr>
        <w:t>Accommodation offered in 83%, specified to bedroom count and couple/single. Roster stated in 50% (8/3, 5-2/6-2-calving, 7/2-7/2-7/3). Pay almost always 'competitive / depending on experience' not a number. Progression/mentoring offered in 50%; couple/partner work in 42%.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Gates: </w:t>
      </w:r>
      <w:r>
        <w:rPr>
          <w:rFonts w:ascii="Inter" w:hAnsi="Inter"/>
          <w:sz w:val="19"/>
        </w:rPr>
        <w:t>50% impose a right-to-work restriction — 'NZ citizens only', 'not accredited employer', 'must have legal right to work'. References (25%), full licence, drug-free, English fluency recur. One hard 'NO dogs or cats — non-negotiable'.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Front-end feature &amp; functionality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E5E8E2"/>
          <w:left w:val="single" w:sz="2" w:color="E5E8E2"/>
          <w:bottom w:val="single" w:sz="2" w:color="E5E8E2"/>
          <w:right w:val="single" w:sz="2" w:color="E5E8E2"/>
          <w:insideH w:val="single" w:sz="2" w:color="E5E8E2"/>
          <w:insideV w:val="single" w:sz="2" w:color="E5E8E2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952"/>
            <w:shd w:val="clear" w:fill="F3F5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5B6B5F"/>
                <w:sz w:val="15"/>
              </w:rPr>
              <w:t>Employer signal</w:t>
            </w:r>
          </w:p>
        </w:tc>
        <w:tc>
          <w:tcPr>
            <w:tcW w:type="dxa" w:w="3960"/>
            <w:shd w:val="clear" w:fill="F3F5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5B6B5F"/>
                <w:sz w:val="15"/>
              </w:rPr>
              <w:t>Front-end feature / functionality</w:t>
            </w:r>
          </w:p>
        </w:tc>
        <w:tc>
          <w:tcPr>
            <w:tcW w:type="dxa" w:w="1296"/>
            <w:shd w:val="clear" w:fill="F3F5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5B6B5F"/>
                <w:sz w:val="15"/>
              </w:rPr>
              <w:t>Field</w:t>
            </w:r>
          </w:p>
        </w:tc>
        <w:tc>
          <w:tcPr>
            <w:tcW w:type="dxa" w:w="1080"/>
            <w:shd w:val="clear" w:fill="F3F5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5B6B5F"/>
                <w:sz w:val="15"/>
              </w:rPr>
              <w:t>Priority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Herd size / shed type &amp; size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Structured job-post fields + seeker filters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MVP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Farm system (1–5) + calving pattern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Enum dropdowns on listing; filter facet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v2.1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Farm tech (Halter/Protrack/ACR…)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Multi-select 'farm features' chips; sell-point badges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v2.1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Accommodation (type + bedrooms + couple/single)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Structured field both sides → hard-match filter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Extend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MVP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Roster (incl. calving-period variant)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Structured roster field; compatibility match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v2.1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Right-to-work / accreditation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Required listing flag → visa-eligibility gating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MVP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Progression / mentoring offered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Listing toggle + badge; 'wants to progress' match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v2.1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Dog/pet policy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Listing enum; hard-match vs seeker dog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v2.1</w:t>
            </w:r>
          </w:p>
        </w:tc>
      </w:tr>
      <w:tr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Pay ('depending on experience')</w:t>
            </w:r>
          </w:p>
        </w:tc>
        <w:tc>
          <w:tcPr>
            <w:tcW w:type="dxa" w:w="39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Optional band field; nudge to state range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New</w:t>
            </w:r>
          </w:p>
        </w:tc>
        <w:tc>
          <w:tcPr>
            <w:tcW w:type="dxa" w:w="10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Inter" w:hAnsi="Inter"/>
                <w:sz w:val="15"/>
              </w:rPr>
              <w:t>Growth</w:t>
            </w:r>
          </w:p>
        </w:tc>
      </w:tr>
    </w:tbl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Back-end job-listing schema map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Farm profile: </w:t>
      </w:r>
      <w:r>
        <w:rPr>
          <w:rFonts w:ascii="Inter" w:hAnsi="Inter"/>
          <w:sz w:val="19"/>
        </w:rPr>
        <w:t>Add farm-profile columns to jobs / employer_profiles: herd_size, shed_type (enum), shed_size, farm_system (enum 1–5), calving_pattern (enum), effective_ha, farm_tech (array/junction). Extend the live jobs migration.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Match inputs &amp; gates: </w:t>
      </w:r>
      <w:r>
        <w:rPr>
          <w:rFonts w:ascii="Inter" w:hAnsi="Inter"/>
          <w:sz w:val="19"/>
        </w:rPr>
        <w:t>Structured accommodation (type + bedrooms + couple_ok) and roster (on/off + calving variant) become first-class columns — highest-value match inputs, present on both sides. right_to_work_required + accredited_employer + dog_policy become gate inputs to match_scores. Town locations need normalise()/region canonicalisation.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Founder/admin dashboard &amp; lead-harvest map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Harvest → staging: </w:t>
      </w:r>
      <w:r>
        <w:rPr>
          <w:rFonts w:ascii="Inter" w:hAnsi="Inter"/>
          <w:sz w:val="19"/>
        </w:rPr>
        <w:t>Harvested listings land in lead_staging with parsed fields (role, herd size, shed, region→canonical, accommodation, roster, right-to-work, contact, start timing). 42% leak email/phone → structured contact. Cross-posting (Turakina calf+lamb ran in two groups same day) needs a dedup key.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Dashboard &amp; analytics: </w:t>
      </w:r>
      <w:r>
        <w:rPr>
          <w:rFonts w:ascii="Inter" w:hAnsi="Inter"/>
          <w:sz w:val="19"/>
        </w:rPr>
        <w:t>Admin needs an employer-lead queue distinct from the seeker queue: an approved employer lead becomes an outreach target (invite to list), not an auto-published job. Analytics the data supports now: demand by role &amp; region, accommodation-offered rate, right-to-work-restriction rate, tech-adoption rate, roster patterns — feeding the founder pipeline / TopFarms Index view.</w:t>
      </w:r>
    </w:p>
    <w:p>
      <w:r>
        <w:br w:type="page"/>
      </w:r>
    </w:p>
    <w:p>
      <w:pPr>
        <w:spacing w:before="280" w:after="120"/>
        <w:shd w:val="clear" w:fill="0F3D22"/>
        <w:ind w:left="113"/>
        <w:pBdr>
          <w:top w:val="single" w:sz="2" w:space="6" w:color="0F3D22"/>
          <w:bottom w:val="single" w:sz="2" w:space="6" w:color="0F3D22"/>
          <w:left w:val="single" w:sz="2" w:space="6" w:color="0F3D22"/>
          <w:right w:val="single" w:sz="2" w:space="6" w:color="0F3D22"/>
        </w:pBdr>
      </w:pPr>
      <w:r>
        <w:rPr>
          <w:rFonts w:ascii="Inter" w:hAnsi="Inter"/>
          <w:b/>
          <w:color w:val="FFFFFF"/>
          <w:sz w:val="30"/>
        </w:rPr>
        <w:t>Part C · Two-Sided Synthesis (matching supply to demand)</w:t>
      </w:r>
    </w:p>
    <w:p>
      <w:pPr>
        <w:spacing w:before="8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The core finding: near-perfect field symmetry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sz w:val="19"/>
        </w:rPr>
        <w:t>The two sides describe themselves in almost the same vocabulary. Seekers state shed preference, roster, accommodation need, visa status, experience, region and household; employers state shed type, roster (incl. calving variant), accommodation offered, right-to-work requirement, experience needed, region and couple-friendliness. That ~1:1 symmetry is the whole basis for matching — one controlled vocabulary drives both profiles, both filters, and the match score.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Where supply and demand align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Timing: </w:t>
      </w:r>
      <w:r>
        <w:rPr>
          <w:rFonts w:ascii="Inter" w:hAnsi="Inter"/>
          <w:sz w:val="19"/>
        </w:rPr>
        <w:t>Both anchored to the calving calendar — seekers 'start 1 June / Calving 2026', employers 'start 20 July / this season'.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Accommodation: </w:t>
      </w:r>
      <w:r>
        <w:rPr>
          <w:rFonts w:ascii="Inter" w:hAnsi="Inter"/>
          <w:sz w:val="19"/>
        </w:rPr>
        <w:t>A two-way market: 83% of farms offer it, and seekers who need it specify to bedroom-count precision. Where seekers don't need it, that widens the pool.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Role &amp; couples: </w:t>
      </w:r>
      <w:r>
        <w:rPr>
          <w:rFonts w:ascii="Inter" w:hAnsi="Inter"/>
          <w:sz w:val="19"/>
        </w:rPr>
        <w:t>Farm Assistant is the thickest layer on both sides; calf rearing spikes seasonally on both. Couple/partner arrangements are actively offered (42%) and actively sought.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Where supply and demand collide (the gates)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color="E5E8E2"/>
          <w:left w:val="single" w:sz="2" w:color="E5E8E2"/>
          <w:bottom w:val="single" w:sz="2" w:color="E5E8E2"/>
          <w:right w:val="single" w:sz="2" w:color="E5E8E2"/>
          <w:insideH w:val="single" w:sz="2" w:color="E5E8E2"/>
          <w:insideV w:val="single" w:sz="2" w:color="E5E8E2"/>
        </w:tblBorders>
      </w:tblPr>
      <w:tblGrid>
        <w:gridCol w:w="3513"/>
        <w:gridCol w:w="3513"/>
        <w:gridCol w:w="3513"/>
      </w:tblGrid>
      <w:tr>
        <w:tc>
          <w:tcPr>
            <w:tcW w:type="dxa" w:w="2736"/>
            <w:shd w:val="clear" w:fill="F3F5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5B6B5F"/>
                <w:sz w:val="15"/>
              </w:rPr>
              <w:t>Collision</w:t>
            </w:r>
          </w:p>
        </w:tc>
        <w:tc>
          <w:tcPr>
            <w:tcW w:type="dxa" w:w="3456"/>
            <w:shd w:val="clear" w:fill="F3F5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5B6B5F"/>
                <w:sz w:val="15"/>
              </w:rPr>
              <w:t>Supply side</w:t>
            </w:r>
          </w:p>
        </w:tc>
        <w:tc>
          <w:tcPr>
            <w:tcW w:type="dxa" w:w="3456"/>
            <w:shd w:val="clear" w:fill="F3F5F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5B6B5F"/>
                <w:sz w:val="15"/>
              </w:rPr>
              <w:t>Demand side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EE2E2"/>
          </w:tcPr>
          <w:p>
            <w:r>
              <w:rPr>
                <w:rFonts w:ascii="Inter" w:hAnsi="Inter"/>
                <w:b/>
                <w:sz w:val="16"/>
              </w:rPr>
              <w:t>Visa / right-to-work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 w:val="0"/>
                <w:sz w:val="16"/>
              </w:rPr>
              <w:t>14% of seekers are migrants (AEWV, Peak Seasonal) or offshore relocating to NZ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 w:val="0"/>
                <w:sz w:val="16"/>
              </w:rPr>
              <w:t>50% of farms are visa-gated ('NZ citizens only', 'not accredited', 'no sponsorship')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EE2E2"/>
          </w:tcPr>
          <w:p>
            <w:r>
              <w:rPr>
                <w:rFonts w:ascii="Inter" w:hAnsi="Inter"/>
                <w:b/>
                <w:sz w:val="16"/>
              </w:rPr>
              <w:t>Dogs / pets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 w:val="0"/>
                <w:sz w:val="16"/>
              </w:rPr>
              <w:t>Seekers who 'come with a stock dog' — recurring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 w:val="0"/>
                <w:sz w:val="16"/>
              </w:rPr>
              <w:t>At least one hard 'NO dogs or cats — non-negotiable'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EE2E2"/>
          </w:tcPr>
          <w:p>
            <w:r>
              <w:rPr>
                <w:rFonts w:ascii="Inter" w:hAnsi="Inter"/>
                <w:b/>
                <w:sz w:val="16"/>
              </w:rPr>
              <w:t>Sole charge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 w:val="0"/>
                <w:sz w:val="16"/>
              </w:rPr>
              <w:t>Some seekers explicitly refuse sole-charge work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Inter" w:hAnsi="Inter"/>
                <w:b w:val="0"/>
                <w:sz w:val="16"/>
              </w:rPr>
              <w:t>Poultry &amp; some dairy roles are sole-charge by design</w:t>
            </w:r>
          </w:p>
        </w:tc>
      </w:tr>
    </w:tbl>
    <w:p>
      <w:pPr>
        <w:spacing w:before="80" w:after="40"/>
      </w:pPr>
      <w:r>
        <w:rPr>
          <w:rFonts w:ascii="Inter" w:hAnsi="Inter"/>
          <w:i/>
          <w:color w:val="5B6B5F"/>
          <w:sz w:val="18"/>
        </w:rPr>
        <w:t>These are veto fields — the match engine should treat them as hard filters, not soft weights, or it will surface impossible matches and erode trust on both sides.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What this means across the platform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Front-end: </w:t>
      </w:r>
      <w:r>
        <w:rPr>
          <w:rFonts w:ascii="Inter" w:hAnsi="Inter"/>
          <w:sz w:val="19"/>
        </w:rPr>
        <w:t>One shared field vocabulary powers both profile forms, both sets of filters, and the match score. Build the enums once (shed type, system 1–5, roster, accommodation, mobility, right-to-work, dog policy) and reuse on both sides.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Back-end: </w:t>
      </w:r>
      <w:r>
        <w:rPr>
          <w:rFonts w:ascii="Inter" w:hAnsi="Inter"/>
          <w:sz w:val="19"/>
        </w:rPr>
        <w:t>Extend jobs and seeker_profiles with mirrored structured columns; make the four veto fields (right-to-work, dog policy, sole-charge, experience threshold) first-class inputs to match_scores — gates as filters, the rest as weights.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Lead harvest &amp; dashboard: </w:t>
      </w:r>
      <w:r>
        <w:rPr>
          <w:rFonts w:ascii="Inter" w:hAnsi="Inter"/>
          <w:sz w:val="19"/>
        </w:rPr>
        <w:t>Harvest both post types into lead_staging with the same parser vocabulary but route to two queues — employer leads → 'invite to list', seeker leads → 'invite to profile'. Dedup handles reposts (seekers) and cross-posts (employers). The founder dashboard shows a live supply/demand balance per facet — e.g. migrant seekers vs visa-gated roles.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b/>
          <w:sz w:val="19"/>
        </w:rPr>
        <w:t xml:space="preserve">Onboarding: </w:t>
      </w:r>
      <w:r>
        <w:rPr>
          <w:rFonts w:ascii="Inter" w:hAnsi="Inter"/>
          <w:sz w:val="19"/>
        </w:rPr>
        <w:t>Because both sides already volunteer this structure in prose, onboarding can pre-fill from an approved lead and ask the user to confirm — turning a scraped FB post into a structured profile or listing with minimal typing.</w:t>
      </w:r>
    </w:p>
    <w:p>
      <w:pPr>
        <w:spacing w:before="200" w:after="60"/>
        <w:pBdr>
          <w:bottom w:val="single" w:sz="4" w:space="2" w:color="16A34A"/>
        </w:pBdr>
      </w:pPr>
      <w:r>
        <w:rPr>
          <w:rFonts w:ascii="Inter" w:hAnsi="Inter"/>
          <w:b/>
          <w:color w:val="0F3D22"/>
          <w:sz w:val="23"/>
        </w:rPr>
        <w:t>Companion dataset</w:t>
      </w:r>
    </w:p>
    <w:p>
      <w:pPr>
        <w:spacing w:after="50" w:line="264" w:lineRule="auto"/>
        <w:ind w:left="283"/>
      </w:pPr>
      <w:r>
        <w:rPr>
          <w:rFonts w:ascii="Inter" w:hAnsi="Inter"/>
          <w:b/>
          <w:color w:val="16A34A"/>
          <w:sz w:val="19"/>
        </w:rPr>
        <w:t xml:space="preserve">→  </w:t>
      </w:r>
      <w:r>
        <w:rPr>
          <w:rFonts w:ascii="Inter" w:hAnsi="Inter"/>
          <w:sz w:val="19"/>
        </w:rPr>
        <w:t>TopFarms_Combined_Data.xlsx holds the row-level evidence in four tabs: Seekers (35×20), Employers (12×24), Match_Fields (how columns pair, with hard-gate fields flagged), and Supply_Demand (a formula-driven live snapshot). It is the structured backbone this report narrates, and the staging ground for the schema/enum work.</w:t>
      </w:r>
    </w:p>
    <w:p>
      <w:pPr>
        <w:spacing w:before="120"/>
      </w:pPr>
      <w:r>
        <w:rPr>
          <w:rFonts w:ascii="Inter" w:hAnsi="Inter"/>
          <w:i/>
          <w:color w:val="5B6B5F"/>
          <w:sz w:val="17"/>
        </w:rPr>
        <w:t>Sample caveat: n = 35 seekers + 12 employers, dairy-skewed, five groups. Directional, not statistically representative — validate on a larger pull before hard-coding enums into the schema.</w:t>
      </w:r>
    </w:p>
    <w:p>
      <w:pPr>
        <w:spacing w:before="160"/>
        <w:pBdr>
          <w:top w:val="single" w:sz="4" w:space="4" w:color="E5E8E2"/>
        </w:pBdr>
      </w:pPr>
      <w:r>
        <w:rPr>
          <w:rFonts w:ascii="Inter" w:hAnsi="Inter"/>
          <w:i/>
          <w:color w:val="5B6B5F"/>
          <w:sz w:val="14"/>
        </w:rPr>
        <w:t>TopFarms · Employer &amp; Job-Seeker Insights — Master Report · Draft v1 · 2026-07-07 · Internal · Companion: TopFarms_Combined_Data.xlsx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Inter" w:hAnsi="Inter"/>
      <w:color w:val="0B1F1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