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App Distribution Guide: Android (APK) vs iOS (TestFlight)</w:t>
      </w:r>
    </w:p>
    <w:p>
      <w:r>
        <w:rPr>
          <w:i/>
          <w:iCs/>
          <w:color w:val="555555"/>
        </w:rPr>
        <w:t xml:space="preserve">Flutter App Release Notes — Android &amp; iOS Distribution Limits</w:t>
      </w:r>
    </w:p>
    <w:p/>
    <w:p>
      <w:pPr>
        <w:pStyle w:val="Heading1"/>
      </w:pPr>
      <w:r>
        <w:t xml:space="preserve">1. Overview</w:t>
      </w:r>
    </w:p>
    <w:p>
      <w:r>
        <w:t xml:space="preserve">This document summarizes how a Flutter app can be distributed to users on Android and iOS, the tester/user capacity limits on each platform, and the maintenance required to keep an iOS TestFlight build active.</w:t>
      </w:r>
    </w:p>
    <w:p/>
    <w:p>
      <w:pPr>
        <w:pStyle w:val="Heading1"/>
      </w:pPr>
      <w:r>
        <w:t xml:space="preserve">2. Android (APK) Distribution</w:t>
      </w:r>
    </w:p>
    <w:p>
      <w:pPr>
        <w:pStyle w:val="Heading2"/>
      </w:pPr>
      <w:r>
        <w:t xml:space="preserve">No capacity limit</w:t>
      </w:r>
    </w:p>
    <w:p>
      <w:r>
        <w:t xml:space="preserve">The release APK can be shared directly (sideloaded) with any number of users. There is no cap imposed by Google or Android on how many people can install a shared APK file.</w:t>
      </w:r>
    </w:p>
    <w:p>
      <w:pPr>
        <w:pStyle w:val="Heading2"/>
      </w:pPr>
      <w:r>
        <w:t xml:space="preserve">No expiry</w:t>
      </w:r>
    </w:p>
    <w:p>
      <w:r>
        <w:t xml:space="preserve">A shared APK does not expire. Once installed, it continues to work indefinitely unless the user manually removes it.</w:t>
      </w:r>
    </w:p>
    <w:p/>
    <w:p>
      <w:pPr>
        <w:pStyle w:val="Heading1"/>
      </w:pPr>
      <w:r>
        <w:t xml:space="preserve">3. iOS (IPA) Distribution via TestFlight</w:t>
      </w:r>
    </w:p>
    <w:p>
      <w:pPr>
        <w:pStyle w:val="Heading2"/>
      </w:pPr>
      <w:r>
        <w:t xml:space="preserve">Tester Types &amp; Limits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50"/>
      </w:tblGrid>
      <w:tr>
        <w:trPr>
          <w:tblHeader/>
        </w:trPr>
        <w:tc>
          <w:tcPr>
            <w:tcW w:type="dxa" w:w="2500"/>
            <w:shd w:fill="2E4057" w:color="auto" w:val="clear"/>
          </w:tcPr>
          <w:p>
            <w:r>
              <w:rPr>
                <w:b/>
                <w:bCs/>
                <w:color w:val="FFFFFF"/>
              </w:rPr>
              <w:t xml:space="preserve">Tester Type</w:t>
            </w:r>
          </w:p>
        </w:tc>
        <w:tc>
          <w:tcPr>
            <w:tcW w:type="dxa" w:w="2500"/>
            <w:shd w:fill="2E4057" w:color="auto" w:val="clear"/>
          </w:tcPr>
          <w:p>
            <w:r>
              <w:rPr>
                <w:b/>
                <w:bCs/>
                <w:color w:val="FFFFFF"/>
              </w:rPr>
              <w:t xml:space="preserve">Limit</w:t>
            </w:r>
          </w:p>
        </w:tc>
        <w:tc>
          <w:tcPr>
            <w:tcW w:type="dxa" w:w="4350"/>
            <w:shd w:fill="2E4057" w:color="auto" w:val="clear"/>
          </w:tcPr>
          <w:p>
            <w:r>
              <w:rPr>
                <w:b/>
                <w:bCs/>
                <w:color w:val="FFFFFF"/>
              </w:rPr>
              <w:t xml:space="preserve">Notes</w:t>
            </w:r>
          </w:p>
        </w:tc>
      </w:tr>
      <w:tr>
        <w:tc>
          <w:tcPr>
            <w:tcW w:type="dxa" w:w="2500"/>
          </w:tcPr>
          <w:p>
            <w:r>
              <w:t xml:space="preserve">Internal Testers</w:t>
            </w:r>
          </w:p>
        </w:tc>
        <w:tc>
          <w:tcPr>
            <w:tcW w:type="dxa" w:w="2500"/>
          </w:tcPr>
          <w:p>
            <w:r>
              <w:t xml:space="preserve">Up to 100</w:t>
            </w:r>
          </w:p>
        </w:tc>
        <w:tc>
          <w:tcPr>
            <w:tcW w:type="dxa" w:w="4350"/>
          </w:tcPr>
          <w:p>
            <w:r>
              <w:t xml:space="preserve">Must be added as users on your App Store Connect team. Get builds instantly, no Apple review required.</w:t>
            </w:r>
          </w:p>
        </w:tc>
      </w:tr>
      <w:tr>
        <w:tc>
          <w:tcPr>
            <w:tcW w:type="dxa" w:w="2500"/>
          </w:tcPr>
          <w:p>
            <w:r>
              <w:t xml:space="preserve">External Testers</w:t>
            </w:r>
          </w:p>
        </w:tc>
        <w:tc>
          <w:tcPr>
            <w:tcW w:type="dxa" w:w="2500"/>
          </w:tcPr>
          <w:p>
            <w:r>
              <w:t xml:space="preserve">Up to 10,000</w:t>
            </w:r>
          </w:p>
        </w:tc>
        <w:tc>
          <w:tcPr>
            <w:tcW w:type="dxa" w:w="4350"/>
          </w:tcPr>
          <w:p>
            <w:r>
              <w:t xml:space="preserve">Invited via email or a public link. First build of each new version requires Apple Beta App Review.</w:t>
            </w:r>
          </w:p>
        </w:tc>
      </w:tr>
    </w:tbl>
    <w:p/>
    <w:p>
      <w:pPr>
        <w:pStyle w:val="Heading2"/>
      </w:pPr>
      <w:r>
        <w:t xml:space="preserve">Beta App Review</w:t>
      </w:r>
    </w:p>
    <w:p>
      <w:pPr>
        <w:pStyle w:val="ListParagraph"/>
        <w:numPr>
          <w:ilvl w:val="0"/>
          <w:numId w:val="2"/>
        </w:numPr>
      </w:pPr>
      <w:r>
        <w:t xml:space="preserve">The first build of a new app version submitted for external testing requires Apple's Beta App Review, typically taking 24–48 hours (occasionally longer during backlog periods).</w:t>
      </w:r>
    </w:p>
    <w:p>
      <w:pPr>
        <w:pStyle w:val="ListParagraph"/>
        <w:numPr>
          <w:ilvl w:val="0"/>
          <w:numId w:val="2"/>
        </w:numPr>
      </w:pPr>
      <w:r>
        <w:t xml:space="preserve">Subsequent builds of the same version are usually approved automatically within minutes, as long as nothing sensitive changes (entitlements, privacy strings, marketing copy).</w:t>
      </w:r>
    </w:p>
    <w:p/>
    <w:p>
      <w:pPr>
        <w:pStyle w:val="Heading2"/>
      </w:pPr>
      <w:r>
        <w:t xml:space="preserve">Build Expiry — 90 Day Rule</w:t>
      </w:r>
    </w:p>
    <w:p>
      <w:r>
        <w:t xml:space="preserve">Every TestFlight build automatically expires 90 days after it is uploaded/approved.</w:t>
      </w:r>
    </w:p>
    <w:p>
      <w:pPr>
        <w:pStyle w:val="ListParagraph"/>
        <w:numPr>
          <w:ilvl w:val="0"/>
          <w:numId w:val="2"/>
        </w:numPr>
      </w:pPr>
      <w:r>
        <w:t xml:space="preserve">When a build expires, testers lose access to the app entirely, including login sessions, local data, and testing progress.</w:t>
      </w:r>
    </w:p>
    <w:p>
      <w:pPr>
        <w:pStyle w:val="ListParagraph"/>
        <w:numPr>
          <w:ilvl w:val="0"/>
          <w:numId w:val="2"/>
        </w:numPr>
      </w:pPr>
      <w:r>
        <w:t xml:space="preserve">Testers typically receive a push notification a few days before expiry via the TestFlight app.</w:t>
      </w:r>
    </w:p>
    <w:p>
      <w:pPr>
        <w:pStyle w:val="ListParagraph"/>
        <w:numPr>
          <w:ilvl w:val="0"/>
          <w:numId w:val="2"/>
        </w:numPr>
      </w:pPr>
      <w:r>
        <w:t xml:space="preserve">To keep the app usable, a new build must be uploaded before the 90-day window closes.</w:t>
      </w:r>
    </w:p>
    <w:p/>
    <w:p>
      <w:pPr>
        <w:pStyle w:val="Heading2"/>
      </w:pPr>
      <w:r>
        <w:t xml:space="preserve">Re-uploading the Same Code</w:t>
      </w:r>
    </w:p>
    <w:p>
      <w:r>
        <w:t xml:space="preserve">No code changes are required to reset the expiry timer. The process is:</w:t>
      </w:r>
    </w:p>
    <w:p>
      <w:pPr>
        <w:pStyle w:val="ListParagraph"/>
        <w:numPr>
          <w:ilvl w:val="0"/>
          <w:numId w:val="2"/>
        </w:numPr>
      </w:pPr>
      <w:r>
        <w:t xml:space="preserve">Increase the Build number in Xcode (e.g. 1.0.0 build 5 → build 6); the version number can stay the same.</w:t>
      </w:r>
    </w:p>
    <w:p>
      <w:pPr>
        <w:pStyle w:val="ListParagraph"/>
        <w:numPr>
          <w:ilvl w:val="0"/>
          <w:numId w:val="2"/>
        </w:numPr>
      </w:pPr>
      <w:r>
        <w:t xml:space="preserve">Archive and upload the build to App Store Connect again.</w:t>
      </w:r>
    </w:p>
    <w:p>
      <w:pPr>
        <w:pStyle w:val="ListParagraph"/>
        <w:numPr>
          <w:ilvl w:val="0"/>
          <w:numId w:val="2"/>
        </w:numPr>
      </w:pPr>
      <w:r>
        <w:t xml:space="preserve">Since nothing sensitive changed, review is usually fast — often approved within minutes.</w:t>
      </w:r>
    </w:p>
    <w:p>
      <w:pPr>
        <w:pStyle w:val="ListParagraph"/>
        <w:numPr>
          <w:ilvl w:val="0"/>
          <w:numId w:val="2"/>
        </w:numPr>
      </w:pPr>
      <w:r>
        <w:t xml:space="preserve">Once approved, the 90-day expiry timer resets for testers on that build/group.</w:t>
      </w:r>
    </w:p>
    <w:p>
      <w:pPr>
        <w:pStyle w:val="ListParagraph"/>
        <w:numPr>
          <w:ilvl w:val="0"/>
          <w:numId w:val="2"/>
        </w:numPr>
      </w:pPr>
      <w:r>
        <w:t xml:space="preserve">Testers must open TestFlight and update to the new build, or their old build can still expire on schedule.</w:t>
      </w:r>
    </w:p>
    <w:p/>
    <w:p>
      <w:pPr>
        <w:pStyle w:val="Heading1"/>
      </w:pPr>
      <w:r>
        <w:t xml:space="preserve">4. Comparison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rPr>
          <w:tblHeader/>
        </w:trPr>
        <w:tc>
          <w:tcPr>
            <w:tcW w:type="dxa" w:w="3116"/>
            <w:shd w:fill="2E4057" w:color="auto" w:val="clear"/>
          </w:tcPr>
          <w:p>
            <w:r>
              <w:rPr>
                <w:b/>
                <w:bCs/>
                <w:color w:val="FFFFFF"/>
              </w:rPr>
              <w:t xml:space="preserve"/>
            </w:r>
          </w:p>
        </w:tc>
        <w:tc>
          <w:tcPr>
            <w:tcW w:type="dxa" w:w="3117"/>
            <w:shd w:fill="2E4057" w:color="auto" w:val="clear"/>
          </w:tcPr>
          <w:p>
            <w:r>
              <w:rPr>
                <w:b/>
                <w:bCs/>
                <w:color w:val="FFFFFF"/>
              </w:rPr>
              <w:t xml:space="preserve">Android (APK)</w:t>
            </w:r>
          </w:p>
        </w:tc>
        <w:tc>
          <w:tcPr>
            <w:tcW w:type="dxa" w:w="3117"/>
            <w:shd w:fill="2E4057" w:color="auto" w:val="clear"/>
          </w:tcPr>
          <w:p>
            <w:r>
              <w:rPr>
                <w:b/>
                <w:bCs/>
                <w:color w:val="FFFFFF"/>
              </w:rPr>
              <w:t xml:space="preserve">iOS (IPA / TestFlight)</w:t>
            </w:r>
          </w:p>
        </w:tc>
      </w:tr>
      <w:tr>
        <w:tc>
          <w:tcPr>
            <w:tcW w:type="dxa" w:w="3116"/>
          </w:tcPr>
          <w:p>
            <w:r>
              <w:rPr>
                <w:b/>
                <w:bCs/>
              </w:rPr>
              <w:t xml:space="preserve">Max Users</w:t>
            </w:r>
          </w:p>
        </w:tc>
        <w:tc>
          <w:tcPr>
            <w:tcW w:type="dxa" w:w="3117"/>
          </w:tcPr>
          <w:p>
            <w:r>
              <w:t xml:space="preserve">Unlimited</w:t>
            </w:r>
          </w:p>
        </w:tc>
        <w:tc>
          <w:tcPr>
            <w:tcW w:type="dxa" w:w="3117"/>
          </w:tcPr>
          <w:p>
            <w:r>
              <w:t xml:space="preserve">10,000 (external testers)</w:t>
            </w:r>
          </w:p>
        </w:tc>
      </w:tr>
      <w:tr>
        <w:tc>
          <w:tcPr>
            <w:tcW w:type="dxa" w:w="3116"/>
          </w:tcPr>
          <w:p>
            <w:r>
              <w:rPr>
                <w:b/>
                <w:bCs/>
              </w:rPr>
              <w:t xml:space="preserve">Expiry</w:t>
            </w:r>
          </w:p>
        </w:tc>
        <w:tc>
          <w:tcPr>
            <w:tcW w:type="dxa" w:w="3117"/>
          </w:tcPr>
          <w:p>
            <w:r>
              <w:t xml:space="preserve">Never</w:t>
            </w:r>
          </w:p>
        </w:tc>
        <w:tc>
          <w:tcPr>
            <w:tcW w:type="dxa" w:w="3117"/>
          </w:tcPr>
          <w:p>
            <w:r>
              <w:t xml:space="preserve">Every 90 days (needs rebuild)</w:t>
            </w:r>
          </w:p>
        </w:tc>
      </w:tr>
      <w:tr>
        <w:tc>
          <w:tcPr>
            <w:tcW w:type="dxa" w:w="3116"/>
          </w:tcPr>
          <w:p>
            <w:r>
              <w:rPr>
                <w:b/>
                <w:bCs/>
              </w:rPr>
              <w:t xml:space="preserve">Review Needed</w:t>
            </w:r>
          </w:p>
        </w:tc>
        <w:tc>
          <w:tcPr>
            <w:tcW w:type="dxa" w:w="3117"/>
          </w:tcPr>
          <w:p>
            <w:r>
              <w:t xml:space="preserve">No</w:t>
            </w:r>
          </w:p>
        </w:tc>
        <w:tc>
          <w:tcPr>
            <w:tcW w:type="dxa" w:w="3117"/>
          </w:tcPr>
          <w:p>
            <w:r>
              <w:t xml:space="preserve">Yes, first build (~24–48 hrs)</w:t>
            </w:r>
          </w:p>
        </w:tc>
      </w:tr>
      <w:tr>
        <w:tc>
          <w:tcPr>
            <w:tcW w:type="dxa" w:w="3116"/>
          </w:tcPr>
          <w:p>
            <w:r>
              <w:rPr>
                <w:b/>
                <w:bCs/>
              </w:rPr>
              <w:t xml:space="preserve">Distribution Method</w:t>
            </w:r>
          </w:p>
        </w:tc>
        <w:tc>
          <w:tcPr>
            <w:tcW w:type="dxa" w:w="3117"/>
          </w:tcPr>
          <w:p>
            <w:r>
              <w:t xml:space="preserve">Direct file share / link</w:t>
            </w:r>
          </w:p>
        </w:tc>
        <w:tc>
          <w:tcPr>
            <w:tcW w:type="dxa" w:w="3117"/>
          </w:tcPr>
          <w:p>
            <w:r>
              <w:t xml:space="preserve">Email invite or public link via TestFlight</w:t>
            </w:r>
          </w:p>
        </w:tc>
      </w:tr>
    </w:tbl>
    <w:p/>
    <w:p>
      <w:pPr>
        <w:pStyle w:val="Heading1"/>
      </w:pPr>
      <w:r>
        <w:t xml:space="preserve">5. Recommendation</w:t>
      </w:r>
    </w:p>
    <w:p>
      <w:r>
        <w:t xml:space="preserve">For public, long-term distribution without repeated manual work (no 90-day rebuild cycle, no 10,000-user cap), publishing to the actual App Store is the more sustainable path. It requires passing Apple's full App Review process, which is stricter than TestFlight's Beta App Review, but removes both the expiry and the tester cap entirely.</w:t>
      </w:r>
    </w:p>
    <w:p/>
    <w:p>
      <w:r>
        <w:rPr>
          <w:b/>
          <w:bCs/>
        </w:rPr>
        <w:t xml:space="preserve">Document generated: </w:t>
      </w:r>
      <w:r>
        <w:t xml:space="preserve">Based on conversation regarding Flutter app distribution for Android and iOS.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2026-08-23T23:54:47.347Z</dcterms:created>
  <dcterms:modified xsi:type="dcterms:W3CDTF">2026-08-23T23:54:47.361Z</dcterms:modified>
</cp:coreProperties>
</file>

<file path=docProps/custom.xml><?xml version="1.0" encoding="utf-8"?>
<Properties xmlns="http://schemas.openxmlformats.org/officeDocument/2006/custom-properties" xmlns:vt="http://schemas.openxmlformats.org/officeDocument/2006/docPropsVTypes"/>
</file>