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4"/>
        </w:rPr>
        <w:t>Supermarket Sales Analysis</w:t>
      </w:r>
    </w:p>
    <w:p>
      <w:pPr>
        <w:spacing w:before="0" w:after="240"/>
      </w:pPr>
      <w:r>
        <w:rPr>
          <w:color w:val="4A90E2"/>
          <w:sz w:val="26"/>
        </w:rPr>
        <w:t>Data Analytics Capstone Project Report</w:t>
      </w:r>
    </w:p>
    <w:tbl>
      <w:tblPr>
        <w:tblW w:type="auto" w:w="0"/>
        <w:jc w:val="center"/>
        <w:tblLook w:firstColumn="1" w:firstRow="1" w:lastColumn="0" w:lastRow="0" w:noHBand="0" w:noVBand="1" w:val="04A0"/>
      </w:tblPr>
      <w:tblGrid>
        <w:gridCol w:w="4680"/>
        <w:gridCol w:w="4680"/>
      </w:tblGrid>
      <w:tr>
        <w:tc>
          <w:tcPr>
            <w:tcW w:type="dxa" w:w="4680"/>
            <w:shd w:fill="F4F6F9"/>
            <w:tcMar>
              <w:top w:w="80" w:type="dxa"/>
              <w:bottom w:w="80" w:type="dxa"/>
              <w:left w:w="120" w:type="dxa"/>
              <w:right w:w="120" w:type="dxa"/>
            </w:tcMar>
          </w:tcPr>
          <w:p>
            <w:r>
              <w:rPr>
                <w:b/>
              </w:rPr>
              <w:t xml:space="preserve">Author: </w:t>
            </w:r>
            <w:r>
              <w:t>Harsh Agrawal</w:t>
            </w:r>
          </w:p>
        </w:tc>
        <w:tc>
          <w:tcPr>
            <w:tcW w:type="dxa" w:w="4680"/>
            <w:shd w:fill="F4F6F9"/>
            <w:tcMar>
              <w:top w:w="80" w:type="dxa"/>
              <w:bottom w:w="80" w:type="dxa"/>
              <w:left w:w="120" w:type="dxa"/>
              <w:right w:w="120" w:type="dxa"/>
            </w:tcMar>
          </w:tcPr>
          <w:p>
            <w:r>
              <w:rPr>
                <w:b/>
              </w:rPr>
              <w:t xml:space="preserve">Program: </w:t>
            </w:r>
            <w:r>
              <w:t>IBM SkillsBuild Internship</w:t>
            </w:r>
          </w:p>
        </w:tc>
      </w:tr>
      <w:tr>
        <w:tc>
          <w:tcPr>
            <w:tcW w:type="dxa" w:w="4680"/>
            <w:shd w:fill="F4F6F9"/>
            <w:tcMar>
              <w:top w:w="80" w:type="dxa"/>
              <w:bottom w:w="80" w:type="dxa"/>
              <w:left w:w="120" w:type="dxa"/>
              <w:right w:w="120" w:type="dxa"/>
            </w:tcMar>
          </w:tcPr>
          <w:p>
            <w:r>
              <w:rPr>
                <w:b/>
              </w:rPr>
              <w:t xml:space="preserve">Domain: </w:t>
            </w:r>
            <w:r>
              <w:t>Retail Data Analytics</w:t>
            </w:r>
          </w:p>
        </w:tc>
        <w:tc>
          <w:tcPr>
            <w:tcW w:type="dxa" w:w="4680"/>
            <w:shd w:fill="F4F6F9"/>
            <w:tcMar>
              <w:top w:w="80" w:type="dxa"/>
              <w:bottom w:w="80" w:type="dxa"/>
              <w:left w:w="120" w:type="dxa"/>
              <w:right w:w="120" w:type="dxa"/>
            </w:tcMar>
          </w:tcPr>
          <w:p>
            <w:r>
              <w:rPr>
                <w:b/>
              </w:rPr>
              <w:t xml:space="preserve">Dataset: </w:t>
            </w:r>
            <w:r>
              <w:t>SUPER MARKET DATA.xlsx (500 Records)</w:t>
            </w:r>
          </w:p>
        </w:tc>
      </w:tr>
    </w:tbl>
    <w:p>
      <w:pPr>
        <w:spacing w:before="200" w:after="280"/>
      </w:pPr>
    </w:p>
    <w:p>
      <w:pPr>
        <w:spacing w:before="320" w:after="120"/>
      </w:pPr>
      <w:r>
        <w:rPr>
          <w:b/>
          <w:color w:val="1B365D"/>
          <w:sz w:val="28"/>
        </w:rPr>
        <w:t>1. Problem Statement</w:t>
      </w:r>
    </w:p>
    <w:p>
      <w:pPr>
        <w:spacing w:before="0" w:after="120" w:line="276" w:lineRule="auto"/>
      </w:pPr>
      <w:r>
        <w:rPr>
          <w:color w:val="333333"/>
          <w:sz w:val="20"/>
        </w:rPr>
        <w:t>Supermarkets operate in dynamic retail environments with thousands of daily customer transactions. Understanding sales dynamics, product popularity, branch efficiency, customer purchasing habits, payment methods, and service quality is crucial for profitable store operations.</w:t>
      </w:r>
    </w:p>
    <w:p>
      <w:pPr>
        <w:spacing w:before="0" w:after="120" w:line="276" w:lineRule="auto"/>
      </w:pPr>
      <w:r>
        <w:rPr>
          <w:color w:val="333333"/>
          <w:sz w:val="20"/>
        </w:rPr>
        <w:t>The objective of this project is to perform an end-to-end data analysis on supermarket transactional logs to evaluate revenue drivers, compare regional branch efficiency, determine product demand, evaluate membership customer value, and assess customer satisfaction ratings. The final goal is to translate raw transactional data into practical, data-backed business decisions.</w:t>
      </w:r>
    </w:p>
    <w:p>
      <w:pPr>
        <w:spacing w:before="320" w:after="120"/>
      </w:pPr>
      <w:r>
        <w:rPr>
          <w:b/>
          <w:color w:val="1B365D"/>
          <w:sz w:val="28"/>
        </w:rPr>
        <w:t>2. Dataset Overview</w:t>
      </w:r>
    </w:p>
    <w:p>
      <w:pPr>
        <w:spacing w:before="0" w:after="120" w:line="276" w:lineRule="auto"/>
      </w:pPr>
      <w:r>
        <w:rPr>
          <w:color w:val="333333"/>
          <w:sz w:val="20"/>
        </w:rPr>
        <w:t>The dataset analyzed in this project ('SUPER MARKET DATA.xlsx') consists of 500 sales transaction records captured between January 1, 2026 and July 1, 2026 across four regional supermarket branches in India. The dataset contains 13 features capturing operational, demographic, and financial details for each purchase.</w:t>
      </w:r>
    </w:p>
    <w:tbl>
      <w:tblPr>
        <w:tblW w:type="auto" w:w="0"/>
        <w:jc w:val="center"/>
        <w:tblLook w:firstColumn="1" w:firstRow="1" w:lastColumn="0" w:lastRow="0" w:noHBand="0" w:noVBand="1" w:val="04A0"/>
        <w:tblBorders>
          <w:top w:val="single" w:sz="6" w:space="0" w:color="D0D5DD"/>
          <w:bottom w:val="single" w:sz="6" w:space="0" w:color="D0D5DD"/>
          <w:left w:val="none"/>
          <w:right w:val="none"/>
          <w:insideH w:val="single" w:sz="4" w:space="0" w:color="E5E7EB"/>
          <w:insideV w:val="none"/>
        </w:tblBorders>
      </w:tblPr>
      <w:tblGrid>
        <w:gridCol w:w="2340"/>
        <w:gridCol w:w="2340"/>
        <w:gridCol w:w="2340"/>
        <w:gridCol w:w="2340"/>
      </w:tblGrid>
      <w:tr>
        <w:trPr>
          <w:tblHeader/>
        </w:trPr>
        <w:tc>
          <w:tcPr>
            <w:tcW w:type="dxa" w:w="2016"/>
            <w:shd w:fill="1B365D"/>
            <w:tcMar>
              <w:top w:w="120" w:type="dxa"/>
              <w:bottom w:w="120" w:type="dxa"/>
              <w:left w:w="150" w:type="dxa"/>
              <w:right w:w="150" w:type="dxa"/>
            </w:tcMar>
          </w:tcPr>
          <w:p>
            <w:pPr>
              <w:jc w:val="left"/>
            </w:pPr>
            <w:r>
              <w:rPr>
                <w:rFonts w:ascii="Arial" w:hAnsi="Arial"/>
                <w:b/>
                <w:color w:val="FFFFFF"/>
                <w:sz w:val="19"/>
              </w:rPr>
              <w:t>Column Name</w:t>
            </w:r>
          </w:p>
        </w:tc>
        <w:tc>
          <w:tcPr>
            <w:tcW w:type="dxa" w:w="1872"/>
            <w:shd w:fill="1B365D"/>
            <w:tcMar>
              <w:top w:w="120" w:type="dxa"/>
              <w:bottom w:w="120" w:type="dxa"/>
              <w:left w:w="150" w:type="dxa"/>
              <w:right w:w="150" w:type="dxa"/>
            </w:tcMar>
          </w:tcPr>
          <w:p>
            <w:pPr>
              <w:jc w:val="left"/>
            </w:pPr>
            <w:r>
              <w:rPr>
                <w:rFonts w:ascii="Arial" w:hAnsi="Arial"/>
                <w:b/>
                <w:color w:val="FFFFFF"/>
                <w:sz w:val="19"/>
              </w:rPr>
              <w:t>Data Type</w:t>
            </w:r>
          </w:p>
        </w:tc>
        <w:tc>
          <w:tcPr>
            <w:tcW w:type="dxa" w:w="3312"/>
            <w:shd w:fill="1B365D"/>
            <w:tcMar>
              <w:top w:w="120" w:type="dxa"/>
              <w:bottom w:w="120" w:type="dxa"/>
              <w:left w:w="150" w:type="dxa"/>
              <w:right w:w="150" w:type="dxa"/>
            </w:tcMar>
          </w:tcPr>
          <w:p>
            <w:pPr>
              <w:jc w:val="left"/>
            </w:pPr>
            <w:r>
              <w:rPr>
                <w:rFonts w:ascii="Arial" w:hAnsi="Arial"/>
                <w:b/>
                <w:color w:val="FFFFFF"/>
                <w:sz w:val="19"/>
              </w:rPr>
              <w:t>Description</w:t>
            </w:r>
          </w:p>
        </w:tc>
        <w:tc>
          <w:tcPr>
            <w:tcW w:type="dxa" w:w="2160"/>
            <w:shd w:fill="1B365D"/>
            <w:tcMar>
              <w:top w:w="120" w:type="dxa"/>
              <w:bottom w:w="120" w:type="dxa"/>
              <w:left w:w="150" w:type="dxa"/>
              <w:right w:w="150" w:type="dxa"/>
            </w:tcMar>
          </w:tcPr>
          <w:p>
            <w:pPr>
              <w:jc w:val="left"/>
            </w:pPr>
            <w:r>
              <w:rPr>
                <w:rFonts w:ascii="Arial" w:hAnsi="Arial"/>
                <w:b/>
                <w:color w:val="FFFFFF"/>
                <w:sz w:val="19"/>
              </w:rPr>
              <w:t>Sample Values</w:t>
            </w:r>
          </w:p>
        </w:tc>
      </w:tr>
      <w:tr>
        <w:tc>
          <w:tcPr>
            <w:tcW w:type="dxa" w:w="2016"/>
            <w:shd w:fill="F9FAFB"/>
            <w:tcMar>
              <w:top w:w="90" w:type="dxa"/>
              <w:bottom w:w="90" w:type="dxa"/>
              <w:left w:w="150" w:type="dxa"/>
              <w:right w:w="150" w:type="dxa"/>
            </w:tcMar>
          </w:tcPr>
          <w:p>
            <w:r>
              <w:rPr>
                <w:rFonts w:ascii="Arial" w:hAnsi="Arial"/>
                <w:color w:val="374151"/>
                <w:sz w:val="18"/>
              </w:rPr>
              <w:t>Invoice ID</w:t>
            </w:r>
          </w:p>
        </w:tc>
        <w:tc>
          <w:tcPr>
            <w:tcW w:type="dxa" w:w="1872"/>
            <w:shd w:fill="F9FAFB"/>
            <w:tcMar>
              <w:top w:w="90" w:type="dxa"/>
              <w:bottom w:w="90" w:type="dxa"/>
              <w:left w:w="150" w:type="dxa"/>
              <w:right w:w="150" w:type="dxa"/>
            </w:tcMar>
          </w:tcPr>
          <w:p>
            <w:r>
              <w:rPr>
                <w:rFonts w:ascii="Arial" w:hAnsi="Arial"/>
                <w:color w:val="374151"/>
                <w:sz w:val="18"/>
              </w:rPr>
              <w:t>Categorical / String</w:t>
            </w:r>
          </w:p>
        </w:tc>
        <w:tc>
          <w:tcPr>
            <w:tcW w:type="dxa" w:w="3312"/>
            <w:shd w:fill="F9FAFB"/>
            <w:tcMar>
              <w:top w:w="90" w:type="dxa"/>
              <w:bottom w:w="90" w:type="dxa"/>
              <w:left w:w="150" w:type="dxa"/>
              <w:right w:w="150" w:type="dxa"/>
            </w:tcMar>
          </w:tcPr>
          <w:p>
            <w:r>
              <w:rPr>
                <w:rFonts w:ascii="Arial" w:hAnsi="Arial"/>
                <w:color w:val="374151"/>
                <w:sz w:val="18"/>
              </w:rPr>
              <w:t>Unique transaction identifier</w:t>
            </w:r>
          </w:p>
        </w:tc>
        <w:tc>
          <w:tcPr>
            <w:tcW w:type="dxa" w:w="2160"/>
            <w:shd w:fill="F9FAFB"/>
            <w:tcMar>
              <w:top w:w="90" w:type="dxa"/>
              <w:bottom w:w="90" w:type="dxa"/>
              <w:left w:w="150" w:type="dxa"/>
              <w:right w:w="150" w:type="dxa"/>
            </w:tcMar>
          </w:tcPr>
          <w:p>
            <w:r>
              <w:rPr>
                <w:rFonts w:ascii="Arial" w:hAnsi="Arial"/>
                <w:color w:val="374151"/>
                <w:sz w:val="18"/>
              </w:rPr>
              <w:t>INV0001, INV0002</w:t>
            </w:r>
          </w:p>
        </w:tc>
      </w:tr>
      <w:tr>
        <w:tc>
          <w:tcPr>
            <w:tcW w:type="dxa" w:w="2016"/>
            <w:shd w:fill="FFFFFF"/>
            <w:tcMar>
              <w:top w:w="90" w:type="dxa"/>
              <w:bottom w:w="90" w:type="dxa"/>
              <w:left w:w="150" w:type="dxa"/>
              <w:right w:w="150" w:type="dxa"/>
            </w:tcMar>
          </w:tcPr>
          <w:p>
            <w:r>
              <w:rPr>
                <w:rFonts w:ascii="Arial" w:hAnsi="Arial"/>
                <w:color w:val="374151"/>
                <w:sz w:val="18"/>
              </w:rPr>
              <w:t>Date</w:t>
            </w:r>
          </w:p>
        </w:tc>
        <w:tc>
          <w:tcPr>
            <w:tcW w:type="dxa" w:w="1872"/>
            <w:shd w:fill="FFFFFF"/>
            <w:tcMar>
              <w:top w:w="90" w:type="dxa"/>
              <w:bottom w:w="90" w:type="dxa"/>
              <w:left w:w="150" w:type="dxa"/>
              <w:right w:w="150" w:type="dxa"/>
            </w:tcMar>
          </w:tcPr>
          <w:p>
            <w:r>
              <w:rPr>
                <w:rFonts w:ascii="Arial" w:hAnsi="Arial"/>
                <w:color w:val="374151"/>
                <w:sz w:val="18"/>
              </w:rPr>
              <w:t>Datetime</w:t>
            </w:r>
          </w:p>
        </w:tc>
        <w:tc>
          <w:tcPr>
            <w:tcW w:type="dxa" w:w="3312"/>
            <w:shd w:fill="FFFFFF"/>
            <w:tcMar>
              <w:top w:w="90" w:type="dxa"/>
              <w:bottom w:w="90" w:type="dxa"/>
              <w:left w:w="150" w:type="dxa"/>
              <w:right w:w="150" w:type="dxa"/>
            </w:tcMar>
          </w:tcPr>
          <w:p>
            <w:r>
              <w:rPr>
                <w:rFonts w:ascii="Arial" w:hAnsi="Arial"/>
                <w:color w:val="374151"/>
                <w:sz w:val="18"/>
              </w:rPr>
              <w:t>Date on which transaction took place</w:t>
            </w:r>
          </w:p>
        </w:tc>
        <w:tc>
          <w:tcPr>
            <w:tcW w:type="dxa" w:w="2160"/>
            <w:shd w:fill="FFFFFF"/>
            <w:tcMar>
              <w:top w:w="90" w:type="dxa"/>
              <w:bottom w:w="90" w:type="dxa"/>
              <w:left w:w="150" w:type="dxa"/>
              <w:right w:w="150" w:type="dxa"/>
            </w:tcMar>
          </w:tcPr>
          <w:p>
            <w:r>
              <w:rPr>
                <w:rFonts w:ascii="Arial" w:hAnsi="Arial"/>
                <w:color w:val="374151"/>
                <w:sz w:val="18"/>
              </w:rPr>
              <w:t>2026-01-01 to 2026-07-01</w:t>
            </w:r>
          </w:p>
        </w:tc>
      </w:tr>
      <w:tr>
        <w:tc>
          <w:tcPr>
            <w:tcW w:type="dxa" w:w="2016"/>
            <w:shd w:fill="F9FAFB"/>
            <w:tcMar>
              <w:top w:w="90" w:type="dxa"/>
              <w:bottom w:w="90" w:type="dxa"/>
              <w:left w:w="150" w:type="dxa"/>
              <w:right w:w="150" w:type="dxa"/>
            </w:tcMar>
          </w:tcPr>
          <w:p>
            <w:r>
              <w:rPr>
                <w:rFonts w:ascii="Arial" w:hAnsi="Arial"/>
                <w:color w:val="374151"/>
                <w:sz w:val="18"/>
              </w:rPr>
              <w:t>Branch</w:t>
            </w:r>
          </w:p>
        </w:tc>
        <w:tc>
          <w:tcPr>
            <w:tcW w:type="dxa" w:w="1872"/>
            <w:shd w:fill="F9FAFB"/>
            <w:tcMar>
              <w:top w:w="90" w:type="dxa"/>
              <w:bottom w:w="90" w:type="dxa"/>
              <w:left w:w="150" w:type="dxa"/>
              <w:right w:w="150" w:type="dxa"/>
            </w:tcMar>
          </w:tcPr>
          <w:p>
            <w:r>
              <w:rPr>
                <w:rFonts w:ascii="Arial" w:hAnsi="Arial"/>
                <w:color w:val="374151"/>
                <w:sz w:val="18"/>
              </w:rPr>
              <w:t>Categorical</w:t>
            </w:r>
          </w:p>
        </w:tc>
        <w:tc>
          <w:tcPr>
            <w:tcW w:type="dxa" w:w="3312"/>
            <w:shd w:fill="F9FAFB"/>
            <w:tcMar>
              <w:top w:w="90" w:type="dxa"/>
              <w:bottom w:w="90" w:type="dxa"/>
              <w:left w:w="150" w:type="dxa"/>
              <w:right w:w="150" w:type="dxa"/>
            </w:tcMar>
          </w:tcPr>
          <w:p>
            <w:r>
              <w:rPr>
                <w:rFonts w:ascii="Arial" w:hAnsi="Arial"/>
                <w:color w:val="374151"/>
                <w:sz w:val="18"/>
              </w:rPr>
              <w:t>Store branch code</w:t>
            </w:r>
          </w:p>
        </w:tc>
        <w:tc>
          <w:tcPr>
            <w:tcW w:type="dxa" w:w="2160"/>
            <w:shd w:fill="F9FAFB"/>
            <w:tcMar>
              <w:top w:w="90" w:type="dxa"/>
              <w:bottom w:w="90" w:type="dxa"/>
              <w:left w:w="150" w:type="dxa"/>
              <w:right w:w="150" w:type="dxa"/>
            </w:tcMar>
          </w:tcPr>
          <w:p>
            <w:r>
              <w:rPr>
                <w:rFonts w:ascii="Arial" w:hAnsi="Arial"/>
                <w:color w:val="374151"/>
                <w:sz w:val="18"/>
              </w:rPr>
              <w:t>A, B, C, D</w:t>
            </w:r>
          </w:p>
        </w:tc>
      </w:tr>
      <w:tr>
        <w:tc>
          <w:tcPr>
            <w:tcW w:type="dxa" w:w="2016"/>
            <w:shd w:fill="FFFFFF"/>
            <w:tcMar>
              <w:top w:w="90" w:type="dxa"/>
              <w:bottom w:w="90" w:type="dxa"/>
              <w:left w:w="150" w:type="dxa"/>
              <w:right w:w="150" w:type="dxa"/>
            </w:tcMar>
          </w:tcPr>
          <w:p>
            <w:r>
              <w:rPr>
                <w:rFonts w:ascii="Arial" w:hAnsi="Arial"/>
                <w:color w:val="374151"/>
                <w:sz w:val="18"/>
              </w:rPr>
              <w:t>City</w:t>
            </w:r>
          </w:p>
        </w:tc>
        <w:tc>
          <w:tcPr>
            <w:tcW w:type="dxa" w:w="1872"/>
            <w:shd w:fill="FFFFFF"/>
            <w:tcMar>
              <w:top w:w="90" w:type="dxa"/>
              <w:bottom w:w="90" w:type="dxa"/>
              <w:left w:w="150" w:type="dxa"/>
              <w:right w:w="150" w:type="dxa"/>
            </w:tcMar>
          </w:tcPr>
          <w:p>
            <w:r>
              <w:rPr>
                <w:rFonts w:ascii="Arial" w:hAnsi="Arial"/>
                <w:color w:val="374151"/>
                <w:sz w:val="18"/>
              </w:rPr>
              <w:t>Categorical</w:t>
            </w:r>
          </w:p>
        </w:tc>
        <w:tc>
          <w:tcPr>
            <w:tcW w:type="dxa" w:w="3312"/>
            <w:shd w:fill="FFFFFF"/>
            <w:tcMar>
              <w:top w:w="90" w:type="dxa"/>
              <w:bottom w:w="90" w:type="dxa"/>
              <w:left w:w="150" w:type="dxa"/>
              <w:right w:w="150" w:type="dxa"/>
            </w:tcMar>
          </w:tcPr>
          <w:p>
            <w:r>
              <w:rPr>
                <w:rFonts w:ascii="Arial" w:hAnsi="Arial"/>
                <w:color w:val="374151"/>
                <w:sz w:val="18"/>
              </w:rPr>
              <w:t>City where supermarket branch is located</w:t>
            </w:r>
          </w:p>
        </w:tc>
        <w:tc>
          <w:tcPr>
            <w:tcW w:type="dxa" w:w="2160"/>
            <w:shd w:fill="FFFFFF"/>
            <w:tcMar>
              <w:top w:w="90" w:type="dxa"/>
              <w:bottom w:w="90" w:type="dxa"/>
              <w:left w:w="150" w:type="dxa"/>
              <w:right w:w="150" w:type="dxa"/>
            </w:tcMar>
          </w:tcPr>
          <w:p>
            <w:r>
              <w:rPr>
                <w:rFonts w:ascii="Arial" w:hAnsi="Arial"/>
                <w:color w:val="374151"/>
                <w:sz w:val="18"/>
              </w:rPr>
              <w:t>Jaipur, Delhi, Mumbai, Bengaluru</w:t>
            </w:r>
          </w:p>
        </w:tc>
      </w:tr>
      <w:tr>
        <w:tc>
          <w:tcPr>
            <w:tcW w:type="dxa" w:w="2016"/>
            <w:shd w:fill="F9FAFB"/>
            <w:tcMar>
              <w:top w:w="90" w:type="dxa"/>
              <w:bottom w:w="90" w:type="dxa"/>
              <w:left w:w="150" w:type="dxa"/>
              <w:right w:w="150" w:type="dxa"/>
            </w:tcMar>
          </w:tcPr>
          <w:p>
            <w:r>
              <w:rPr>
                <w:rFonts w:ascii="Arial" w:hAnsi="Arial"/>
                <w:color w:val="374151"/>
                <w:sz w:val="18"/>
              </w:rPr>
              <w:t>Customer Type</w:t>
            </w:r>
          </w:p>
        </w:tc>
        <w:tc>
          <w:tcPr>
            <w:tcW w:type="dxa" w:w="1872"/>
            <w:shd w:fill="F9FAFB"/>
            <w:tcMar>
              <w:top w:w="90" w:type="dxa"/>
              <w:bottom w:w="90" w:type="dxa"/>
              <w:left w:w="150" w:type="dxa"/>
              <w:right w:w="150" w:type="dxa"/>
            </w:tcMar>
          </w:tcPr>
          <w:p>
            <w:r>
              <w:rPr>
                <w:rFonts w:ascii="Arial" w:hAnsi="Arial"/>
                <w:color w:val="374151"/>
                <w:sz w:val="18"/>
              </w:rPr>
              <w:t>Categorical</w:t>
            </w:r>
          </w:p>
        </w:tc>
        <w:tc>
          <w:tcPr>
            <w:tcW w:type="dxa" w:w="3312"/>
            <w:shd w:fill="F9FAFB"/>
            <w:tcMar>
              <w:top w:w="90" w:type="dxa"/>
              <w:bottom w:w="90" w:type="dxa"/>
              <w:left w:w="150" w:type="dxa"/>
              <w:right w:w="150" w:type="dxa"/>
            </w:tcMar>
          </w:tcPr>
          <w:p>
            <w:r>
              <w:rPr>
                <w:rFonts w:ascii="Arial" w:hAnsi="Arial"/>
                <w:color w:val="374151"/>
                <w:sz w:val="18"/>
              </w:rPr>
              <w:t>Loyalty membership status of shopper</w:t>
            </w:r>
          </w:p>
        </w:tc>
        <w:tc>
          <w:tcPr>
            <w:tcW w:type="dxa" w:w="2160"/>
            <w:shd w:fill="F9FAFB"/>
            <w:tcMar>
              <w:top w:w="90" w:type="dxa"/>
              <w:bottom w:w="90" w:type="dxa"/>
              <w:left w:w="150" w:type="dxa"/>
              <w:right w:w="150" w:type="dxa"/>
            </w:tcMar>
          </w:tcPr>
          <w:p>
            <w:r>
              <w:rPr>
                <w:rFonts w:ascii="Arial" w:hAnsi="Arial"/>
                <w:color w:val="374151"/>
                <w:sz w:val="18"/>
              </w:rPr>
              <w:t>Member, Normal</w:t>
            </w:r>
          </w:p>
        </w:tc>
      </w:tr>
      <w:tr>
        <w:tc>
          <w:tcPr>
            <w:tcW w:type="dxa" w:w="2016"/>
            <w:shd w:fill="FFFFFF"/>
            <w:tcMar>
              <w:top w:w="90" w:type="dxa"/>
              <w:bottom w:w="90" w:type="dxa"/>
              <w:left w:w="150" w:type="dxa"/>
              <w:right w:w="150" w:type="dxa"/>
            </w:tcMar>
          </w:tcPr>
          <w:p>
            <w:r>
              <w:rPr>
                <w:rFonts w:ascii="Arial" w:hAnsi="Arial"/>
                <w:color w:val="374151"/>
                <w:sz w:val="18"/>
              </w:rPr>
              <w:t>Gender</w:t>
            </w:r>
          </w:p>
        </w:tc>
        <w:tc>
          <w:tcPr>
            <w:tcW w:type="dxa" w:w="1872"/>
            <w:shd w:fill="FFFFFF"/>
            <w:tcMar>
              <w:top w:w="90" w:type="dxa"/>
              <w:bottom w:w="90" w:type="dxa"/>
              <w:left w:w="150" w:type="dxa"/>
              <w:right w:w="150" w:type="dxa"/>
            </w:tcMar>
          </w:tcPr>
          <w:p>
            <w:r>
              <w:rPr>
                <w:rFonts w:ascii="Arial" w:hAnsi="Arial"/>
                <w:color w:val="374151"/>
                <w:sz w:val="18"/>
              </w:rPr>
              <w:t>Categorical</w:t>
            </w:r>
          </w:p>
        </w:tc>
        <w:tc>
          <w:tcPr>
            <w:tcW w:type="dxa" w:w="3312"/>
            <w:shd w:fill="FFFFFF"/>
            <w:tcMar>
              <w:top w:w="90" w:type="dxa"/>
              <w:bottom w:w="90" w:type="dxa"/>
              <w:left w:w="150" w:type="dxa"/>
              <w:right w:w="150" w:type="dxa"/>
            </w:tcMar>
          </w:tcPr>
          <w:p>
            <w:r>
              <w:rPr>
                <w:rFonts w:ascii="Arial" w:hAnsi="Arial"/>
                <w:color w:val="374151"/>
                <w:sz w:val="18"/>
              </w:rPr>
              <w:t>Gender of the customer</w:t>
            </w:r>
          </w:p>
        </w:tc>
        <w:tc>
          <w:tcPr>
            <w:tcW w:type="dxa" w:w="2160"/>
            <w:shd w:fill="FFFFFF"/>
            <w:tcMar>
              <w:top w:w="90" w:type="dxa"/>
              <w:bottom w:w="90" w:type="dxa"/>
              <w:left w:w="150" w:type="dxa"/>
              <w:right w:w="150" w:type="dxa"/>
            </w:tcMar>
          </w:tcPr>
          <w:p>
            <w:r>
              <w:rPr>
                <w:rFonts w:ascii="Arial" w:hAnsi="Arial"/>
                <w:color w:val="374151"/>
                <w:sz w:val="18"/>
              </w:rPr>
              <w:t>Female, Male</w:t>
            </w:r>
          </w:p>
        </w:tc>
      </w:tr>
      <w:tr>
        <w:tc>
          <w:tcPr>
            <w:tcW w:type="dxa" w:w="2016"/>
            <w:shd w:fill="F9FAFB"/>
            <w:tcMar>
              <w:top w:w="90" w:type="dxa"/>
              <w:bottom w:w="90" w:type="dxa"/>
              <w:left w:w="150" w:type="dxa"/>
              <w:right w:w="150" w:type="dxa"/>
            </w:tcMar>
          </w:tcPr>
          <w:p>
            <w:r>
              <w:rPr>
                <w:rFonts w:ascii="Arial" w:hAnsi="Arial"/>
                <w:color w:val="374151"/>
                <w:sz w:val="18"/>
              </w:rPr>
              <w:t>Product</w:t>
            </w:r>
          </w:p>
        </w:tc>
        <w:tc>
          <w:tcPr>
            <w:tcW w:type="dxa" w:w="1872"/>
            <w:shd w:fill="F9FAFB"/>
            <w:tcMar>
              <w:top w:w="90" w:type="dxa"/>
              <w:bottom w:w="90" w:type="dxa"/>
              <w:left w:w="150" w:type="dxa"/>
              <w:right w:w="150" w:type="dxa"/>
            </w:tcMar>
          </w:tcPr>
          <w:p>
            <w:r>
              <w:rPr>
                <w:rFonts w:ascii="Arial" w:hAnsi="Arial"/>
                <w:color w:val="374151"/>
                <w:sz w:val="18"/>
              </w:rPr>
              <w:t>Categorical</w:t>
            </w:r>
          </w:p>
        </w:tc>
        <w:tc>
          <w:tcPr>
            <w:tcW w:type="dxa" w:w="3312"/>
            <w:shd w:fill="F9FAFB"/>
            <w:tcMar>
              <w:top w:w="90" w:type="dxa"/>
              <w:bottom w:w="90" w:type="dxa"/>
              <w:left w:w="150" w:type="dxa"/>
              <w:right w:w="150" w:type="dxa"/>
            </w:tcMar>
          </w:tcPr>
          <w:p>
            <w:r>
              <w:rPr>
                <w:rFonts w:ascii="Arial" w:hAnsi="Arial"/>
                <w:color w:val="374151"/>
                <w:sz w:val="18"/>
              </w:rPr>
              <w:t>Specific product SKU purchased</w:t>
            </w:r>
          </w:p>
        </w:tc>
        <w:tc>
          <w:tcPr>
            <w:tcW w:type="dxa" w:w="2160"/>
            <w:shd w:fill="F9FAFB"/>
            <w:tcMar>
              <w:top w:w="90" w:type="dxa"/>
              <w:bottom w:w="90" w:type="dxa"/>
              <w:left w:w="150" w:type="dxa"/>
              <w:right w:w="150" w:type="dxa"/>
            </w:tcMar>
          </w:tcPr>
          <w:p>
            <w:r>
              <w:rPr>
                <w:rFonts w:ascii="Arial" w:hAnsi="Arial"/>
                <w:color w:val="374151"/>
                <w:sz w:val="18"/>
              </w:rPr>
              <w:t>Cheese, Coffee, Shampoo, Cooking Oil, etc.</w:t>
            </w:r>
          </w:p>
        </w:tc>
      </w:tr>
      <w:tr>
        <w:tc>
          <w:tcPr>
            <w:tcW w:type="dxa" w:w="2016"/>
            <w:shd w:fill="FFFFFF"/>
            <w:tcMar>
              <w:top w:w="90" w:type="dxa"/>
              <w:bottom w:w="90" w:type="dxa"/>
              <w:left w:w="150" w:type="dxa"/>
              <w:right w:w="150" w:type="dxa"/>
            </w:tcMar>
          </w:tcPr>
          <w:p>
            <w:r>
              <w:rPr>
                <w:rFonts w:ascii="Arial" w:hAnsi="Arial"/>
                <w:color w:val="374151"/>
                <w:sz w:val="18"/>
              </w:rPr>
              <w:t>Category</w:t>
            </w:r>
          </w:p>
        </w:tc>
        <w:tc>
          <w:tcPr>
            <w:tcW w:type="dxa" w:w="1872"/>
            <w:shd w:fill="FFFFFF"/>
            <w:tcMar>
              <w:top w:w="90" w:type="dxa"/>
              <w:bottom w:w="90" w:type="dxa"/>
              <w:left w:w="150" w:type="dxa"/>
              <w:right w:w="150" w:type="dxa"/>
            </w:tcMar>
          </w:tcPr>
          <w:p>
            <w:r>
              <w:rPr>
                <w:rFonts w:ascii="Arial" w:hAnsi="Arial"/>
                <w:color w:val="374151"/>
                <w:sz w:val="18"/>
              </w:rPr>
              <w:t>Categorical</w:t>
            </w:r>
          </w:p>
        </w:tc>
        <w:tc>
          <w:tcPr>
            <w:tcW w:type="dxa" w:w="3312"/>
            <w:shd w:fill="FFFFFF"/>
            <w:tcMar>
              <w:top w:w="90" w:type="dxa"/>
              <w:bottom w:w="90" w:type="dxa"/>
              <w:left w:w="150" w:type="dxa"/>
              <w:right w:w="150" w:type="dxa"/>
            </w:tcMar>
          </w:tcPr>
          <w:p>
            <w:r>
              <w:rPr>
                <w:rFonts w:ascii="Arial" w:hAnsi="Arial"/>
                <w:color w:val="374151"/>
                <w:sz w:val="18"/>
              </w:rPr>
              <w:t>Departmental merchandise group</w:t>
            </w:r>
          </w:p>
        </w:tc>
        <w:tc>
          <w:tcPr>
            <w:tcW w:type="dxa" w:w="2160"/>
            <w:shd w:fill="FFFFFF"/>
            <w:tcMar>
              <w:top w:w="90" w:type="dxa"/>
              <w:bottom w:w="90" w:type="dxa"/>
              <w:left w:w="150" w:type="dxa"/>
              <w:right w:w="150" w:type="dxa"/>
            </w:tcMar>
          </w:tcPr>
          <w:p>
            <w:r>
              <w:rPr>
                <w:rFonts w:ascii="Arial" w:hAnsi="Arial"/>
                <w:color w:val="374151"/>
                <w:sz w:val="18"/>
              </w:rPr>
              <w:t>Beverages, Personal Care, Dairy, Grocery, etc.</w:t>
            </w:r>
          </w:p>
        </w:tc>
      </w:tr>
      <w:tr>
        <w:tc>
          <w:tcPr>
            <w:tcW w:type="dxa" w:w="2016"/>
            <w:shd w:fill="F9FAFB"/>
            <w:tcMar>
              <w:top w:w="90" w:type="dxa"/>
              <w:bottom w:w="90" w:type="dxa"/>
              <w:left w:w="150" w:type="dxa"/>
              <w:right w:w="150" w:type="dxa"/>
            </w:tcMar>
          </w:tcPr>
          <w:p>
            <w:r>
              <w:rPr>
                <w:rFonts w:ascii="Arial" w:hAnsi="Arial"/>
                <w:color w:val="374151"/>
                <w:sz w:val="18"/>
              </w:rPr>
              <w:t>Quantity</w:t>
            </w:r>
          </w:p>
        </w:tc>
        <w:tc>
          <w:tcPr>
            <w:tcW w:type="dxa" w:w="1872"/>
            <w:shd w:fill="F9FAFB"/>
            <w:tcMar>
              <w:top w:w="90" w:type="dxa"/>
              <w:bottom w:w="90" w:type="dxa"/>
              <w:left w:w="150" w:type="dxa"/>
              <w:right w:w="150" w:type="dxa"/>
            </w:tcMar>
          </w:tcPr>
          <w:p>
            <w:r>
              <w:rPr>
                <w:rFonts w:ascii="Arial" w:hAnsi="Arial"/>
                <w:color w:val="374151"/>
                <w:sz w:val="18"/>
              </w:rPr>
              <w:t>Integer</w:t>
            </w:r>
          </w:p>
        </w:tc>
        <w:tc>
          <w:tcPr>
            <w:tcW w:type="dxa" w:w="3312"/>
            <w:shd w:fill="F9FAFB"/>
            <w:tcMar>
              <w:top w:w="90" w:type="dxa"/>
              <w:bottom w:w="90" w:type="dxa"/>
              <w:left w:w="150" w:type="dxa"/>
              <w:right w:w="150" w:type="dxa"/>
            </w:tcMar>
          </w:tcPr>
          <w:p>
            <w:r>
              <w:rPr>
                <w:rFonts w:ascii="Arial" w:hAnsi="Arial"/>
                <w:color w:val="374151"/>
                <w:sz w:val="18"/>
              </w:rPr>
              <w:t>Number of units purchased in the order</w:t>
            </w:r>
          </w:p>
        </w:tc>
        <w:tc>
          <w:tcPr>
            <w:tcW w:type="dxa" w:w="2160"/>
            <w:shd w:fill="F9FAFB"/>
            <w:tcMar>
              <w:top w:w="90" w:type="dxa"/>
              <w:bottom w:w="90" w:type="dxa"/>
              <w:left w:w="150" w:type="dxa"/>
              <w:right w:w="150" w:type="dxa"/>
            </w:tcMar>
          </w:tcPr>
          <w:p>
            <w:r>
              <w:rPr>
                <w:rFonts w:ascii="Arial" w:hAnsi="Arial"/>
                <w:color w:val="374151"/>
                <w:sz w:val="18"/>
              </w:rPr>
              <w:t>1 to 10 units</w:t>
            </w:r>
          </w:p>
        </w:tc>
      </w:tr>
      <w:tr>
        <w:tc>
          <w:tcPr>
            <w:tcW w:type="dxa" w:w="2016"/>
            <w:shd w:fill="FFFFFF"/>
            <w:tcMar>
              <w:top w:w="90" w:type="dxa"/>
              <w:bottom w:w="90" w:type="dxa"/>
              <w:left w:w="150" w:type="dxa"/>
              <w:right w:w="150" w:type="dxa"/>
            </w:tcMar>
          </w:tcPr>
          <w:p>
            <w:r>
              <w:rPr>
                <w:rFonts w:ascii="Arial" w:hAnsi="Arial"/>
                <w:color w:val="374151"/>
                <w:sz w:val="18"/>
              </w:rPr>
              <w:t>Unit Price</w:t>
            </w:r>
          </w:p>
        </w:tc>
        <w:tc>
          <w:tcPr>
            <w:tcW w:type="dxa" w:w="1872"/>
            <w:shd w:fill="FFFFFF"/>
            <w:tcMar>
              <w:top w:w="90" w:type="dxa"/>
              <w:bottom w:w="90" w:type="dxa"/>
              <w:left w:w="150" w:type="dxa"/>
              <w:right w:w="150" w:type="dxa"/>
            </w:tcMar>
          </w:tcPr>
          <w:p>
            <w:r>
              <w:rPr>
                <w:rFonts w:ascii="Arial" w:hAnsi="Arial"/>
                <w:color w:val="374151"/>
                <w:sz w:val="18"/>
              </w:rPr>
              <w:t>Numeric (Float)</w:t>
            </w:r>
          </w:p>
        </w:tc>
        <w:tc>
          <w:tcPr>
            <w:tcW w:type="dxa" w:w="3312"/>
            <w:shd w:fill="FFFFFF"/>
            <w:tcMar>
              <w:top w:w="90" w:type="dxa"/>
              <w:bottom w:w="90" w:type="dxa"/>
              <w:left w:w="150" w:type="dxa"/>
              <w:right w:w="150" w:type="dxa"/>
            </w:tcMar>
          </w:tcPr>
          <w:p>
            <w:r>
              <w:rPr>
                <w:rFonts w:ascii="Arial" w:hAnsi="Arial"/>
                <w:color w:val="374151"/>
                <w:sz w:val="18"/>
              </w:rPr>
              <w:t>Unit price per product in INR</w:t>
            </w:r>
          </w:p>
        </w:tc>
        <w:tc>
          <w:tcPr>
            <w:tcW w:type="dxa" w:w="2160"/>
            <w:shd w:fill="FFFFFF"/>
            <w:tcMar>
              <w:top w:w="90" w:type="dxa"/>
              <w:bottom w:w="90" w:type="dxa"/>
              <w:left w:w="150" w:type="dxa"/>
              <w:right w:w="150" w:type="dxa"/>
            </w:tcMar>
          </w:tcPr>
          <w:p>
            <w:r>
              <w:rPr>
                <w:rFonts w:ascii="Arial" w:hAnsi="Arial"/>
                <w:color w:val="374151"/>
                <w:sz w:val="18"/>
              </w:rPr>
              <w:t>₹28.61 to ₹250.00</w:t>
            </w:r>
          </w:p>
        </w:tc>
      </w:tr>
      <w:tr>
        <w:tc>
          <w:tcPr>
            <w:tcW w:type="dxa" w:w="2016"/>
            <w:shd w:fill="F9FAFB"/>
            <w:tcMar>
              <w:top w:w="90" w:type="dxa"/>
              <w:bottom w:w="90" w:type="dxa"/>
              <w:left w:w="150" w:type="dxa"/>
              <w:right w:w="150" w:type="dxa"/>
            </w:tcMar>
          </w:tcPr>
          <w:p>
            <w:r>
              <w:rPr>
                <w:rFonts w:ascii="Arial" w:hAnsi="Arial"/>
                <w:color w:val="374151"/>
                <w:sz w:val="18"/>
              </w:rPr>
              <w:t>Payment</w:t>
            </w:r>
          </w:p>
        </w:tc>
        <w:tc>
          <w:tcPr>
            <w:tcW w:type="dxa" w:w="1872"/>
            <w:shd w:fill="F9FAFB"/>
            <w:tcMar>
              <w:top w:w="90" w:type="dxa"/>
              <w:bottom w:w="90" w:type="dxa"/>
              <w:left w:w="150" w:type="dxa"/>
              <w:right w:w="150" w:type="dxa"/>
            </w:tcMar>
          </w:tcPr>
          <w:p>
            <w:r>
              <w:rPr>
                <w:rFonts w:ascii="Arial" w:hAnsi="Arial"/>
                <w:color w:val="374151"/>
                <w:sz w:val="18"/>
              </w:rPr>
              <w:t>Categorical</w:t>
            </w:r>
          </w:p>
        </w:tc>
        <w:tc>
          <w:tcPr>
            <w:tcW w:type="dxa" w:w="3312"/>
            <w:shd w:fill="F9FAFB"/>
            <w:tcMar>
              <w:top w:w="90" w:type="dxa"/>
              <w:bottom w:w="90" w:type="dxa"/>
              <w:left w:w="150" w:type="dxa"/>
              <w:right w:w="150" w:type="dxa"/>
            </w:tcMar>
          </w:tcPr>
          <w:p>
            <w:r>
              <w:rPr>
                <w:rFonts w:ascii="Arial" w:hAnsi="Arial"/>
                <w:color w:val="374151"/>
                <w:sz w:val="18"/>
              </w:rPr>
              <w:t>Payment mechanism used at checkout</w:t>
            </w:r>
          </w:p>
        </w:tc>
        <w:tc>
          <w:tcPr>
            <w:tcW w:type="dxa" w:w="2160"/>
            <w:shd w:fill="F9FAFB"/>
            <w:tcMar>
              <w:top w:w="90" w:type="dxa"/>
              <w:bottom w:w="90" w:type="dxa"/>
              <w:left w:w="150" w:type="dxa"/>
              <w:right w:w="150" w:type="dxa"/>
            </w:tcMar>
          </w:tcPr>
          <w:p>
            <w:r>
              <w:rPr>
                <w:rFonts w:ascii="Arial" w:hAnsi="Arial"/>
                <w:color w:val="374151"/>
                <w:sz w:val="18"/>
              </w:rPr>
              <w:t>UPI, Net Banking, Card, Cash</w:t>
            </w:r>
          </w:p>
        </w:tc>
      </w:tr>
      <w:tr>
        <w:tc>
          <w:tcPr>
            <w:tcW w:type="dxa" w:w="2016"/>
            <w:shd w:fill="FFFFFF"/>
            <w:tcMar>
              <w:top w:w="90" w:type="dxa"/>
              <w:bottom w:w="90" w:type="dxa"/>
              <w:left w:w="150" w:type="dxa"/>
              <w:right w:w="150" w:type="dxa"/>
            </w:tcMar>
          </w:tcPr>
          <w:p>
            <w:r>
              <w:rPr>
                <w:rFonts w:ascii="Arial" w:hAnsi="Arial"/>
                <w:color w:val="374151"/>
                <w:sz w:val="18"/>
              </w:rPr>
              <w:t>Rating</w:t>
            </w:r>
          </w:p>
        </w:tc>
        <w:tc>
          <w:tcPr>
            <w:tcW w:type="dxa" w:w="1872"/>
            <w:shd w:fill="FFFFFF"/>
            <w:tcMar>
              <w:top w:w="90" w:type="dxa"/>
              <w:bottom w:w="90" w:type="dxa"/>
              <w:left w:w="150" w:type="dxa"/>
              <w:right w:w="150" w:type="dxa"/>
            </w:tcMar>
          </w:tcPr>
          <w:p>
            <w:r>
              <w:rPr>
                <w:rFonts w:ascii="Arial" w:hAnsi="Arial"/>
                <w:color w:val="374151"/>
                <w:sz w:val="18"/>
              </w:rPr>
              <w:t>Numeric (Float)</w:t>
            </w:r>
          </w:p>
        </w:tc>
        <w:tc>
          <w:tcPr>
            <w:tcW w:type="dxa" w:w="3312"/>
            <w:shd w:fill="FFFFFF"/>
            <w:tcMar>
              <w:top w:w="90" w:type="dxa"/>
              <w:bottom w:w="90" w:type="dxa"/>
              <w:left w:w="150" w:type="dxa"/>
              <w:right w:w="150" w:type="dxa"/>
            </w:tcMar>
          </w:tcPr>
          <w:p>
            <w:r>
              <w:rPr>
                <w:rFonts w:ascii="Arial" w:hAnsi="Arial"/>
                <w:color w:val="374151"/>
                <w:sz w:val="18"/>
              </w:rPr>
              <w:t>Customer feedback rating (scale: 1.0 to 5.0)</w:t>
            </w:r>
          </w:p>
        </w:tc>
        <w:tc>
          <w:tcPr>
            <w:tcW w:type="dxa" w:w="2160"/>
            <w:shd w:fill="FFFFFF"/>
            <w:tcMar>
              <w:top w:w="90" w:type="dxa"/>
              <w:bottom w:w="90" w:type="dxa"/>
              <w:left w:w="150" w:type="dxa"/>
              <w:right w:w="150" w:type="dxa"/>
            </w:tcMar>
          </w:tcPr>
          <w:p>
            <w:r>
              <w:rPr>
                <w:rFonts w:ascii="Arial" w:hAnsi="Arial"/>
                <w:color w:val="374151"/>
                <w:sz w:val="18"/>
              </w:rPr>
              <w:t>3.0 to 5.0 (Average: 3.99)</w:t>
            </w:r>
          </w:p>
        </w:tc>
      </w:tr>
      <w:tr>
        <w:tc>
          <w:tcPr>
            <w:tcW w:type="dxa" w:w="2016"/>
            <w:shd w:fill="F9FAFB"/>
            <w:tcMar>
              <w:top w:w="90" w:type="dxa"/>
              <w:bottom w:w="90" w:type="dxa"/>
              <w:left w:w="150" w:type="dxa"/>
              <w:right w:w="150" w:type="dxa"/>
            </w:tcMar>
          </w:tcPr>
          <w:p>
            <w:r>
              <w:rPr>
                <w:rFonts w:ascii="Arial" w:hAnsi="Arial"/>
                <w:color w:val="374151"/>
                <w:sz w:val="18"/>
              </w:rPr>
              <w:t>Sales</w:t>
            </w:r>
          </w:p>
        </w:tc>
        <w:tc>
          <w:tcPr>
            <w:tcW w:type="dxa" w:w="1872"/>
            <w:shd w:fill="F9FAFB"/>
            <w:tcMar>
              <w:top w:w="90" w:type="dxa"/>
              <w:bottom w:w="90" w:type="dxa"/>
              <w:left w:w="150" w:type="dxa"/>
              <w:right w:w="150" w:type="dxa"/>
            </w:tcMar>
          </w:tcPr>
          <w:p>
            <w:r>
              <w:rPr>
                <w:rFonts w:ascii="Arial" w:hAnsi="Arial"/>
                <w:color w:val="374151"/>
                <w:sz w:val="18"/>
              </w:rPr>
              <w:t>Numeric (Float)</w:t>
            </w:r>
          </w:p>
        </w:tc>
        <w:tc>
          <w:tcPr>
            <w:tcW w:type="dxa" w:w="3312"/>
            <w:shd w:fill="F9FAFB"/>
            <w:tcMar>
              <w:top w:w="90" w:type="dxa"/>
              <w:bottom w:w="90" w:type="dxa"/>
              <w:left w:w="150" w:type="dxa"/>
              <w:right w:w="150" w:type="dxa"/>
            </w:tcMar>
          </w:tcPr>
          <w:p>
            <w:r>
              <w:rPr>
                <w:rFonts w:ascii="Arial" w:hAnsi="Arial"/>
                <w:color w:val="374151"/>
                <w:sz w:val="18"/>
              </w:rPr>
              <w:t>Total revenue for the transaction (₹)</w:t>
            </w:r>
          </w:p>
        </w:tc>
        <w:tc>
          <w:tcPr>
            <w:tcW w:type="dxa" w:w="2160"/>
            <w:shd w:fill="F9FAFB"/>
            <w:tcMar>
              <w:top w:w="90" w:type="dxa"/>
              <w:bottom w:w="90" w:type="dxa"/>
              <w:left w:w="150" w:type="dxa"/>
              <w:right w:w="150" w:type="dxa"/>
            </w:tcMar>
          </w:tcPr>
          <w:p>
            <w:r>
              <w:rPr>
                <w:rFonts w:ascii="Arial" w:hAnsi="Arial"/>
                <w:color w:val="374151"/>
                <w:sz w:val="18"/>
              </w:rPr>
              <w:t>Quantity × Unit Price</w:t>
            </w:r>
          </w:p>
        </w:tc>
      </w:tr>
    </w:tbl>
    <w:p>
      <w:pPr>
        <w:spacing w:before="80" w:after="240"/>
        <w:jc w:val="center"/>
      </w:pPr>
      <w:r>
        <w:rPr>
          <w:i/>
          <w:color w:val="64748B"/>
          <w:sz w:val="17"/>
        </w:rPr>
        <w:t>Table 1: Supermarket Sales Dataset Schema and Data Dictionary</w:t>
      </w:r>
    </w:p>
    <w:p>
      <w:pPr>
        <w:spacing w:before="320" w:after="120"/>
      </w:pPr>
      <w:r>
        <w:rPr>
          <w:b/>
          <w:color w:val="1B365D"/>
          <w:sz w:val="28"/>
        </w:rPr>
        <w:t>3. Steps Used for Analysis</w:t>
      </w:r>
    </w:p>
    <w:p>
      <w:pPr>
        <w:spacing w:before="0" w:after="120" w:line="276" w:lineRule="auto"/>
      </w:pPr>
      <w:r>
        <w:rPr>
          <w:color w:val="333333"/>
          <w:sz w:val="20"/>
        </w:rPr>
        <w:t>To conduct a systematic and reliable investigation, the analysis followed a six-step analytical workflow:</w:t>
      </w:r>
    </w:p>
    <w:p>
      <w:pPr>
        <w:spacing w:before="40" w:after="60"/>
      </w:pPr>
      <w:r>
        <w:rPr>
          <w:b/>
          <w:sz w:val="19"/>
        </w:rPr>
        <w:t xml:space="preserve">• Step 1: Data Collection &amp; Ingestion: </w:t>
      </w:r>
      <w:r>
        <w:rPr>
          <w:sz w:val="19"/>
        </w:rPr>
        <w:t>Loaded the transactional records from 'SUPER MARKET DATA.xlsx' into a Pandas DataFrame, handling environment-specific paths for both local and cloud-based (Google Colab) execution.</w:t>
      </w:r>
    </w:p>
    <w:p>
      <w:pPr>
        <w:spacing w:before="40" w:after="60"/>
      </w:pPr>
      <w:r>
        <w:rPr>
          <w:b/>
          <w:sz w:val="19"/>
        </w:rPr>
        <w:t xml:space="preserve">• Step 2: Data Audit &amp; Cleansing: </w:t>
      </w:r>
      <w:r>
        <w:rPr>
          <w:sz w:val="19"/>
        </w:rPr>
        <w:t>Inspected the dataset for missing/null values and duplicate rows. Verified that the data is 100% complete with 0 missing values and 0 duplicate rows across all 500 records.</w:t>
      </w:r>
    </w:p>
    <w:p>
      <w:pPr>
        <w:spacing w:before="40" w:after="60"/>
      </w:pPr>
      <w:r>
        <w:rPr>
          <w:b/>
          <w:sz w:val="19"/>
        </w:rPr>
        <w:t xml:space="preserve">• Step 3: Verification &amp; Feature Extraction: </w:t>
      </w:r>
      <w:r>
        <w:rPr>
          <w:sz w:val="19"/>
        </w:rPr>
        <w:t>Programmatically verified the core identity Sales = Quantity × Unit Price across all rows (maximum discrepancy = 0.0000). Parsed transaction dates to datetime objects and extracted Month, Month-Year, and Day attributes.</w:t>
      </w:r>
    </w:p>
    <w:p>
      <w:pPr>
        <w:spacing w:before="40" w:after="60"/>
      </w:pPr>
      <w:r>
        <w:rPr>
          <w:b/>
          <w:sz w:val="19"/>
        </w:rPr>
        <w:t xml:space="preserve">• Step 4: Grouping &amp; Aggregation: </w:t>
      </w:r>
      <w:r>
        <w:rPr>
          <w:sz w:val="19"/>
        </w:rPr>
        <w:t>Grouped and summarized transactional data using totals, counts, and averages to answer specific business questions regarding products, branches, categories, payments, and customer tiers.</w:t>
      </w:r>
    </w:p>
    <w:p>
      <w:pPr>
        <w:spacing w:before="40" w:after="60"/>
      </w:pPr>
      <w:r>
        <w:rPr>
          <w:b/>
          <w:sz w:val="19"/>
        </w:rPr>
        <w:t xml:space="preserve">• Step 5: Visual Exploration &amp; Comparison: </w:t>
      </w:r>
      <w:r>
        <w:rPr>
          <w:sz w:val="19"/>
        </w:rPr>
        <w:t>Generated focused visual charts (bar charts, line plots, and dual-axis subplots) using Matplotlib and Seaborn to clearly depict differences across dimensions.</w:t>
      </w:r>
    </w:p>
    <w:p>
      <w:pPr>
        <w:spacing w:before="40" w:after="60"/>
      </w:pPr>
      <w:r>
        <w:rPr>
          <w:b/>
          <w:sz w:val="19"/>
        </w:rPr>
        <w:t xml:space="preserve">• Step 6: Business Decision Formulation: </w:t>
      </w:r>
      <w:r>
        <w:rPr>
          <w:sz w:val="19"/>
        </w:rPr>
        <w:t>Synthesized the quantitative findings into realistic, actionable operational recommendations for store managers.</w:t>
      </w:r>
    </w:p>
    <w:p>
      <w:pPr>
        <w:spacing w:before="320" w:after="120"/>
      </w:pPr>
      <w:r>
        <w:rPr>
          <w:b/>
          <w:color w:val="1B365D"/>
          <w:sz w:val="28"/>
        </w:rPr>
        <w:t>4. Live Analysis &amp; Core Business Findings</w:t>
      </w:r>
    </w:p>
    <w:p>
      <w:pPr>
        <w:spacing w:before="0" w:after="120" w:line="276" w:lineRule="auto"/>
      </w:pPr>
      <w:r>
        <w:rPr>
          <w:color w:val="333333"/>
          <w:sz w:val="20"/>
        </w:rPr>
        <w:t>The project guidelines formulate six primary business questions. The table below presents the direct findings calculated from the dataset:</w:t>
      </w:r>
    </w:p>
    <w:tbl>
      <w:tblPr>
        <w:tblW w:type="auto" w:w="0"/>
        <w:jc w:val="center"/>
        <w:tblLook w:firstColumn="1" w:firstRow="1" w:lastColumn="0" w:lastRow="0" w:noHBand="0" w:noVBand="1" w:val="04A0"/>
        <w:tblBorders>
          <w:top w:val="single" w:sz="6" w:space="0" w:color="D0D5DD"/>
          <w:bottom w:val="single" w:sz="6" w:space="0" w:color="D0D5DD"/>
          <w:left w:val="none"/>
          <w:right w:val="none"/>
          <w:insideH w:val="single" w:sz="4" w:space="0" w:color="E5E7EB"/>
          <w:insideV w:val="none"/>
        </w:tblBorders>
      </w:tblPr>
      <w:tblGrid>
        <w:gridCol w:w="3120"/>
        <w:gridCol w:w="3120"/>
        <w:gridCol w:w="3120"/>
      </w:tblGrid>
      <w:tr>
        <w:trPr>
          <w:tblHeader/>
        </w:trPr>
        <w:tc>
          <w:tcPr>
            <w:tcW w:type="dxa" w:w="576"/>
            <w:shd w:fill="1B365D"/>
            <w:tcMar>
              <w:top w:w="120" w:type="dxa"/>
              <w:bottom w:w="120" w:type="dxa"/>
              <w:left w:w="150" w:type="dxa"/>
              <w:right w:w="150" w:type="dxa"/>
            </w:tcMar>
          </w:tcPr>
          <w:p>
            <w:pPr>
              <w:jc w:val="left"/>
            </w:pPr>
            <w:r>
              <w:rPr>
                <w:rFonts w:ascii="Arial" w:hAnsi="Arial"/>
                <w:b/>
                <w:color w:val="FFFFFF"/>
                <w:sz w:val="19"/>
              </w:rPr>
              <w:t>#</w:t>
            </w:r>
          </w:p>
        </w:tc>
        <w:tc>
          <w:tcPr>
            <w:tcW w:type="dxa" w:w="3312"/>
            <w:shd w:fill="1B365D"/>
            <w:tcMar>
              <w:top w:w="120" w:type="dxa"/>
              <w:bottom w:w="120" w:type="dxa"/>
              <w:left w:w="150" w:type="dxa"/>
              <w:right w:w="150" w:type="dxa"/>
            </w:tcMar>
          </w:tcPr>
          <w:p>
            <w:pPr>
              <w:jc w:val="left"/>
            </w:pPr>
            <w:r>
              <w:rPr>
                <w:rFonts w:ascii="Arial" w:hAnsi="Arial"/>
                <w:b/>
                <w:color w:val="FFFFFF"/>
                <w:sz w:val="19"/>
              </w:rPr>
              <w:t>Business Question</w:t>
            </w:r>
          </w:p>
        </w:tc>
        <w:tc>
          <w:tcPr>
            <w:tcW w:type="dxa" w:w="5472"/>
            <w:shd w:fill="1B365D"/>
            <w:tcMar>
              <w:top w:w="120" w:type="dxa"/>
              <w:bottom w:w="120" w:type="dxa"/>
              <w:left w:w="150" w:type="dxa"/>
              <w:right w:w="150" w:type="dxa"/>
            </w:tcMar>
          </w:tcPr>
          <w:p>
            <w:pPr>
              <w:jc w:val="left"/>
            </w:pPr>
            <w:r>
              <w:rPr>
                <w:rFonts w:ascii="Arial" w:hAnsi="Arial"/>
                <w:b/>
                <w:color w:val="FFFFFF"/>
                <w:sz w:val="19"/>
              </w:rPr>
              <w:t>Analytical Finding &amp; Exact Metrics</w:t>
            </w:r>
          </w:p>
        </w:tc>
      </w:tr>
      <w:tr>
        <w:tc>
          <w:tcPr>
            <w:tcW w:type="dxa" w:w="576"/>
            <w:shd w:fill="F9FAFB"/>
            <w:tcMar>
              <w:top w:w="90" w:type="dxa"/>
              <w:bottom w:w="90" w:type="dxa"/>
              <w:left w:w="150" w:type="dxa"/>
              <w:right w:w="150" w:type="dxa"/>
            </w:tcMar>
          </w:tcPr>
          <w:p>
            <w:r>
              <w:rPr>
                <w:rFonts w:ascii="Arial" w:hAnsi="Arial"/>
                <w:color w:val="374151"/>
                <w:sz w:val="18"/>
              </w:rPr>
              <w:t>1</w:t>
            </w:r>
          </w:p>
        </w:tc>
        <w:tc>
          <w:tcPr>
            <w:tcW w:type="dxa" w:w="3312"/>
            <w:shd w:fill="F9FAFB"/>
            <w:tcMar>
              <w:top w:w="90" w:type="dxa"/>
              <w:bottom w:w="90" w:type="dxa"/>
              <w:left w:w="150" w:type="dxa"/>
              <w:right w:w="150" w:type="dxa"/>
            </w:tcMar>
          </w:tcPr>
          <w:p>
            <w:r>
              <w:rPr>
                <w:rFonts w:ascii="Arial" w:hAnsi="Arial"/>
                <w:color w:val="374151"/>
                <w:sz w:val="18"/>
              </w:rPr>
              <w:t>Which product generates the highest sales?</w:t>
            </w:r>
          </w:p>
        </w:tc>
        <w:tc>
          <w:tcPr>
            <w:tcW w:type="dxa" w:w="5472"/>
            <w:shd w:fill="F9FAFB"/>
            <w:tcMar>
              <w:top w:w="90" w:type="dxa"/>
              <w:bottom w:w="90" w:type="dxa"/>
              <w:left w:w="150" w:type="dxa"/>
              <w:right w:w="150" w:type="dxa"/>
            </w:tcMar>
          </w:tcPr>
          <w:p>
            <w:r>
              <w:rPr>
                <w:rFonts w:ascii="Arial" w:hAnsi="Arial"/>
                <w:color w:val="374151"/>
                <w:sz w:val="18"/>
              </w:rPr>
              <w:t>Cheese generated the highest sales: ₹27,906.30 (126 units across 26 transactions). Closely followed by Coffee (₹27,694.87) and Shampoo (₹27,497.48).</w:t>
            </w:r>
          </w:p>
        </w:tc>
      </w:tr>
      <w:tr>
        <w:tc>
          <w:tcPr>
            <w:tcW w:type="dxa" w:w="576"/>
            <w:shd w:fill="FFFFFF"/>
            <w:tcMar>
              <w:top w:w="90" w:type="dxa"/>
              <w:bottom w:w="90" w:type="dxa"/>
              <w:left w:w="150" w:type="dxa"/>
              <w:right w:w="150" w:type="dxa"/>
            </w:tcMar>
          </w:tcPr>
          <w:p>
            <w:r>
              <w:rPr>
                <w:rFonts w:ascii="Arial" w:hAnsi="Arial"/>
                <w:color w:val="374151"/>
                <w:sz w:val="18"/>
              </w:rPr>
              <w:t>2</w:t>
            </w:r>
          </w:p>
        </w:tc>
        <w:tc>
          <w:tcPr>
            <w:tcW w:type="dxa" w:w="3312"/>
            <w:shd w:fill="FFFFFF"/>
            <w:tcMar>
              <w:top w:w="90" w:type="dxa"/>
              <w:bottom w:w="90" w:type="dxa"/>
              <w:left w:w="150" w:type="dxa"/>
              <w:right w:w="150" w:type="dxa"/>
            </w:tcMar>
          </w:tcPr>
          <w:p>
            <w:r>
              <w:rPr>
                <w:rFonts w:ascii="Arial" w:hAnsi="Arial"/>
                <w:color w:val="374151"/>
                <w:sz w:val="18"/>
              </w:rPr>
              <w:t>Which branch performs best?</w:t>
            </w:r>
          </w:p>
        </w:tc>
        <w:tc>
          <w:tcPr>
            <w:tcW w:type="dxa" w:w="5472"/>
            <w:shd w:fill="FFFFFF"/>
            <w:tcMar>
              <w:top w:w="90" w:type="dxa"/>
              <w:bottom w:w="90" w:type="dxa"/>
              <w:left w:w="150" w:type="dxa"/>
              <w:right w:w="150" w:type="dxa"/>
            </w:tcMar>
          </w:tcPr>
          <w:p>
            <w:r>
              <w:rPr>
                <w:rFonts w:ascii="Arial" w:hAnsi="Arial"/>
                <w:color w:val="374151"/>
                <w:sz w:val="18"/>
              </w:rPr>
              <w:t>Branch C (Mumbai) performed best with sales of ₹72,469.45 across 143 transactions and an average order value of ₹506.78.</w:t>
            </w:r>
          </w:p>
        </w:tc>
      </w:tr>
      <w:tr>
        <w:tc>
          <w:tcPr>
            <w:tcW w:type="dxa" w:w="576"/>
            <w:shd w:fill="F9FAFB"/>
            <w:tcMar>
              <w:top w:w="90" w:type="dxa"/>
              <w:bottom w:w="90" w:type="dxa"/>
              <w:left w:w="150" w:type="dxa"/>
              <w:right w:w="150" w:type="dxa"/>
            </w:tcMar>
          </w:tcPr>
          <w:p>
            <w:r>
              <w:rPr>
                <w:rFonts w:ascii="Arial" w:hAnsi="Arial"/>
                <w:color w:val="374151"/>
                <w:sz w:val="18"/>
              </w:rPr>
              <w:t>3</w:t>
            </w:r>
          </w:p>
        </w:tc>
        <w:tc>
          <w:tcPr>
            <w:tcW w:type="dxa" w:w="3312"/>
            <w:shd w:fill="F9FAFB"/>
            <w:tcMar>
              <w:top w:w="90" w:type="dxa"/>
              <w:bottom w:w="90" w:type="dxa"/>
              <w:left w:w="150" w:type="dxa"/>
              <w:right w:w="150" w:type="dxa"/>
            </w:tcMar>
          </w:tcPr>
          <w:p>
            <w:r>
              <w:rPr>
                <w:rFonts w:ascii="Arial" w:hAnsi="Arial"/>
                <w:color w:val="374151"/>
                <w:sz w:val="18"/>
              </w:rPr>
              <w:t>Which category sells the most?</w:t>
            </w:r>
          </w:p>
        </w:tc>
        <w:tc>
          <w:tcPr>
            <w:tcW w:type="dxa" w:w="5472"/>
            <w:shd w:fill="F9FAFB"/>
            <w:tcMar>
              <w:top w:w="90" w:type="dxa"/>
              <w:bottom w:w="90" w:type="dxa"/>
              <w:left w:w="150" w:type="dxa"/>
              <w:right w:w="150" w:type="dxa"/>
            </w:tcMar>
          </w:tcPr>
          <w:p>
            <w:r>
              <w:rPr>
                <w:rFonts w:ascii="Arial" w:hAnsi="Arial"/>
                <w:color w:val="374151"/>
                <w:sz w:val="18"/>
              </w:rPr>
              <w:t>Beverages had the highest sales with ₹56,108.24 (465 units sold across 82 transactions), followed by Personal Care (₹45,943.96).</w:t>
            </w:r>
          </w:p>
        </w:tc>
      </w:tr>
      <w:tr>
        <w:tc>
          <w:tcPr>
            <w:tcW w:type="dxa" w:w="576"/>
            <w:shd w:fill="FFFFFF"/>
            <w:tcMar>
              <w:top w:w="90" w:type="dxa"/>
              <w:bottom w:w="90" w:type="dxa"/>
              <w:left w:w="150" w:type="dxa"/>
              <w:right w:w="150" w:type="dxa"/>
            </w:tcMar>
          </w:tcPr>
          <w:p>
            <w:r>
              <w:rPr>
                <w:rFonts w:ascii="Arial" w:hAnsi="Arial"/>
                <w:color w:val="374151"/>
                <w:sz w:val="18"/>
              </w:rPr>
              <w:t>4</w:t>
            </w:r>
          </w:p>
        </w:tc>
        <w:tc>
          <w:tcPr>
            <w:tcW w:type="dxa" w:w="3312"/>
            <w:shd w:fill="FFFFFF"/>
            <w:tcMar>
              <w:top w:w="90" w:type="dxa"/>
              <w:bottom w:w="90" w:type="dxa"/>
              <w:left w:w="150" w:type="dxa"/>
              <w:right w:w="150" w:type="dxa"/>
            </w:tcMar>
          </w:tcPr>
          <w:p>
            <w:r>
              <w:rPr>
                <w:rFonts w:ascii="Arial" w:hAnsi="Arial"/>
                <w:color w:val="374151"/>
                <w:sz w:val="18"/>
              </w:rPr>
              <w:t>What is the most popular payment method?</w:t>
            </w:r>
          </w:p>
        </w:tc>
        <w:tc>
          <w:tcPr>
            <w:tcW w:type="dxa" w:w="5472"/>
            <w:shd w:fill="FFFFFF"/>
            <w:tcMar>
              <w:top w:w="90" w:type="dxa"/>
              <w:bottom w:w="90" w:type="dxa"/>
              <w:left w:w="150" w:type="dxa"/>
              <w:right w:w="150" w:type="dxa"/>
            </w:tcMar>
          </w:tcPr>
          <w:p>
            <w:r>
              <w:rPr>
                <w:rFonts w:ascii="Arial" w:hAnsi="Arial"/>
                <w:color w:val="374151"/>
                <w:sz w:val="18"/>
              </w:rPr>
              <w:t>UPI was the most used payment method with 127 transactions (generating ₹67,910.33), followed by Net Banking (126 transactions).</w:t>
            </w:r>
          </w:p>
        </w:tc>
      </w:tr>
      <w:tr>
        <w:tc>
          <w:tcPr>
            <w:tcW w:type="dxa" w:w="576"/>
            <w:shd w:fill="F9FAFB"/>
            <w:tcMar>
              <w:top w:w="90" w:type="dxa"/>
              <w:bottom w:w="90" w:type="dxa"/>
              <w:left w:w="150" w:type="dxa"/>
              <w:right w:w="150" w:type="dxa"/>
            </w:tcMar>
          </w:tcPr>
          <w:p>
            <w:r>
              <w:rPr>
                <w:rFonts w:ascii="Arial" w:hAnsi="Arial"/>
                <w:color w:val="374151"/>
                <w:sz w:val="18"/>
              </w:rPr>
              <w:t>5</w:t>
            </w:r>
          </w:p>
        </w:tc>
        <w:tc>
          <w:tcPr>
            <w:tcW w:type="dxa" w:w="3312"/>
            <w:shd w:fill="F9FAFB"/>
            <w:tcMar>
              <w:top w:w="90" w:type="dxa"/>
              <w:bottom w:w="90" w:type="dxa"/>
              <w:left w:w="150" w:type="dxa"/>
              <w:right w:w="150" w:type="dxa"/>
            </w:tcMar>
          </w:tcPr>
          <w:p>
            <w:r>
              <w:rPr>
                <w:rFonts w:ascii="Arial" w:hAnsi="Arial"/>
                <w:color w:val="374151"/>
                <w:sz w:val="18"/>
              </w:rPr>
              <w:t>Do Members spend more than Normal customers?</w:t>
            </w:r>
          </w:p>
        </w:tc>
        <w:tc>
          <w:tcPr>
            <w:tcW w:type="dxa" w:w="5472"/>
            <w:shd w:fill="F9FAFB"/>
            <w:tcMar>
              <w:top w:w="90" w:type="dxa"/>
              <w:bottom w:w="90" w:type="dxa"/>
              <w:left w:w="150" w:type="dxa"/>
              <w:right w:w="150" w:type="dxa"/>
            </w:tcMar>
          </w:tcPr>
          <w:p>
            <w:r>
              <w:rPr>
                <w:rFonts w:ascii="Arial" w:hAnsi="Arial"/>
                <w:color w:val="374151"/>
                <w:sz w:val="18"/>
              </w:rPr>
              <w:t>No. The average Member transaction was ₹483.14, while Normal customers averaged ₹497.07. However, Members generated 58.5% of total sales (₹143,009.30) due to higher order volume (296 vs 204).</w:t>
            </w:r>
          </w:p>
        </w:tc>
      </w:tr>
      <w:tr>
        <w:tc>
          <w:tcPr>
            <w:tcW w:type="dxa" w:w="576"/>
            <w:shd w:fill="FFFFFF"/>
            <w:tcMar>
              <w:top w:w="90" w:type="dxa"/>
              <w:bottom w:w="90" w:type="dxa"/>
              <w:left w:w="150" w:type="dxa"/>
              <w:right w:w="150" w:type="dxa"/>
            </w:tcMar>
          </w:tcPr>
          <w:p>
            <w:r>
              <w:rPr>
                <w:rFonts w:ascii="Arial" w:hAnsi="Arial"/>
                <w:color w:val="374151"/>
                <w:sz w:val="18"/>
              </w:rPr>
              <w:t>6</w:t>
            </w:r>
          </w:p>
        </w:tc>
        <w:tc>
          <w:tcPr>
            <w:tcW w:type="dxa" w:w="3312"/>
            <w:shd w:fill="FFFFFF"/>
            <w:tcMar>
              <w:top w:w="90" w:type="dxa"/>
              <w:bottom w:w="90" w:type="dxa"/>
              <w:left w:w="150" w:type="dxa"/>
              <w:right w:w="150" w:type="dxa"/>
            </w:tcMar>
          </w:tcPr>
          <w:p>
            <w:r>
              <w:rPr>
                <w:rFonts w:ascii="Arial" w:hAnsi="Arial"/>
                <w:color w:val="374151"/>
                <w:sz w:val="18"/>
              </w:rPr>
              <w:t>What is the average customer rating?</w:t>
            </w:r>
          </w:p>
        </w:tc>
        <w:tc>
          <w:tcPr>
            <w:tcW w:type="dxa" w:w="5472"/>
            <w:shd w:fill="FFFFFF"/>
            <w:tcMar>
              <w:top w:w="90" w:type="dxa"/>
              <w:bottom w:w="90" w:type="dxa"/>
              <w:left w:w="150" w:type="dxa"/>
              <w:right w:w="150" w:type="dxa"/>
            </w:tcMar>
          </w:tcPr>
          <w:p>
            <w:r>
              <w:rPr>
                <w:rFonts w:ascii="Arial" w:hAnsi="Arial"/>
                <w:color w:val="374151"/>
                <w:sz w:val="18"/>
              </w:rPr>
              <w:t>The average customer rating was 3.99 out of 5.0 across all 500 transactions. Branch D recorded the highest rating (4.09), while Branch A had the lowest (3.84).</w:t>
            </w:r>
          </w:p>
        </w:tc>
      </w:tr>
    </w:tbl>
    <w:p>
      <w:pPr>
        <w:spacing w:before="80" w:after="240"/>
        <w:jc w:val="center"/>
      </w:pPr>
      <w:r>
        <w:rPr>
          <w:i/>
          <w:color w:val="64748B"/>
          <w:sz w:val="17"/>
        </w:rPr>
        <w:t>Table 2: Summary of Core Live Analysis Questions and Answers</w:t>
      </w:r>
    </w:p>
    <w:p>
      <w:pPr>
        <w:spacing w:before="240" w:after="80"/>
      </w:pPr>
      <w:r>
        <w:rPr>
          <w:b/>
          <w:color w:val="2C3E50"/>
          <w:sz w:val="23"/>
        </w:rPr>
        <w:t>4.1 Top Performing Products</w:t>
      </w:r>
    </w:p>
    <w:p>
      <w:pPr>
        <w:spacing w:before="0" w:after="120" w:line="276" w:lineRule="auto"/>
      </w:pPr>
      <w:r>
        <w:rPr>
          <w:color w:val="333333"/>
          <w:sz w:val="20"/>
        </w:rPr>
        <w:t>Analysis of product-level sales shows that high-unit-value items drive store revenues. Cheese, Coffee, and Shampoo form the top revenue tier, each contributing over ₹27,000. Conversely, items like Biscuits (₹3,908.87) and Tomato (₹4,324.79) contributed the lowest revenues despite moderate purchase counts.</w:t>
      </w:r>
    </w:p>
    <w:p>
      <w:pPr>
        <w:spacing w:before="240" w:after="80"/>
      </w:pPr>
      <w:r>
        <w:rPr>
          <w:b/>
          <w:color w:val="2C3E50"/>
          <w:sz w:val="23"/>
        </w:rPr>
        <w:t>4.2 Branch and Regional Performance</w:t>
      </w:r>
    </w:p>
    <w:p>
      <w:pPr>
        <w:spacing w:before="0" w:after="120" w:line="276" w:lineRule="auto"/>
      </w:pPr>
      <w:r>
        <w:rPr>
          <w:color w:val="333333"/>
          <w:sz w:val="20"/>
        </w:rPr>
        <w:t>Performance varies significantly across the four supermarket branches:</w:t>
      </w:r>
    </w:p>
    <w:tbl>
      <w:tblPr>
        <w:tblW w:type="auto" w:w="0"/>
        <w:jc w:val="center"/>
        <w:tblLook w:firstColumn="1" w:firstRow="1" w:lastColumn="0" w:lastRow="0" w:noHBand="0" w:noVBand="1" w:val="04A0"/>
        <w:tblBorders>
          <w:top w:val="single" w:sz="6" w:space="0" w:color="D0D5DD"/>
          <w:bottom w:val="single" w:sz="6" w:space="0" w:color="D0D5DD"/>
          <w:left w:val="none"/>
          <w:right w:val="none"/>
          <w:insideH w:val="single" w:sz="4" w:space="0" w:color="E5E7EB"/>
          <w:insideV w:val="none"/>
        </w:tblBorders>
      </w:tblPr>
      <w:tblGrid>
        <w:gridCol w:w="1560"/>
        <w:gridCol w:w="1560"/>
        <w:gridCol w:w="1560"/>
        <w:gridCol w:w="1560"/>
        <w:gridCol w:w="1560"/>
        <w:gridCol w:w="1560"/>
      </w:tblGrid>
      <w:tr>
        <w:trPr>
          <w:tblHeader/>
        </w:trPr>
        <w:tc>
          <w:tcPr>
            <w:tcW w:type="dxa" w:w="1440"/>
            <w:shd w:fill="1B365D"/>
            <w:tcMar>
              <w:top w:w="120" w:type="dxa"/>
              <w:bottom w:w="120" w:type="dxa"/>
              <w:left w:w="150" w:type="dxa"/>
              <w:right w:w="150" w:type="dxa"/>
            </w:tcMar>
          </w:tcPr>
          <w:p>
            <w:pPr>
              <w:jc w:val="left"/>
            </w:pPr>
            <w:r>
              <w:rPr>
                <w:rFonts w:ascii="Arial" w:hAnsi="Arial"/>
                <w:b/>
                <w:color w:val="FFFFFF"/>
                <w:sz w:val="19"/>
              </w:rPr>
              <w:t>Branch</w:t>
            </w:r>
          </w:p>
        </w:tc>
        <w:tc>
          <w:tcPr>
            <w:tcW w:type="dxa" w:w="1728"/>
            <w:shd w:fill="1B365D"/>
            <w:tcMar>
              <w:top w:w="120" w:type="dxa"/>
              <w:bottom w:w="120" w:type="dxa"/>
              <w:left w:w="150" w:type="dxa"/>
              <w:right w:w="150" w:type="dxa"/>
            </w:tcMar>
          </w:tcPr>
          <w:p>
            <w:pPr>
              <w:jc w:val="left"/>
            </w:pPr>
            <w:r>
              <w:rPr>
                <w:rFonts w:ascii="Arial" w:hAnsi="Arial"/>
                <w:b/>
                <w:color w:val="FFFFFF"/>
                <w:sz w:val="19"/>
              </w:rPr>
              <w:t>City</w:t>
            </w:r>
          </w:p>
        </w:tc>
        <w:tc>
          <w:tcPr>
            <w:tcW w:type="dxa" w:w="1872"/>
            <w:shd w:fill="1B365D"/>
            <w:tcMar>
              <w:top w:w="120" w:type="dxa"/>
              <w:bottom w:w="120" w:type="dxa"/>
              <w:left w:w="150" w:type="dxa"/>
              <w:right w:w="150" w:type="dxa"/>
            </w:tcMar>
          </w:tcPr>
          <w:p>
            <w:pPr>
              <w:jc w:val="left"/>
            </w:pPr>
            <w:r>
              <w:rPr>
                <w:rFonts w:ascii="Arial" w:hAnsi="Arial"/>
                <w:b/>
                <w:color w:val="FFFFFF"/>
                <w:sz w:val="19"/>
              </w:rPr>
              <w:t>Total Sales (₹)</w:t>
            </w:r>
          </w:p>
        </w:tc>
        <w:tc>
          <w:tcPr>
            <w:tcW w:type="dxa" w:w="1152"/>
            <w:shd w:fill="1B365D"/>
            <w:tcMar>
              <w:top w:w="120" w:type="dxa"/>
              <w:bottom w:w="120" w:type="dxa"/>
              <w:left w:w="150" w:type="dxa"/>
              <w:right w:w="150" w:type="dxa"/>
            </w:tcMar>
          </w:tcPr>
          <w:p>
            <w:pPr>
              <w:jc w:val="left"/>
            </w:pPr>
            <w:r>
              <w:rPr>
                <w:rFonts w:ascii="Arial" w:hAnsi="Arial"/>
                <w:b/>
                <w:color w:val="FFFFFF"/>
                <w:sz w:val="19"/>
              </w:rPr>
              <w:t>Orders</w:t>
            </w:r>
          </w:p>
        </w:tc>
        <w:tc>
          <w:tcPr>
            <w:tcW w:type="dxa" w:w="1728"/>
            <w:shd w:fill="1B365D"/>
            <w:tcMar>
              <w:top w:w="120" w:type="dxa"/>
              <w:bottom w:w="120" w:type="dxa"/>
              <w:left w:w="150" w:type="dxa"/>
              <w:right w:w="150" w:type="dxa"/>
            </w:tcMar>
          </w:tcPr>
          <w:p>
            <w:pPr>
              <w:jc w:val="left"/>
            </w:pPr>
            <w:r>
              <w:rPr>
                <w:rFonts w:ascii="Arial" w:hAnsi="Arial"/>
                <w:b/>
                <w:color w:val="FFFFFF"/>
                <w:sz w:val="19"/>
              </w:rPr>
              <w:t>Avg Order Value (₹)</w:t>
            </w:r>
          </w:p>
        </w:tc>
        <w:tc>
          <w:tcPr>
            <w:tcW w:type="dxa" w:w="1440"/>
            <w:shd w:fill="1B365D"/>
            <w:tcMar>
              <w:top w:w="120" w:type="dxa"/>
              <w:bottom w:w="120" w:type="dxa"/>
              <w:left w:w="150" w:type="dxa"/>
              <w:right w:w="150" w:type="dxa"/>
            </w:tcMar>
          </w:tcPr>
          <w:p>
            <w:pPr>
              <w:jc w:val="left"/>
            </w:pPr>
            <w:r>
              <w:rPr>
                <w:rFonts w:ascii="Arial" w:hAnsi="Arial"/>
                <w:b/>
                <w:color w:val="FFFFFF"/>
                <w:sz w:val="19"/>
              </w:rPr>
              <w:t>Avg Rating</w:t>
            </w:r>
          </w:p>
        </w:tc>
      </w:tr>
      <w:tr>
        <w:tc>
          <w:tcPr>
            <w:tcW w:type="dxa" w:w="1440"/>
            <w:shd w:fill="F9FAFB"/>
            <w:tcMar>
              <w:top w:w="90" w:type="dxa"/>
              <w:bottom w:w="90" w:type="dxa"/>
              <w:left w:w="150" w:type="dxa"/>
              <w:right w:w="150" w:type="dxa"/>
            </w:tcMar>
          </w:tcPr>
          <w:p>
            <w:r>
              <w:rPr>
                <w:rFonts w:ascii="Arial" w:hAnsi="Arial"/>
                <w:color w:val="374151"/>
                <w:sz w:val="18"/>
              </w:rPr>
              <w:t>Branch C</w:t>
            </w:r>
          </w:p>
        </w:tc>
        <w:tc>
          <w:tcPr>
            <w:tcW w:type="dxa" w:w="1728"/>
            <w:shd w:fill="F9FAFB"/>
            <w:tcMar>
              <w:top w:w="90" w:type="dxa"/>
              <w:bottom w:w="90" w:type="dxa"/>
              <w:left w:w="150" w:type="dxa"/>
              <w:right w:w="150" w:type="dxa"/>
            </w:tcMar>
          </w:tcPr>
          <w:p>
            <w:r>
              <w:rPr>
                <w:rFonts w:ascii="Arial" w:hAnsi="Arial"/>
                <w:color w:val="374151"/>
                <w:sz w:val="18"/>
              </w:rPr>
              <w:t>Mumbai</w:t>
            </w:r>
          </w:p>
        </w:tc>
        <w:tc>
          <w:tcPr>
            <w:tcW w:type="dxa" w:w="1872"/>
            <w:shd w:fill="F9FAFB"/>
            <w:tcMar>
              <w:top w:w="90" w:type="dxa"/>
              <w:bottom w:w="90" w:type="dxa"/>
              <w:left w:w="150" w:type="dxa"/>
              <w:right w:w="150" w:type="dxa"/>
            </w:tcMar>
          </w:tcPr>
          <w:p>
            <w:r>
              <w:rPr>
                <w:rFonts w:ascii="Arial" w:hAnsi="Arial"/>
                <w:color w:val="374151"/>
                <w:sz w:val="18"/>
              </w:rPr>
              <w:t>₹72,469.45</w:t>
            </w:r>
          </w:p>
        </w:tc>
        <w:tc>
          <w:tcPr>
            <w:tcW w:type="dxa" w:w="1152"/>
            <w:shd w:fill="F9FAFB"/>
            <w:tcMar>
              <w:top w:w="90" w:type="dxa"/>
              <w:bottom w:w="90" w:type="dxa"/>
              <w:left w:w="150" w:type="dxa"/>
              <w:right w:w="150" w:type="dxa"/>
            </w:tcMar>
          </w:tcPr>
          <w:p>
            <w:r>
              <w:rPr>
                <w:rFonts w:ascii="Arial" w:hAnsi="Arial"/>
                <w:color w:val="374151"/>
                <w:sz w:val="18"/>
              </w:rPr>
              <w:t>143</w:t>
            </w:r>
          </w:p>
        </w:tc>
        <w:tc>
          <w:tcPr>
            <w:tcW w:type="dxa" w:w="1728"/>
            <w:shd w:fill="F9FAFB"/>
            <w:tcMar>
              <w:top w:w="90" w:type="dxa"/>
              <w:bottom w:w="90" w:type="dxa"/>
              <w:left w:w="150" w:type="dxa"/>
              <w:right w:w="150" w:type="dxa"/>
            </w:tcMar>
          </w:tcPr>
          <w:p>
            <w:r>
              <w:rPr>
                <w:rFonts w:ascii="Arial" w:hAnsi="Arial"/>
                <w:color w:val="374151"/>
                <w:sz w:val="18"/>
              </w:rPr>
              <w:t>₹506.78</w:t>
            </w:r>
          </w:p>
        </w:tc>
        <w:tc>
          <w:tcPr>
            <w:tcW w:type="dxa" w:w="1440"/>
            <w:shd w:fill="F9FAFB"/>
            <w:tcMar>
              <w:top w:w="90" w:type="dxa"/>
              <w:bottom w:w="90" w:type="dxa"/>
              <w:left w:w="150" w:type="dxa"/>
              <w:right w:w="150" w:type="dxa"/>
            </w:tcMar>
          </w:tcPr>
          <w:p>
            <w:r>
              <w:rPr>
                <w:rFonts w:ascii="Arial" w:hAnsi="Arial"/>
                <w:color w:val="374151"/>
                <w:sz w:val="18"/>
              </w:rPr>
              <w:t>4.05 / 5.0</w:t>
            </w:r>
          </w:p>
        </w:tc>
      </w:tr>
      <w:tr>
        <w:tc>
          <w:tcPr>
            <w:tcW w:type="dxa" w:w="1440"/>
            <w:shd w:fill="FFFFFF"/>
            <w:tcMar>
              <w:top w:w="90" w:type="dxa"/>
              <w:bottom w:w="90" w:type="dxa"/>
              <w:left w:w="150" w:type="dxa"/>
              <w:right w:w="150" w:type="dxa"/>
            </w:tcMar>
          </w:tcPr>
          <w:p>
            <w:r>
              <w:rPr>
                <w:rFonts w:ascii="Arial" w:hAnsi="Arial"/>
                <w:color w:val="374151"/>
                <w:sz w:val="18"/>
              </w:rPr>
              <w:t>Branch B</w:t>
            </w:r>
          </w:p>
        </w:tc>
        <w:tc>
          <w:tcPr>
            <w:tcW w:type="dxa" w:w="1728"/>
            <w:shd w:fill="FFFFFF"/>
            <w:tcMar>
              <w:top w:w="90" w:type="dxa"/>
              <w:bottom w:w="90" w:type="dxa"/>
              <w:left w:w="150" w:type="dxa"/>
              <w:right w:w="150" w:type="dxa"/>
            </w:tcMar>
          </w:tcPr>
          <w:p>
            <w:r>
              <w:rPr>
                <w:rFonts w:ascii="Arial" w:hAnsi="Arial"/>
                <w:color w:val="374151"/>
                <w:sz w:val="18"/>
              </w:rPr>
              <w:t>Delhi</w:t>
            </w:r>
          </w:p>
        </w:tc>
        <w:tc>
          <w:tcPr>
            <w:tcW w:type="dxa" w:w="1872"/>
            <w:shd w:fill="FFFFFF"/>
            <w:tcMar>
              <w:top w:w="90" w:type="dxa"/>
              <w:bottom w:w="90" w:type="dxa"/>
              <w:left w:w="150" w:type="dxa"/>
              <w:right w:w="150" w:type="dxa"/>
            </w:tcMar>
          </w:tcPr>
          <w:p>
            <w:r>
              <w:rPr>
                <w:rFonts w:ascii="Arial" w:hAnsi="Arial"/>
                <w:color w:val="374151"/>
                <w:sz w:val="18"/>
              </w:rPr>
              <w:t>₹64,116.26</w:t>
            </w:r>
          </w:p>
        </w:tc>
        <w:tc>
          <w:tcPr>
            <w:tcW w:type="dxa" w:w="1152"/>
            <w:shd w:fill="FFFFFF"/>
            <w:tcMar>
              <w:top w:w="90" w:type="dxa"/>
              <w:bottom w:w="90" w:type="dxa"/>
              <w:left w:w="150" w:type="dxa"/>
              <w:right w:w="150" w:type="dxa"/>
            </w:tcMar>
          </w:tcPr>
          <w:p>
            <w:r>
              <w:rPr>
                <w:rFonts w:ascii="Arial" w:hAnsi="Arial"/>
                <w:color w:val="374151"/>
                <w:sz w:val="18"/>
              </w:rPr>
              <w:t>133</w:t>
            </w:r>
          </w:p>
        </w:tc>
        <w:tc>
          <w:tcPr>
            <w:tcW w:type="dxa" w:w="1728"/>
            <w:shd w:fill="FFFFFF"/>
            <w:tcMar>
              <w:top w:w="90" w:type="dxa"/>
              <w:bottom w:w="90" w:type="dxa"/>
              <w:left w:w="150" w:type="dxa"/>
              <w:right w:w="150" w:type="dxa"/>
            </w:tcMar>
          </w:tcPr>
          <w:p>
            <w:r>
              <w:rPr>
                <w:rFonts w:ascii="Arial" w:hAnsi="Arial"/>
                <w:color w:val="374151"/>
                <w:sz w:val="18"/>
              </w:rPr>
              <w:t>₹482.08</w:t>
            </w:r>
          </w:p>
        </w:tc>
        <w:tc>
          <w:tcPr>
            <w:tcW w:type="dxa" w:w="1440"/>
            <w:shd w:fill="FFFFFF"/>
            <w:tcMar>
              <w:top w:w="90" w:type="dxa"/>
              <w:bottom w:w="90" w:type="dxa"/>
              <w:left w:w="150" w:type="dxa"/>
              <w:right w:w="150" w:type="dxa"/>
            </w:tcMar>
          </w:tcPr>
          <w:p>
            <w:r>
              <w:rPr>
                <w:rFonts w:ascii="Arial" w:hAnsi="Arial"/>
                <w:color w:val="374151"/>
                <w:sz w:val="18"/>
              </w:rPr>
              <w:t>3.98 / 5.0</w:t>
            </w:r>
          </w:p>
        </w:tc>
      </w:tr>
      <w:tr>
        <w:tc>
          <w:tcPr>
            <w:tcW w:type="dxa" w:w="1440"/>
            <w:shd w:fill="F9FAFB"/>
            <w:tcMar>
              <w:top w:w="90" w:type="dxa"/>
              <w:bottom w:w="90" w:type="dxa"/>
              <w:left w:w="150" w:type="dxa"/>
              <w:right w:w="150" w:type="dxa"/>
            </w:tcMar>
          </w:tcPr>
          <w:p>
            <w:r>
              <w:rPr>
                <w:rFonts w:ascii="Arial" w:hAnsi="Arial"/>
                <w:color w:val="374151"/>
                <w:sz w:val="18"/>
              </w:rPr>
              <w:t>Branch D</w:t>
            </w:r>
          </w:p>
        </w:tc>
        <w:tc>
          <w:tcPr>
            <w:tcW w:type="dxa" w:w="1728"/>
            <w:shd w:fill="F9FAFB"/>
            <w:tcMar>
              <w:top w:w="90" w:type="dxa"/>
              <w:bottom w:w="90" w:type="dxa"/>
              <w:left w:w="150" w:type="dxa"/>
              <w:right w:w="150" w:type="dxa"/>
            </w:tcMar>
          </w:tcPr>
          <w:p>
            <w:r>
              <w:rPr>
                <w:rFonts w:ascii="Arial" w:hAnsi="Arial"/>
                <w:color w:val="374151"/>
                <w:sz w:val="18"/>
              </w:rPr>
              <w:t>Bengaluru</w:t>
            </w:r>
          </w:p>
        </w:tc>
        <w:tc>
          <w:tcPr>
            <w:tcW w:type="dxa" w:w="1872"/>
            <w:shd w:fill="F9FAFB"/>
            <w:tcMar>
              <w:top w:w="90" w:type="dxa"/>
              <w:bottom w:w="90" w:type="dxa"/>
              <w:left w:w="150" w:type="dxa"/>
              <w:right w:w="150" w:type="dxa"/>
            </w:tcMar>
          </w:tcPr>
          <w:p>
            <w:r>
              <w:rPr>
                <w:rFonts w:ascii="Arial" w:hAnsi="Arial"/>
                <w:color w:val="374151"/>
                <w:sz w:val="18"/>
              </w:rPr>
              <w:t>₹55,468.29</w:t>
            </w:r>
          </w:p>
        </w:tc>
        <w:tc>
          <w:tcPr>
            <w:tcW w:type="dxa" w:w="1152"/>
            <w:shd w:fill="F9FAFB"/>
            <w:tcMar>
              <w:top w:w="90" w:type="dxa"/>
              <w:bottom w:w="90" w:type="dxa"/>
              <w:left w:w="150" w:type="dxa"/>
              <w:right w:w="150" w:type="dxa"/>
            </w:tcMar>
          </w:tcPr>
          <w:p>
            <w:r>
              <w:rPr>
                <w:rFonts w:ascii="Arial" w:hAnsi="Arial"/>
                <w:color w:val="374151"/>
                <w:sz w:val="18"/>
              </w:rPr>
              <w:t>119</w:t>
            </w:r>
          </w:p>
        </w:tc>
        <w:tc>
          <w:tcPr>
            <w:tcW w:type="dxa" w:w="1728"/>
            <w:shd w:fill="F9FAFB"/>
            <w:tcMar>
              <w:top w:w="90" w:type="dxa"/>
              <w:bottom w:w="90" w:type="dxa"/>
              <w:left w:w="150" w:type="dxa"/>
              <w:right w:w="150" w:type="dxa"/>
            </w:tcMar>
          </w:tcPr>
          <w:p>
            <w:r>
              <w:rPr>
                <w:rFonts w:ascii="Arial" w:hAnsi="Arial"/>
                <w:color w:val="374151"/>
                <w:sz w:val="18"/>
              </w:rPr>
              <w:t>₹466.12</w:t>
            </w:r>
          </w:p>
        </w:tc>
        <w:tc>
          <w:tcPr>
            <w:tcW w:type="dxa" w:w="1440"/>
            <w:shd w:fill="F9FAFB"/>
            <w:tcMar>
              <w:top w:w="90" w:type="dxa"/>
              <w:bottom w:w="90" w:type="dxa"/>
              <w:left w:w="150" w:type="dxa"/>
              <w:right w:w="150" w:type="dxa"/>
            </w:tcMar>
          </w:tcPr>
          <w:p>
            <w:r>
              <w:rPr>
                <w:rFonts w:ascii="Arial" w:hAnsi="Arial"/>
                <w:color w:val="374151"/>
                <w:sz w:val="18"/>
              </w:rPr>
              <w:t>4.09 / 5.0</w:t>
            </w:r>
          </w:p>
        </w:tc>
      </w:tr>
      <w:tr>
        <w:tc>
          <w:tcPr>
            <w:tcW w:type="dxa" w:w="1440"/>
            <w:shd w:fill="FFFFFF"/>
            <w:tcMar>
              <w:top w:w="90" w:type="dxa"/>
              <w:bottom w:w="90" w:type="dxa"/>
              <w:left w:w="150" w:type="dxa"/>
              <w:right w:w="150" w:type="dxa"/>
            </w:tcMar>
          </w:tcPr>
          <w:p>
            <w:r>
              <w:rPr>
                <w:rFonts w:ascii="Arial" w:hAnsi="Arial"/>
                <w:color w:val="374151"/>
                <w:sz w:val="18"/>
              </w:rPr>
              <w:t>Branch A</w:t>
            </w:r>
          </w:p>
        </w:tc>
        <w:tc>
          <w:tcPr>
            <w:tcW w:type="dxa" w:w="1728"/>
            <w:shd w:fill="FFFFFF"/>
            <w:tcMar>
              <w:top w:w="90" w:type="dxa"/>
              <w:bottom w:w="90" w:type="dxa"/>
              <w:left w:w="150" w:type="dxa"/>
              <w:right w:w="150" w:type="dxa"/>
            </w:tcMar>
          </w:tcPr>
          <w:p>
            <w:r>
              <w:rPr>
                <w:rFonts w:ascii="Arial" w:hAnsi="Arial"/>
                <w:color w:val="374151"/>
                <w:sz w:val="18"/>
              </w:rPr>
              <w:t>Jaipur</w:t>
            </w:r>
          </w:p>
        </w:tc>
        <w:tc>
          <w:tcPr>
            <w:tcW w:type="dxa" w:w="1872"/>
            <w:shd w:fill="FFFFFF"/>
            <w:tcMar>
              <w:top w:w="90" w:type="dxa"/>
              <w:bottom w:w="90" w:type="dxa"/>
              <w:left w:w="150" w:type="dxa"/>
              <w:right w:w="150" w:type="dxa"/>
            </w:tcMar>
          </w:tcPr>
          <w:p>
            <w:r>
              <w:rPr>
                <w:rFonts w:ascii="Arial" w:hAnsi="Arial"/>
                <w:color w:val="374151"/>
                <w:sz w:val="18"/>
              </w:rPr>
              <w:t>₹52,357.08</w:t>
            </w:r>
          </w:p>
        </w:tc>
        <w:tc>
          <w:tcPr>
            <w:tcW w:type="dxa" w:w="1152"/>
            <w:shd w:fill="FFFFFF"/>
            <w:tcMar>
              <w:top w:w="90" w:type="dxa"/>
              <w:bottom w:w="90" w:type="dxa"/>
              <w:left w:w="150" w:type="dxa"/>
              <w:right w:w="150" w:type="dxa"/>
            </w:tcMar>
          </w:tcPr>
          <w:p>
            <w:r>
              <w:rPr>
                <w:rFonts w:ascii="Arial" w:hAnsi="Arial"/>
                <w:color w:val="374151"/>
                <w:sz w:val="18"/>
              </w:rPr>
              <w:t>105</w:t>
            </w:r>
          </w:p>
        </w:tc>
        <w:tc>
          <w:tcPr>
            <w:tcW w:type="dxa" w:w="1728"/>
            <w:shd w:fill="FFFFFF"/>
            <w:tcMar>
              <w:top w:w="90" w:type="dxa"/>
              <w:bottom w:w="90" w:type="dxa"/>
              <w:left w:w="150" w:type="dxa"/>
              <w:right w:w="150" w:type="dxa"/>
            </w:tcMar>
          </w:tcPr>
          <w:p>
            <w:r>
              <w:rPr>
                <w:rFonts w:ascii="Arial" w:hAnsi="Arial"/>
                <w:color w:val="374151"/>
                <w:sz w:val="18"/>
              </w:rPr>
              <w:t>₹498.64</w:t>
            </w:r>
          </w:p>
        </w:tc>
        <w:tc>
          <w:tcPr>
            <w:tcW w:type="dxa" w:w="1440"/>
            <w:shd w:fill="FFFFFF"/>
            <w:tcMar>
              <w:top w:w="90" w:type="dxa"/>
              <w:bottom w:w="90" w:type="dxa"/>
              <w:left w:w="150" w:type="dxa"/>
              <w:right w:w="150" w:type="dxa"/>
            </w:tcMar>
          </w:tcPr>
          <w:p>
            <w:r>
              <w:rPr>
                <w:rFonts w:ascii="Arial" w:hAnsi="Arial"/>
                <w:color w:val="374151"/>
                <w:sz w:val="18"/>
              </w:rPr>
              <w:t>3.84 / 5.0</w:t>
            </w:r>
          </w:p>
        </w:tc>
      </w:tr>
    </w:tbl>
    <w:p>
      <w:pPr>
        <w:spacing w:before="80" w:after="240"/>
        <w:jc w:val="center"/>
      </w:pPr>
      <w:r>
        <w:rPr>
          <w:i/>
          <w:color w:val="64748B"/>
          <w:sz w:val="17"/>
        </w:rPr>
        <w:t>Table 3: Branch Performance Comparison across Key Metrics</w:t>
      </w:r>
    </w:p>
    <w:p>
      <w:pPr>
        <w:spacing w:before="0" w:after="120" w:line="276" w:lineRule="auto"/>
      </w:pPr>
      <w:r>
        <w:rPr>
          <w:color w:val="333333"/>
          <w:sz w:val="20"/>
        </w:rPr>
        <w:t>Branch C in Mumbai clearly leads in both transaction volume (143 orders) and total revenue (₹72,469.45). Branch A in Jaipur has the lowest transaction count (105 orders) and the lowest customer rating (3.84), identifying it as the prime candidate for operational intervention.</w:t>
      </w:r>
    </w:p>
    <w:p>
      <w:pPr>
        <w:spacing w:before="240" w:after="80"/>
      </w:pPr>
      <w:r>
        <w:rPr>
          <w:b/>
          <w:color w:val="2C3E50"/>
          <w:sz w:val="23"/>
        </w:rPr>
        <w:t>4.3 Customer Type Dynamics (Member vs. Normal)</w:t>
      </w:r>
    </w:p>
    <w:p>
      <w:pPr>
        <w:spacing w:before="0" w:after="120" w:line="276" w:lineRule="auto"/>
      </w:pPr>
      <w:r>
        <w:rPr>
          <w:color w:val="333333"/>
          <w:sz w:val="20"/>
        </w:rPr>
        <w:t>A common business hypothesis is that loyalty program members spend more per purchase. The analysis reveals an important nuance:</w:t>
      </w:r>
    </w:p>
    <w:p>
      <w:pPr>
        <w:spacing w:before="0" w:after="120" w:line="276" w:lineRule="auto"/>
      </w:pPr>
      <w:r>
        <w:rPr>
          <w:color w:val="333333"/>
          <w:sz w:val="20"/>
        </w:rPr>
        <w:t>• Normal Customers spend an average of ₹497.07 per transaction across 204 transactions, totaling ₹101,401.78.</w:t>
      </w:r>
    </w:p>
    <w:p>
      <w:pPr>
        <w:spacing w:before="0" w:after="120" w:line="276" w:lineRule="auto"/>
      </w:pPr>
      <w:r>
        <w:rPr>
          <w:color w:val="333333"/>
          <w:sz w:val="20"/>
        </w:rPr>
        <w:t>• Members spend an average of ₹483.14 per transaction across 296 transactions, totaling ₹143,009.30.</w:t>
      </w:r>
    </w:p>
    <w:p>
      <w:pPr>
        <w:spacing w:before="0" w:after="120" w:line="276" w:lineRule="auto"/>
      </w:pPr>
      <w:r>
        <w:rPr>
          <w:color w:val="333333"/>
          <w:sz w:val="20"/>
        </w:rPr>
        <w:t>While Normal customers spend slightly more per individual basket (+₹13.93), Members visit with 45% greater frequency and contribute 58.5% of overall store revenue. The primary commercial value of the membership program is purchase frequency and customer retention rather than basket size expansion.</w:t>
      </w:r>
    </w:p>
    <w:p>
      <w:pPr>
        <w:spacing w:before="240" w:after="80"/>
      </w:pPr>
      <w:r>
        <w:rPr>
          <w:b/>
          <w:color w:val="2C3E50"/>
          <w:sz w:val="23"/>
        </w:rPr>
        <w:t>4.4 Payment Preferences</w:t>
      </w:r>
    </w:p>
    <w:p>
      <w:pPr>
        <w:spacing w:before="0" w:after="120" w:line="276" w:lineRule="auto"/>
      </w:pPr>
      <w:r>
        <w:rPr>
          <w:color w:val="333333"/>
          <w:sz w:val="20"/>
        </w:rPr>
        <w:t>Payment distribution is balanced across all four available methods, with digital methods leading:</w:t>
      </w:r>
    </w:p>
    <w:p>
      <w:pPr>
        <w:spacing w:before="0" w:after="120" w:line="276" w:lineRule="auto"/>
      </w:pPr>
      <w:r>
        <w:rPr>
          <w:color w:val="333333"/>
          <w:sz w:val="20"/>
        </w:rPr>
        <w:t>• UPI: 127 orders (₹67,910.33) — Highest transaction volume and highest average spend (₹534.73).</w:t>
      </w:r>
    </w:p>
    <w:p>
      <w:pPr>
        <w:spacing w:before="0" w:after="120" w:line="276" w:lineRule="auto"/>
      </w:pPr>
      <w:r>
        <w:rPr>
          <w:color w:val="333333"/>
          <w:sz w:val="20"/>
        </w:rPr>
        <w:t>• Net Banking: 126 orders (₹65,194.93) — Second most frequent (Avg spend: ₹517.42).</w:t>
      </w:r>
    </w:p>
    <w:p>
      <w:pPr>
        <w:spacing w:before="0" w:after="120" w:line="276" w:lineRule="auto"/>
      </w:pPr>
      <w:r>
        <w:rPr>
          <w:color w:val="333333"/>
          <w:sz w:val="20"/>
        </w:rPr>
        <w:t>• Card Payments: 125 orders (₹57,265.64) — Consistent usage (Avg spend: ₹458.13).</w:t>
      </w:r>
    </w:p>
    <w:p>
      <w:pPr>
        <w:spacing w:before="0" w:after="120" w:line="276" w:lineRule="auto"/>
      </w:pPr>
      <w:r>
        <w:rPr>
          <w:color w:val="333333"/>
          <w:sz w:val="20"/>
        </w:rPr>
        <w:t>• Cash: 122 orders (₹54,040.18) — Lowest volume and lowest average spend (₹442.95).</w:t>
      </w:r>
    </w:p>
    <w:p>
      <w:pPr>
        <w:spacing w:before="0" w:after="120" w:line="276" w:lineRule="auto"/>
      </w:pPr>
      <w:r>
        <w:rPr>
          <w:color w:val="333333"/>
          <w:sz w:val="20"/>
        </w:rPr>
        <w:t>Digital transactions (UPI + Net Banking + Card) account for 75.6% of transactions and 77.9% of total revenue.</w:t>
      </w:r>
    </w:p>
    <w:p>
      <w:pPr>
        <w:spacing w:before="320" w:after="120"/>
      </w:pPr>
      <w:r>
        <w:rPr>
          <w:b/>
          <w:color w:val="1B365D"/>
          <w:sz w:val="28"/>
        </w:rPr>
        <w:t>5. Data Visualizations &amp; Graphical Insights</w:t>
      </w:r>
    </w:p>
    <w:p>
      <w:pPr>
        <w:spacing w:before="0" w:after="120" w:line="276" w:lineRule="auto"/>
      </w:pPr>
      <w:r>
        <w:rPr>
          <w:color w:val="333333"/>
          <w:sz w:val="20"/>
        </w:rPr>
        <w:t>To substantiate the findings, high-resolution visual charts were generated. Each chart provides an intuitive perspective on store operations:</w:t>
      </w:r>
    </w:p>
    <w:p>
      <w:pPr>
        <w:spacing w:before="160" w:after="40"/>
        <w:jc w:val="center"/>
      </w:pPr>
      <w:r>
        <w:drawing>
          <wp:inline xmlns:a="http://schemas.openxmlformats.org/drawingml/2006/main" xmlns:pic="http://schemas.openxmlformats.org/drawingml/2006/picture">
            <wp:extent cx="4937760" cy="2743200"/>
            <wp:docPr id="1" name="Picture 1"/>
            <wp:cNvGraphicFramePr>
              <a:graphicFrameLocks noChangeAspect="1"/>
            </wp:cNvGraphicFramePr>
            <a:graphic>
              <a:graphicData uri="http://schemas.openxmlformats.org/drawingml/2006/picture">
                <pic:pic>
                  <pic:nvPicPr>
                    <pic:cNvPr id="0" name="top_products_sales.png"/>
                    <pic:cNvPicPr/>
                  </pic:nvPicPr>
                  <pic:blipFill>
                    <a:blip r:embed="rId9"/>
                    <a:stretch>
                      <a:fillRect/>
                    </a:stretch>
                  </pic:blipFill>
                  <pic:spPr>
                    <a:xfrm>
                      <a:off x="0" y="0"/>
                      <a:ext cx="4937760" cy="2743200"/>
                    </a:xfrm>
                    <a:prstGeom prst="rect"/>
                  </pic:spPr>
                </pic:pic>
              </a:graphicData>
            </a:graphic>
          </wp:inline>
        </w:drawing>
      </w:r>
    </w:p>
    <w:p>
      <w:pPr>
        <w:spacing w:before="80" w:after="240"/>
        <w:jc w:val="center"/>
      </w:pPr>
      <w:r>
        <w:rPr>
          <w:i/>
          <w:color w:val="64748B"/>
          <w:sz w:val="17"/>
        </w:rPr>
        <w:t>Figure 1: Top 10 Products by Sales Revenue (INR)</w:t>
      </w:r>
    </w:p>
    <w:p>
      <w:pPr>
        <w:spacing w:before="0" w:after="160"/>
      </w:pPr>
      <w:r>
        <w:rPr>
          <w:color w:val="4B5563"/>
          <w:sz w:val="18"/>
        </w:rPr>
        <w:t>Observation: Cheese, Coffee, and Shampoo generate the highest total revenues, each exceeding ₹27,000.</w:t>
      </w:r>
    </w:p>
    <w:p>
      <w:pPr>
        <w:spacing w:before="160" w:after="40"/>
        <w:jc w:val="center"/>
      </w:pPr>
      <w:r>
        <w:drawing>
          <wp:inline xmlns:a="http://schemas.openxmlformats.org/drawingml/2006/main" xmlns:pic="http://schemas.openxmlformats.org/drawingml/2006/picture">
            <wp:extent cx="4937760" cy="2962656"/>
            <wp:docPr id="2" name="Picture 2"/>
            <wp:cNvGraphicFramePr>
              <a:graphicFrameLocks noChangeAspect="1"/>
            </wp:cNvGraphicFramePr>
            <a:graphic>
              <a:graphicData uri="http://schemas.openxmlformats.org/drawingml/2006/picture">
                <pic:pic>
                  <pic:nvPicPr>
                    <pic:cNvPr id="0" name="sales_by_branch.png"/>
                    <pic:cNvPicPr/>
                  </pic:nvPicPr>
                  <pic:blipFill>
                    <a:blip r:embed="rId10"/>
                    <a:stretch>
                      <a:fillRect/>
                    </a:stretch>
                  </pic:blipFill>
                  <pic:spPr>
                    <a:xfrm>
                      <a:off x="0" y="0"/>
                      <a:ext cx="4937760" cy="2962656"/>
                    </a:xfrm>
                    <a:prstGeom prst="rect"/>
                  </pic:spPr>
                </pic:pic>
              </a:graphicData>
            </a:graphic>
          </wp:inline>
        </w:drawing>
      </w:r>
    </w:p>
    <w:p>
      <w:pPr>
        <w:spacing w:before="80" w:after="240"/>
        <w:jc w:val="center"/>
      </w:pPr>
      <w:r>
        <w:rPr>
          <w:i/>
          <w:color w:val="64748B"/>
          <w:sz w:val="17"/>
        </w:rPr>
        <w:t>Figure 2: Total Sales across Supermarket Branches</w:t>
      </w:r>
    </w:p>
    <w:p>
      <w:pPr>
        <w:spacing w:before="0" w:after="160"/>
      </w:pPr>
      <w:r>
        <w:rPr>
          <w:color w:val="4B5563"/>
          <w:sz w:val="18"/>
        </w:rPr>
        <w:t>Observation: Branch C (Mumbai) generates the highest sales (₹72,469), followed by Delhi, Bengaluru, and Jaipur.</w:t>
      </w:r>
    </w:p>
    <w:p>
      <w:pPr>
        <w:spacing w:before="160" w:after="40"/>
        <w:jc w:val="center"/>
      </w:pPr>
      <w:r>
        <w:drawing>
          <wp:inline xmlns:a="http://schemas.openxmlformats.org/drawingml/2006/main" xmlns:pic="http://schemas.openxmlformats.org/drawingml/2006/picture">
            <wp:extent cx="4937760" cy="2633472"/>
            <wp:docPr id="3" name="Picture 3"/>
            <wp:cNvGraphicFramePr>
              <a:graphicFrameLocks noChangeAspect="1"/>
            </wp:cNvGraphicFramePr>
            <a:graphic>
              <a:graphicData uri="http://schemas.openxmlformats.org/drawingml/2006/picture">
                <pic:pic>
                  <pic:nvPicPr>
                    <pic:cNvPr id="0" name="sales_by_category.png"/>
                    <pic:cNvPicPr/>
                  </pic:nvPicPr>
                  <pic:blipFill>
                    <a:blip r:embed="rId11"/>
                    <a:stretch>
                      <a:fillRect/>
                    </a:stretch>
                  </pic:blipFill>
                  <pic:spPr>
                    <a:xfrm>
                      <a:off x="0" y="0"/>
                      <a:ext cx="4937760" cy="2633472"/>
                    </a:xfrm>
                    <a:prstGeom prst="rect"/>
                  </pic:spPr>
                </pic:pic>
              </a:graphicData>
            </a:graphic>
          </wp:inline>
        </w:drawing>
      </w:r>
    </w:p>
    <w:p>
      <w:pPr>
        <w:spacing w:before="80" w:after="240"/>
        <w:jc w:val="center"/>
      </w:pPr>
      <w:r>
        <w:rPr>
          <w:i/>
          <w:color w:val="64748B"/>
          <w:sz w:val="17"/>
        </w:rPr>
        <w:t>Figure 3: Sales Revenue by Product Category</w:t>
      </w:r>
    </w:p>
    <w:p>
      <w:pPr>
        <w:spacing w:before="0" w:after="160"/>
      </w:pPr>
      <w:r>
        <w:rPr>
          <w:color w:val="4B5563"/>
          <w:sz w:val="18"/>
        </w:rPr>
        <w:t>Observation: Beverages, Personal Care, Dairy, and Grocery generate over 76% of total supermarket turnover.</w:t>
      </w:r>
    </w:p>
    <w:p>
      <w:pPr>
        <w:spacing w:before="160" w:after="40"/>
        <w:jc w:val="center"/>
      </w:pPr>
      <w:r>
        <w:drawing>
          <wp:inline xmlns:a="http://schemas.openxmlformats.org/drawingml/2006/main" xmlns:pic="http://schemas.openxmlformats.org/drawingml/2006/picture">
            <wp:extent cx="4937760" cy="3174274"/>
            <wp:docPr id="4" name="Picture 4"/>
            <wp:cNvGraphicFramePr>
              <a:graphicFrameLocks noChangeAspect="1"/>
            </wp:cNvGraphicFramePr>
            <a:graphic>
              <a:graphicData uri="http://schemas.openxmlformats.org/drawingml/2006/picture">
                <pic:pic>
                  <pic:nvPicPr>
                    <pic:cNvPr id="0" name="payment_methods.png"/>
                    <pic:cNvPicPr/>
                  </pic:nvPicPr>
                  <pic:blipFill>
                    <a:blip r:embed="rId12"/>
                    <a:stretch>
                      <a:fillRect/>
                    </a:stretch>
                  </pic:blipFill>
                  <pic:spPr>
                    <a:xfrm>
                      <a:off x="0" y="0"/>
                      <a:ext cx="4937760" cy="3174274"/>
                    </a:xfrm>
                    <a:prstGeom prst="rect"/>
                  </pic:spPr>
                </pic:pic>
              </a:graphicData>
            </a:graphic>
          </wp:inline>
        </w:drawing>
      </w:r>
    </w:p>
    <w:p>
      <w:pPr>
        <w:spacing w:before="80" w:after="240"/>
        <w:jc w:val="center"/>
      </w:pPr>
      <w:r>
        <w:rPr>
          <w:i/>
          <w:color w:val="64748B"/>
          <w:sz w:val="17"/>
        </w:rPr>
        <w:t>Figure 4: Transaction Count by Payment Method</w:t>
      </w:r>
    </w:p>
    <w:p>
      <w:pPr>
        <w:spacing w:before="0" w:after="160"/>
      </w:pPr>
      <w:r>
        <w:rPr>
          <w:color w:val="4B5563"/>
          <w:sz w:val="18"/>
        </w:rPr>
        <w:t>Observation: UPI leads with 127 orders, but payment adoption is well-distributed across modern channels.</w:t>
      </w:r>
    </w:p>
    <w:p>
      <w:pPr>
        <w:spacing w:before="160" w:after="40"/>
        <w:jc w:val="center"/>
      </w:pPr>
      <w:r>
        <w:drawing>
          <wp:inline xmlns:a="http://schemas.openxmlformats.org/drawingml/2006/main" xmlns:pic="http://schemas.openxmlformats.org/drawingml/2006/picture">
            <wp:extent cx="4937760" cy="2221992"/>
            <wp:docPr id="5" name="Picture 5"/>
            <wp:cNvGraphicFramePr>
              <a:graphicFrameLocks noChangeAspect="1"/>
            </wp:cNvGraphicFramePr>
            <a:graphic>
              <a:graphicData uri="http://schemas.openxmlformats.org/drawingml/2006/picture">
                <pic:pic>
                  <pic:nvPicPr>
                    <pic:cNvPr id="0" name="customer_type_comparison.png"/>
                    <pic:cNvPicPr/>
                  </pic:nvPicPr>
                  <pic:blipFill>
                    <a:blip r:embed="rId13"/>
                    <a:stretch>
                      <a:fillRect/>
                    </a:stretch>
                  </pic:blipFill>
                  <pic:spPr>
                    <a:xfrm>
                      <a:off x="0" y="0"/>
                      <a:ext cx="4937760" cy="2221992"/>
                    </a:xfrm>
                    <a:prstGeom prst="rect"/>
                  </pic:spPr>
                </pic:pic>
              </a:graphicData>
            </a:graphic>
          </wp:inline>
        </w:drawing>
      </w:r>
    </w:p>
    <w:p>
      <w:pPr>
        <w:spacing w:before="80" w:after="240"/>
        <w:jc w:val="center"/>
      </w:pPr>
      <w:r>
        <w:rPr>
          <w:i/>
          <w:color w:val="64748B"/>
          <w:sz w:val="17"/>
        </w:rPr>
        <w:t>Figure 5: Customer Type Comparison: Average Spend vs. Total Revenue</w:t>
      </w:r>
    </w:p>
    <w:p>
      <w:pPr>
        <w:spacing w:before="0" w:after="160"/>
      </w:pPr>
      <w:r>
        <w:rPr>
          <w:color w:val="4B5563"/>
          <w:sz w:val="18"/>
        </w:rPr>
        <w:t>Observation: Normal customers maintain a slightly higher basket size, but Members drive 58.5% of total sales revenue.</w:t>
      </w:r>
    </w:p>
    <w:p>
      <w:pPr>
        <w:spacing w:before="160" w:after="40"/>
        <w:jc w:val="center"/>
      </w:pPr>
      <w:r>
        <w:drawing>
          <wp:inline xmlns:a="http://schemas.openxmlformats.org/drawingml/2006/main" xmlns:pic="http://schemas.openxmlformats.org/drawingml/2006/picture">
            <wp:extent cx="4937760" cy="2468880"/>
            <wp:docPr id="6" name="Picture 6"/>
            <wp:cNvGraphicFramePr>
              <a:graphicFrameLocks noChangeAspect="1"/>
            </wp:cNvGraphicFramePr>
            <a:graphic>
              <a:graphicData uri="http://schemas.openxmlformats.org/drawingml/2006/picture">
                <pic:pic>
                  <pic:nvPicPr>
                    <pic:cNvPr id="0" name="monthly_sales_trend.png"/>
                    <pic:cNvPicPr/>
                  </pic:nvPicPr>
                  <pic:blipFill>
                    <a:blip r:embed="rId14"/>
                    <a:stretch>
                      <a:fillRect/>
                    </a:stretch>
                  </pic:blipFill>
                  <pic:spPr>
                    <a:xfrm>
                      <a:off x="0" y="0"/>
                      <a:ext cx="4937760" cy="2468880"/>
                    </a:xfrm>
                    <a:prstGeom prst="rect"/>
                  </pic:spPr>
                </pic:pic>
              </a:graphicData>
            </a:graphic>
          </wp:inline>
        </w:drawing>
      </w:r>
    </w:p>
    <w:p>
      <w:pPr>
        <w:spacing w:before="80" w:after="240"/>
        <w:jc w:val="center"/>
      </w:pPr>
      <w:r>
        <w:rPr>
          <w:i/>
          <w:color w:val="64748B"/>
          <w:sz w:val="17"/>
        </w:rPr>
        <w:t>Figure 6: Monthly Sales Trend (Jan 2026 - Jul 2026)</w:t>
      </w:r>
    </w:p>
    <w:p>
      <w:pPr>
        <w:spacing w:before="0" w:after="160"/>
      </w:pPr>
      <w:r>
        <w:rPr>
          <w:color w:val="4B5563"/>
          <w:sz w:val="18"/>
        </w:rPr>
        <w:t>Observation: Sales peaked in April 2026 (₹52,570), with February representing the lowest full calendar month.</w:t>
      </w:r>
    </w:p>
    <w:p>
      <w:pPr>
        <w:spacing w:before="160" w:after="40"/>
        <w:jc w:val="center"/>
      </w:pPr>
      <w:r>
        <w:drawing>
          <wp:inline xmlns:a="http://schemas.openxmlformats.org/drawingml/2006/main" xmlns:pic="http://schemas.openxmlformats.org/drawingml/2006/picture">
            <wp:extent cx="4937760" cy="3174274"/>
            <wp:docPr id="7" name="Picture 7"/>
            <wp:cNvGraphicFramePr>
              <a:graphicFrameLocks noChangeAspect="1"/>
            </wp:cNvGraphicFramePr>
            <a:graphic>
              <a:graphicData uri="http://schemas.openxmlformats.org/drawingml/2006/picture">
                <pic:pic>
                  <pic:nvPicPr>
                    <pic:cNvPr id="0" name="rating_by_branch.png"/>
                    <pic:cNvPicPr/>
                  </pic:nvPicPr>
                  <pic:blipFill>
                    <a:blip r:embed="rId15"/>
                    <a:stretch>
                      <a:fillRect/>
                    </a:stretch>
                  </pic:blipFill>
                  <pic:spPr>
                    <a:xfrm>
                      <a:off x="0" y="0"/>
                      <a:ext cx="4937760" cy="3174274"/>
                    </a:xfrm>
                    <a:prstGeom prst="rect"/>
                  </pic:spPr>
                </pic:pic>
              </a:graphicData>
            </a:graphic>
          </wp:inline>
        </w:drawing>
      </w:r>
    </w:p>
    <w:p>
      <w:pPr>
        <w:spacing w:before="80" w:after="240"/>
        <w:jc w:val="center"/>
      </w:pPr>
      <w:r>
        <w:rPr>
          <w:i/>
          <w:color w:val="64748B"/>
          <w:sz w:val="17"/>
        </w:rPr>
        <w:t>Figure 7: Average Customer Rating by Branch (out of 5.0)</w:t>
      </w:r>
    </w:p>
    <w:p>
      <w:pPr>
        <w:spacing w:before="0" w:after="160"/>
      </w:pPr>
      <w:r>
        <w:rPr>
          <w:color w:val="4B5563"/>
          <w:sz w:val="18"/>
        </w:rPr>
        <w:t>Observation: Branch D (Bengaluru) leads customer satisfaction at 4.09, while Branch A (Jaipur) trails at 3.84.</w:t>
      </w:r>
    </w:p>
    <w:p>
      <w:pPr>
        <w:spacing w:before="320" w:after="120"/>
      </w:pPr>
      <w:r>
        <w:rPr>
          <w:b/>
          <w:color w:val="1B365D"/>
          <w:sz w:val="28"/>
        </w:rPr>
        <w:t>6. Business Decisions &amp; Actionable Recommendations</w:t>
      </w:r>
    </w:p>
    <w:p>
      <w:pPr>
        <w:spacing w:before="0" w:after="120" w:line="276" w:lineRule="auto"/>
      </w:pPr>
      <w:r>
        <w:rPr>
          <w:color w:val="333333"/>
          <w:sz w:val="20"/>
        </w:rPr>
        <w:t>Based on the rigorous empirical findings, supermarket management should implement the following targeted initiatives:</w:t>
      </w:r>
    </w:p>
    <w:p>
      <w:pPr>
        <w:spacing w:before="80" w:after="80"/>
      </w:pPr>
      <w:r>
        <w:rPr>
          <w:b/>
          <w:sz w:val="19"/>
        </w:rPr>
        <w:t xml:space="preserve">1. Inventory &amp; Supply Chain Prioritization: </w:t>
      </w:r>
      <w:r>
        <w:rPr>
          <w:sz w:val="19"/>
        </w:rPr>
        <w:t>Maintain safety stock and automated reorder triggers for Cheese, Coffee, and Shampoo to prevent stockouts. Ensure strong supplier relationships for the Beverages and Personal Care categories, which together account for over ₹102,000 in revenue.</w:t>
      </w:r>
    </w:p>
    <w:p>
      <w:pPr>
        <w:spacing w:before="80" w:after="80"/>
      </w:pPr>
      <w:r>
        <w:rPr>
          <w:b/>
          <w:sz w:val="19"/>
        </w:rPr>
        <w:t xml:space="preserve">2. Branch C Operational Benchmarking: </w:t>
      </w:r>
      <w:r>
        <w:rPr>
          <w:sz w:val="19"/>
        </w:rPr>
        <w:t>Conduct an operational audit of Branch C (Mumbai) to identify best practices in shelf merchandising, promotional bundles, and staffing that can be transferred to Branch A (Jaipur) to elevate its order volume from 105 to parity with other stores.</w:t>
      </w:r>
    </w:p>
    <w:p>
      <w:pPr>
        <w:spacing w:before="80" w:after="80"/>
      </w:pPr>
      <w:r>
        <w:rPr>
          <w:b/>
          <w:sz w:val="19"/>
        </w:rPr>
        <w:t xml:space="preserve">3. Digital Payment Checkout Acceleration: </w:t>
      </w:r>
      <w:r>
        <w:rPr>
          <w:sz w:val="19"/>
        </w:rPr>
        <w:t>Given that UPI and Net Banking customers generate the highest average spend (₹534 and ₹517), install dedicated express QR scanners and UPI tap-and-pay terminals at all billing points to accelerate cashier throughput.</w:t>
      </w:r>
    </w:p>
    <w:p>
      <w:pPr>
        <w:spacing w:before="80" w:after="80"/>
      </w:pPr>
      <w:r>
        <w:rPr>
          <w:b/>
          <w:sz w:val="19"/>
        </w:rPr>
        <w:t xml:space="preserve">4. Loyalty Program Basket-Size Incentives: </w:t>
      </w:r>
      <w:r>
        <w:rPr>
          <w:sz w:val="19"/>
        </w:rPr>
        <w:t>Members visit frequently but have a slightly lower average basket value (₹483.14 vs ₹497.07). Launch minimum-spend tier promotions (e.g., 'Spend ₹600 or more to receive 10% bonus points or free delivery') to raise Member basket sizes.</w:t>
      </w:r>
    </w:p>
    <w:p>
      <w:pPr>
        <w:spacing w:before="80" w:after="80"/>
      </w:pPr>
      <w:r>
        <w:rPr>
          <w:b/>
          <w:sz w:val="19"/>
        </w:rPr>
        <w:t xml:space="preserve">5. Customer Experience Revamp at Branch A: </w:t>
      </w:r>
      <w:r>
        <w:rPr>
          <w:sz w:val="19"/>
        </w:rPr>
        <w:t>Branch A has the lowest rating in the supermarket network (3.84 vs 4.09 at Branch D). Institute staff customer-service training, audit checkout wait times, and introduce on-the-spot feedback kiosks to raise satisfaction.</w:t>
      </w:r>
    </w:p>
    <w:p>
      <w:pPr>
        <w:spacing w:before="320" w:after="120"/>
      </w:pPr>
      <w:r>
        <w:rPr>
          <w:b/>
          <w:color w:val="1B365D"/>
          <w:sz w:val="28"/>
        </w:rPr>
        <w:t>7. Conclusion</w:t>
      </w:r>
    </w:p>
    <w:p>
      <w:pPr>
        <w:spacing w:before="0" w:after="120" w:line="276" w:lineRule="auto"/>
      </w:pPr>
      <w:r>
        <w:rPr>
          <w:color w:val="333333"/>
          <w:sz w:val="20"/>
        </w:rPr>
        <w:t>This capstone project delivered a comprehensive, end-to-end data analytics study on 500 supermarket sales records. By combining automated data validation, rigorous exploratory grouping, visual analytics, and strategic business interpretation, the project demonstrates how data analytics converts raw transactional logs into practical retail intelligence.</w:t>
      </w:r>
    </w:p>
    <w:p>
      <w:pPr>
        <w:spacing w:before="0" w:after="120" w:line="276" w:lineRule="auto"/>
      </w:pPr>
      <w:r>
        <w:rPr>
          <w:color w:val="333333"/>
          <w:sz w:val="20"/>
        </w:rPr>
        <w:t>The analysis definitively resolved all six core business questions, provided clear performance comparisons across regional branches, and outlined an operational roadmap to optimize inventory, elevate branch performance, and maximize customer loyalty.</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1B365D"/>
              <w:top w:val="none"/>
              <w:right w:val="none"/>
              <w:bottom w:val="none"/>
            </w:tcBorders>
          </w:tcPr>
          <w:p>
            <w:pPr>
              <w:spacing w:before="0" w:after="0"/>
            </w:pPr>
            <w:r>
              <w:rPr>
                <w:rFonts w:ascii="Arial" w:hAnsi="Arial"/>
                <w:i/>
                <w:color w:val="1B365D"/>
                <w:sz w:val="19"/>
              </w:rPr>
              <w:t>Project completed and submitted by Harsh Agrawal for the IBM SkillsBuild Academic Internship Capstone Project.</w:t>
            </w:r>
          </w:p>
        </w:tc>
      </w:tr>
    </w:tbl>
    <w:p>
      <w:pPr>
        <w:spacing w:before="8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