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1683"/>
        <w:gridCol w:w="860"/>
        <w:gridCol w:w="636"/>
        <w:gridCol w:w="1788"/>
      </w:tblGrid>
      <w:tr>
        <w:trPr>
          <w:trHeight w:val="239" w:hRule="atLeast"/>
        </w:trPr>
        <w:tc>
          <w:tcPr>
            <w:tcW w:w="1193" w:type="dxa"/>
          </w:tcPr>
          <w:p>
            <w:pPr>
              <w:pStyle w:val="TableParagraph"/>
              <w:spacing w:line="220" w:lineRule="exact" w:before="0"/>
              <w:ind w:left="50"/>
              <w:rPr>
                <w:sz w:val="20"/>
              </w:rPr>
            </w:pPr>
            <w:bookmarkStart w:name="bank_transactions_100" w:id="1"/>
            <w:bookmarkEnd w:id="1"/>
            <w:r>
              <w:rPr/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1683" w:type="dxa"/>
          </w:tcPr>
          <w:p>
            <w:pPr>
              <w:pStyle w:val="TableParagraph"/>
              <w:spacing w:line="220" w:lineRule="exact" w:before="0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860" w:type="dxa"/>
          </w:tcPr>
          <w:p>
            <w:pPr>
              <w:pStyle w:val="TableParagraph"/>
              <w:spacing w:line="220" w:lineRule="exact" w:before="0"/>
              <w:ind w:left="-7"/>
              <w:rPr>
                <w:sz w:val="20"/>
              </w:rPr>
            </w:pPr>
            <w:r>
              <w:rPr>
                <w:spacing w:val="-2"/>
                <w:sz w:val="20"/>
              </w:rPr>
              <w:t>Amount</w:t>
            </w:r>
          </w:p>
        </w:tc>
        <w:tc>
          <w:tcPr>
            <w:tcW w:w="636" w:type="dxa"/>
          </w:tcPr>
          <w:p>
            <w:pPr>
              <w:pStyle w:val="TableParagraph"/>
              <w:spacing w:line="220" w:lineRule="exact" w:before="0"/>
              <w:ind w:right="15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1788" w:type="dxa"/>
          </w:tcPr>
          <w:p>
            <w:pPr>
              <w:pStyle w:val="TableParagraph"/>
              <w:spacing w:line="220" w:lineRule="exact" w:before="0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McDonald's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1859.36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Bajaj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Finance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895.97</w:t>
            </w:r>
          </w:p>
        </w:tc>
        <w:tc>
          <w:tcPr>
            <w:tcW w:w="636" w:type="dxa"/>
          </w:tcPr>
          <w:p>
            <w:pPr>
              <w:pStyle w:val="TableParagraph"/>
              <w:ind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Spotify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2871.47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2024-06-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Netflix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1154.94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HDFC</w:t>
            </w:r>
            <w:r>
              <w:rPr>
                <w:spacing w:val="-4"/>
                <w:sz w:val="20"/>
              </w:rPr>
              <w:t> Loan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3382.73</w:t>
            </w:r>
          </w:p>
        </w:tc>
        <w:tc>
          <w:tcPr>
            <w:tcW w:w="636" w:type="dxa"/>
          </w:tcPr>
          <w:p>
            <w:pPr>
              <w:pStyle w:val="TableParagraph"/>
              <w:ind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Flipkart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2403.41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2024-04-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McDonald's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1994.46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Amazon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2200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2024-12-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Gift</w:t>
            </w:r>
            <w:r>
              <w:rPr>
                <w:spacing w:val="-4"/>
                <w:sz w:val="20"/>
              </w:rPr>
              <w:t> Shop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1285.07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2024-06-</w:t>
            </w: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5"/>
                <w:sz w:val="20"/>
              </w:rPr>
              <w:t>Ola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4859.48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Apollo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Pharmacy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1421.71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2024-06-</w:t>
            </w: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5"/>
                <w:sz w:val="20"/>
              </w:rPr>
              <w:t>Ola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4918.23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Electricity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4822.67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McDonald's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2846.01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Gift</w:t>
            </w:r>
            <w:r>
              <w:rPr>
                <w:spacing w:val="-4"/>
                <w:sz w:val="20"/>
              </w:rPr>
              <w:t> Shop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2051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2024-06-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McDonald's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4110.87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2024-11-</w:t>
            </w: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5"/>
                <w:sz w:val="20"/>
              </w:rPr>
              <w:t>Ola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187.67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HDFC</w:t>
            </w:r>
            <w:r>
              <w:rPr>
                <w:spacing w:val="-4"/>
                <w:sz w:val="20"/>
              </w:rPr>
              <w:t> Loan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4890.21</w:t>
            </w:r>
          </w:p>
        </w:tc>
        <w:tc>
          <w:tcPr>
            <w:tcW w:w="636" w:type="dxa"/>
          </w:tcPr>
          <w:p>
            <w:pPr>
              <w:pStyle w:val="TableParagraph"/>
              <w:ind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5"/>
                <w:sz w:val="20"/>
              </w:rPr>
              <w:t>Ola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4537.9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Indian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Railways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4106.15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2024-12-</w:t>
            </w: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Flipkart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328.04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2024-12-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Bookstore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1397.25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2024-09-</w:t>
            </w: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5"/>
                <w:sz w:val="20"/>
              </w:rPr>
              <w:t>Ola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1402.57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4053.63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Bookstore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4437.01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Indian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Railways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1670.2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Netflix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3540.46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Bookstore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2921.39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2024-11-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4"/>
                <w:sz w:val="20"/>
              </w:rPr>
              <w:t>Uber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1466.77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Apollo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Pharmacy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3004.48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HDFC</w:t>
            </w:r>
            <w:r>
              <w:rPr>
                <w:spacing w:val="-4"/>
                <w:sz w:val="20"/>
              </w:rPr>
              <w:t> Loan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3076.33</w:t>
            </w:r>
          </w:p>
        </w:tc>
        <w:tc>
          <w:tcPr>
            <w:tcW w:w="636" w:type="dxa"/>
          </w:tcPr>
          <w:p>
            <w:pPr>
              <w:pStyle w:val="TableParagraph"/>
              <w:ind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2024-07-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683" w:type="dxa"/>
          </w:tcPr>
          <w:p>
            <w:pPr>
              <w:pStyle w:val="TableParagraph"/>
              <w:ind w:left="19" w:right="-15"/>
              <w:rPr>
                <w:sz w:val="20"/>
              </w:rPr>
            </w:pPr>
            <w:r>
              <w:rPr>
                <w:sz w:val="20"/>
              </w:rPr>
              <w:t>YouTube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Premium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2200.85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2025-01-</w:t>
            </w: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Electricity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3084.08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Amazon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3846.08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Donation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4554.96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3853.01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2024-07-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2315.98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2024-12-</w:t>
            </w: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McDonald's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497.63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08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Donation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4129.46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2024-06-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5"/>
                <w:sz w:val="20"/>
              </w:rPr>
              <w:t>Ola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2208.87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08</w:t>
            </w:r>
          </w:p>
        </w:tc>
        <w:tc>
          <w:tcPr>
            <w:tcW w:w="1683" w:type="dxa"/>
          </w:tcPr>
          <w:p>
            <w:pPr>
              <w:pStyle w:val="TableParagraph"/>
              <w:ind w:left="19" w:right="-15"/>
              <w:rPr>
                <w:sz w:val="20"/>
              </w:rPr>
            </w:pPr>
            <w:r>
              <w:rPr>
                <w:sz w:val="20"/>
              </w:rPr>
              <w:t>YouTube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Premium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1710.48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Bajaj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Finance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403.72</w:t>
            </w:r>
          </w:p>
        </w:tc>
        <w:tc>
          <w:tcPr>
            <w:tcW w:w="636" w:type="dxa"/>
          </w:tcPr>
          <w:p>
            <w:pPr>
              <w:pStyle w:val="TableParagraph"/>
              <w:ind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Fuel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Station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1549.4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2024-07-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Zomato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3369.44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Spotify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1200.88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2024-04-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3125.61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2024-09-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HDFC</w:t>
            </w:r>
            <w:r>
              <w:rPr>
                <w:spacing w:val="-4"/>
                <w:sz w:val="20"/>
              </w:rPr>
              <w:t> Loan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2928.99</w:t>
            </w:r>
          </w:p>
        </w:tc>
        <w:tc>
          <w:tcPr>
            <w:tcW w:w="636" w:type="dxa"/>
          </w:tcPr>
          <w:p>
            <w:pPr>
              <w:pStyle w:val="TableParagraph"/>
              <w:ind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2024-11-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Bajaj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Finance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2231.83</w:t>
            </w:r>
          </w:p>
        </w:tc>
        <w:tc>
          <w:tcPr>
            <w:tcW w:w="636" w:type="dxa"/>
          </w:tcPr>
          <w:p>
            <w:pPr>
              <w:pStyle w:val="TableParagraph"/>
              <w:ind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Zomato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1830.7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Bookstore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3204.18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193" w:type="dxa"/>
          </w:tcPr>
          <w:p>
            <w:pPr>
              <w:pStyle w:val="TableParagraph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2025-01-</w:t>
            </w: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683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McDonald's</w:t>
            </w:r>
          </w:p>
        </w:tc>
        <w:tc>
          <w:tcPr>
            <w:tcW w:w="860" w:type="dxa"/>
          </w:tcPr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369.59</w:t>
            </w:r>
          </w:p>
        </w:tc>
        <w:tc>
          <w:tcPr>
            <w:tcW w:w="636" w:type="dxa"/>
          </w:tcPr>
          <w:p>
            <w:pPr>
              <w:pStyle w:val="TableParagraph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39" w:hRule="atLeast"/>
        </w:trPr>
        <w:tc>
          <w:tcPr>
            <w:tcW w:w="1193" w:type="dxa"/>
          </w:tcPr>
          <w:p>
            <w:pPr>
              <w:pStyle w:val="TableParagraph"/>
              <w:spacing w:line="210" w:lineRule="exact"/>
              <w:ind w:right="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2024-04-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683" w:type="dxa"/>
          </w:tcPr>
          <w:p>
            <w:pPr>
              <w:pStyle w:val="TableParagraph"/>
              <w:spacing w:line="210" w:lineRule="exact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Dominos</w:t>
            </w:r>
          </w:p>
        </w:tc>
        <w:tc>
          <w:tcPr>
            <w:tcW w:w="860" w:type="dxa"/>
          </w:tcPr>
          <w:p>
            <w:pPr>
              <w:pStyle w:val="TableParagraph"/>
              <w:spacing w:line="210" w:lineRule="exact"/>
              <w:ind w:right="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3350.15</w:t>
            </w:r>
          </w:p>
        </w:tc>
        <w:tc>
          <w:tcPr>
            <w:tcW w:w="636" w:type="dxa"/>
          </w:tcPr>
          <w:p>
            <w:pPr>
              <w:pStyle w:val="TableParagraph"/>
              <w:spacing w:line="210" w:lineRule="exact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8" w:type="dxa"/>
          </w:tcPr>
          <w:p>
            <w:pPr>
              <w:pStyle w:val="TableParagraph"/>
              <w:spacing w:line="210" w:lineRule="exact"/>
              <w:ind w:left="80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</w:tbl>
    <w:p>
      <w:pPr>
        <w:pStyle w:val="TableParagraph"/>
        <w:spacing w:after="0" w:line="210" w:lineRule="exac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164" w:footer="1188" w:top="1560" w:bottom="1677" w:left="992" w:right="1700"/>
          <w:pgNumType w:start="1"/>
        </w:sectPr>
      </w:pPr>
    </w:p>
    <w:tbl>
      <w:tblPr>
        <w:tblW w:w="0" w:type="auto"/>
        <w:jc w:val="left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"/>
        <w:gridCol w:w="1743"/>
        <w:gridCol w:w="798"/>
        <w:gridCol w:w="635"/>
        <w:gridCol w:w="1787"/>
      </w:tblGrid>
      <w:tr>
        <w:trPr>
          <w:trHeight w:val="239" w:hRule="atLeast"/>
        </w:trPr>
        <w:tc>
          <w:tcPr>
            <w:tcW w:w="1093" w:type="dxa"/>
          </w:tcPr>
          <w:p>
            <w:pPr>
              <w:pStyle w:val="TableParagraph"/>
              <w:spacing w:line="220" w:lineRule="exact" w:before="0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2024-07-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743" w:type="dxa"/>
          </w:tcPr>
          <w:p>
            <w:pPr>
              <w:pStyle w:val="TableParagraph"/>
              <w:spacing w:line="220" w:lineRule="exact" w:before="0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Spotify</w:t>
            </w:r>
          </w:p>
        </w:tc>
        <w:tc>
          <w:tcPr>
            <w:tcW w:w="798" w:type="dxa"/>
          </w:tcPr>
          <w:p>
            <w:pPr>
              <w:pStyle w:val="TableParagraph"/>
              <w:spacing w:line="220" w:lineRule="exact" w:before="0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3384.72</w:t>
            </w:r>
          </w:p>
        </w:tc>
        <w:tc>
          <w:tcPr>
            <w:tcW w:w="635" w:type="dxa"/>
          </w:tcPr>
          <w:p>
            <w:pPr>
              <w:pStyle w:val="TableParagraph"/>
              <w:spacing w:line="220" w:lineRule="exact" w:before="0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spacing w:line="220" w:lineRule="exact" w:before="0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2024-12-</w:t>
            </w:r>
            <w:r>
              <w:rPr>
                <w:spacing w:val="-5"/>
                <w:sz w:val="20"/>
              </w:rPr>
              <w:t>06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Flipkart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458.01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2025-01-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McDonald's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1727.78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Netflix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3753.07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2025-01-</w:t>
            </w:r>
            <w:r>
              <w:rPr>
                <w:spacing w:val="-5"/>
                <w:sz w:val="20"/>
              </w:rPr>
              <w:t>06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Flipkart</w:t>
            </w:r>
          </w:p>
        </w:tc>
        <w:tc>
          <w:tcPr>
            <w:tcW w:w="798" w:type="dxa"/>
          </w:tcPr>
          <w:p>
            <w:pPr>
              <w:pStyle w:val="TableParagraph"/>
              <w:ind w:right="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191.1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2024-07-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Indian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Railways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3890.11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2024-12-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Zomato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3266.46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2024-09-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Electricity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3488.84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2024-07-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Spotify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3526.41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Dept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2800.55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Netflix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4055.07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06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Spotify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395.11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Donation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4564.72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Clinic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Visit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1734.68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2024-11-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Fuel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Station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1284.95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Clinic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Visit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4158.74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Dominos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2475.86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2024-12-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Dominos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188.08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Dining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4838.88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1614.82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Myntra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972.05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1764.5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2228.29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2024-07-</w:t>
            </w: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Flipkart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4035.32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2024-05-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HDFC</w:t>
            </w:r>
            <w:r>
              <w:rPr>
                <w:spacing w:val="-4"/>
                <w:sz w:val="20"/>
              </w:rPr>
              <w:t> Loan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4116.78</w:t>
            </w:r>
          </w:p>
        </w:tc>
        <w:tc>
          <w:tcPr>
            <w:tcW w:w="635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Dept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4083.88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2024-11-</w:t>
            </w: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3326.41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2024-04-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Dept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818.26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08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Clinic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Visit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616.18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2025-01-</w:t>
            </w: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Indian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Railways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1144.86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2025-01-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Myntra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2173.9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2025-01-</w:t>
            </w:r>
            <w:r>
              <w:rPr>
                <w:spacing w:val="-5"/>
                <w:sz w:val="20"/>
              </w:rPr>
              <w:t>08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Gift</w:t>
            </w:r>
            <w:r>
              <w:rPr>
                <w:spacing w:val="-4"/>
                <w:sz w:val="20"/>
              </w:rPr>
              <w:t> Shop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2604.4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2025-03-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Clinic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Visit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3949.62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Clinic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Visit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2643.95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2024-09-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5"/>
                <w:sz w:val="20"/>
              </w:rPr>
              <w:t>Ola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4691.36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2024-09-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Bookstore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3784.37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2025-04-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Electricity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798" w:type="dxa"/>
          </w:tcPr>
          <w:p>
            <w:pPr>
              <w:pStyle w:val="TableParagraph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2442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Utilities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2024-06-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YouTube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Premium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4789.73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YouTube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Premium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2494.2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YouTube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Premium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554.16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Apollo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Pharmacy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1328.24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2025-02-</w:t>
            </w: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HDFC</w:t>
            </w:r>
            <w:r>
              <w:rPr>
                <w:spacing w:val="-4"/>
                <w:sz w:val="20"/>
              </w:rPr>
              <w:t> Loan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4829.46</w:t>
            </w:r>
          </w:p>
        </w:tc>
        <w:tc>
          <w:tcPr>
            <w:tcW w:w="635" w:type="dxa"/>
          </w:tcPr>
          <w:p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EMI/Loan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2024-08-</w:t>
            </w: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Indian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Railways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4447.67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Donation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1552.48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2024-07-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Netflix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2536.21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Subscriptions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2024-06-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Flipkart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4105.5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093" w:type="dxa"/>
          </w:tcPr>
          <w:p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2024-10-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743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Donation</w:t>
            </w:r>
          </w:p>
        </w:tc>
        <w:tc>
          <w:tcPr>
            <w:tcW w:w="798" w:type="dxa"/>
          </w:tcPr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1253.52</w:t>
            </w:r>
          </w:p>
        </w:tc>
        <w:tc>
          <w:tcPr>
            <w:tcW w:w="635" w:type="dxa"/>
          </w:tcPr>
          <w:p>
            <w:pPr>
              <w:pStyle w:val="TableParagraph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2"/>
                <w:sz w:val="20"/>
              </w:rPr>
              <w:t>Miscellaneous</w:t>
            </w:r>
          </w:p>
        </w:tc>
      </w:tr>
      <w:tr>
        <w:trPr>
          <w:trHeight w:val="239" w:hRule="atLeast"/>
        </w:trPr>
        <w:tc>
          <w:tcPr>
            <w:tcW w:w="1093" w:type="dxa"/>
          </w:tcPr>
          <w:p>
            <w:pPr>
              <w:pStyle w:val="TableParagraph"/>
              <w:spacing w:line="210" w:lineRule="exact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2024-09-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743" w:type="dxa"/>
          </w:tcPr>
          <w:p>
            <w:pPr>
              <w:pStyle w:val="TableParagraph"/>
              <w:spacing w:line="210" w:lineRule="exact"/>
              <w:ind w:left="20"/>
              <w:rPr>
                <w:sz w:val="20"/>
              </w:rPr>
            </w:pPr>
            <w:r>
              <w:rPr>
                <w:spacing w:val="-5"/>
                <w:sz w:val="20"/>
              </w:rPr>
              <w:t>Ola</w:t>
            </w:r>
          </w:p>
        </w:tc>
        <w:tc>
          <w:tcPr>
            <w:tcW w:w="798" w:type="dxa"/>
          </w:tcPr>
          <w:p>
            <w:pPr>
              <w:pStyle w:val="TableParagraph"/>
              <w:spacing w:line="210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1062.5</w:t>
            </w:r>
          </w:p>
        </w:tc>
        <w:tc>
          <w:tcPr>
            <w:tcW w:w="635" w:type="dxa"/>
          </w:tcPr>
          <w:p>
            <w:pPr>
              <w:pStyle w:val="TableParagraph"/>
              <w:spacing w:line="210" w:lineRule="exact"/>
              <w:ind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Debit</w:t>
            </w:r>
          </w:p>
        </w:tc>
        <w:tc>
          <w:tcPr>
            <w:tcW w:w="1787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</w:t>
            </w:r>
          </w:p>
        </w:tc>
      </w:tr>
    </w:tbl>
    <w:sectPr>
      <w:type w:val="continuous"/>
      <w:pgSz w:w="11910" w:h="16840"/>
      <w:pgMar w:header="1164" w:footer="1188" w:top="1560" w:bottom="1380" w:left="992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2192">
              <wp:simplePos x="0" y="0"/>
              <wp:positionH relativeFrom="page">
                <wp:posOffset>3566159</wp:posOffset>
              </wp:positionH>
              <wp:positionV relativeFrom="page">
                <wp:posOffset>9798025</wp:posOffset>
              </wp:positionV>
              <wp:extent cx="466090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799988pt;margin-top:771.498047pt;width:36.7pt;height:13.2pt;mso-position-horizontal-relative:page;mso-position-vertical-relative:page;z-index:-1652428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1680">
              <wp:simplePos x="0" y="0"/>
              <wp:positionH relativeFrom="page">
                <wp:posOffset>3110864</wp:posOffset>
              </wp:positionH>
              <wp:positionV relativeFrom="page">
                <wp:posOffset>726415</wp:posOffset>
              </wp:positionV>
              <wp:extent cx="1337310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373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bank_transactions_100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4.949997pt;margin-top:57.198036pt;width:105.3pt;height:13.2pt;mso-position-horizontal-relative:page;mso-position-vertical-relative:page;z-index:-165248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bank_transactions_100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 w:line="226" w:lineRule="exac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2025-04-24T06:48:32Z</dcterms:created>
  <dcterms:modified xsi:type="dcterms:W3CDTF">2025-04-24T06:48:32Z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Calc</vt:lpwstr>
  </property>
  <property fmtid="{D5CDD505-2E9C-101B-9397-08002B2CF9AE}" pid="4" name="Producer">
    <vt:lpwstr>LibreOffice 24.8.4.2 (X86_64) / LibreOffice Community</vt:lpwstr>
  </property>
  <property fmtid="{D5CDD505-2E9C-101B-9397-08002B2CF9AE}" pid="5" name="LastSaved">
    <vt:filetime>2025-04-24T00:00:00Z</vt:filetime>
  </property>
</Properties>
</file>