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4E78"/>
          <w:sz w:val="24"/>
          <w:szCs w:val="24"/>
        </w:rPr>
        <w:t xml:space="preserve">ADVANCED SOFTWARE ENGINEERING (M.Tech)</w:t>
      </w:r>
    </w:p>
    <w:p>
      <w:pPr>
        <w:spacing w:before="200"/>
        <w:jc w:val="center"/>
      </w:pPr>
      <w:r>
        <w:rPr>
          <w:b/>
          <w:bCs/>
          <w:sz w:val="32"/>
          <w:szCs w:val="32"/>
        </w:rPr>
        <w:t xml:space="preserve">Lab-2: SDLC Model Selection as a Multi-Criteria Decision</w:t>
      </w:r>
    </w:p>
    <w:p>
      <w:pPr>
        <w:spacing w:before="400"/>
        <w:jc w:val="center"/>
      </w:pPr>
      <w:r>
        <w:rPr>
          <w:b/>
          <w:bCs/>
          <w:color w:val="1F4E78"/>
          <w:sz w:val="26"/>
          <w:szCs w:val="26"/>
        </w:rPr>
        <w:t xml:space="preserve">Team T6 — Micro-lending / SHG Credit Management System</w:t>
      </w:r>
    </w:p>
    <w:p>
      <w:pPr>
        <w:spacing w:before="600"/>
        <w:jc w:val="center"/>
      </w:pPr>
      <w:r>
        <w:rPr>
          <w:i/>
          <w:iCs/>
          <w:sz w:val="20"/>
          <w:szCs w:val="20"/>
        </w:rPr>
        <w:t xml:space="preserve">Unit 2 | CO1, CO3 | Bloom: Analyze -&gt; Evaluate</w:t>
      </w:r>
    </w:p>
    <w:p>
      <w:pPr>
        <w:spacing w:before="200"/>
        <w:jc w:val="center"/>
      </w:pPr>
      <w:r>
        <w:rPr>
          <w:i/>
          <w:iCs/>
          <w:sz w:val="20"/>
          <w:szCs w:val="20"/>
        </w:rPr>
        <w:t xml:space="preserve">Key challenges: financial accuracy, security, authorization, auditability</w:t>
      </w:r>
    </w:p>
    <w:p>
      <w:pPr>
        <w:spacing w:before="1200"/>
        <w:jc w:val="center"/>
      </w:pPr>
      <w:r>
        <w:rPr>
          <w:sz w:val="18"/>
          <w:szCs w:val="18"/>
        </w:rPr>
        <w:t xml:space="preserve">Accompanying workbook: T6_SHG_Credit_Decision_Matrix.xlsx (live formulas for M4-M6)</w:t>
      </w:r>
    </w:p>
    <w:p>
      <w:r>
        <w:br w:type="page"/>
      </w:r>
    </w:p>
    <w:p>
      <w:pPr>
        <w:pStyle w:val="Heading1"/>
        <w:spacing w:after="150" w:before="300"/>
      </w:pPr>
      <w:r>
        <w:t xml:space="preserve">1. Objective and Design Task</w:t>
      </w:r>
    </w:p>
    <w:p>
      <w:pPr>
        <w:spacing w:after="120"/>
      </w:pPr>
      <w:r>
        <w:rPr>
          <w:b w:val="false"/>
          <w:bCs w:val="false"/>
          <w:i w:val="false"/>
          <w:iCs w:val="false"/>
          <w:sz w:val="21"/>
          <w:szCs w:val="21"/>
        </w:rPr>
        <w:t xml:space="preserve">Select and justify the most suitable SDLC/process model for Team T6's semester-long case study — a Micro-lending / SHG Credit Management System — using a weighted, criteria-based decision process followed by sensitivity analysis. Seven candidate models are evaluated: Waterfall, Incremental, Prototyping, Spiral, V-Model, Component-Based Development, and Scrum.</w:t>
      </w:r>
    </w:p>
    <w:p>
      <w:pPr>
        <w:spacing w:after="120"/>
      </w:pPr>
      <w:r>
        <w:rPr>
          <w:b w:val="false"/>
          <w:bCs w:val="false"/>
          <w:i w:val="false"/>
          <w:iCs w:val="false"/>
          <w:sz w:val="21"/>
          <w:szCs w:val="21"/>
        </w:rPr>
        <w:t xml:space="preserve">The assigned system's key challenges — financial accuracy, security, authorization and auditability — anchor every judgement made in this report. As instructed, no model is assumed superior before the system profile and criteria are established, and Scrum/Agile suitability is evaluated on the same footing as every other model.</w:t>
      </w:r>
    </w:p>
    <w:p>
      <w:pPr>
        <w:pStyle w:val="Heading1"/>
        <w:spacing w:after="150" w:before="300"/>
      </w:pPr>
      <w:r>
        <w:t xml:space="preserve">2. M1 — System Profile</w:t>
      </w:r>
    </w:p>
    <w:p>
      <w:pPr>
        <w:spacing w:after="120"/>
      </w:pPr>
      <w:r>
        <w:rPr>
          <w:b w:val="false"/>
          <w:bCs w:val="false"/>
          <w:i w:val="false"/>
          <w:iCs w:val="false"/>
          <w:sz w:val="21"/>
          <w:szCs w:val="21"/>
        </w:rPr>
        <w:t xml:space="preserve">The table below assesses the SHG credit system against the profiling dimensions used to select an SDLC model, each with supporting evidence specific to this case.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800"/>
      </w:tblGrid>
      <w:tr>
        <w:trPr>
          <w:tblHeader/>
        </w:trPr>
        <w:tc>
          <w:tcPr>
            <w:tcW w:type="dxa" w:w="26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Dimension</w:t>
            </w:r>
          </w:p>
        </w:tc>
        <w:tc>
          <w:tcPr>
            <w:tcW w:type="dxa" w:w="16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Assessment</w:t>
            </w:r>
          </w:p>
        </w:tc>
        <w:tc>
          <w:tcPr>
            <w:tcW w:type="dxa" w:w="58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Justification</w:t>
            </w:r>
          </w:p>
        </w:tc>
      </w:tr>
      <w:tr>
        <w:tc>
          <w:tcPr>
            <w:tcW w:type="dxa" w:w="26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Requirements volatility</w:t>
            </w:r>
          </w:p>
        </w:tc>
        <w:tc>
          <w:tcPr>
            <w:tcW w:type="dxa" w:w="16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Medium</w:t>
            </w:r>
          </w:p>
        </w:tc>
        <w:tc>
          <w:tcPr>
            <w:tcW w:type="dxa" w:w="58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Core SHG lending workflow (group formation, appraisal, disbursement, repayment, NPA tracking) is well established, but interest/subsidy rules and RBI/NABARD reporting formats change periodically.</w:t>
            </w:r>
          </w:p>
        </w:tc>
      </w:tr>
      <w:tr>
        <w:tc>
          <w:tcPr>
            <w:tcW w:type="dxa" w:w="26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Project size</w:t>
            </w:r>
          </w:p>
        </w:tc>
        <w:tc>
          <w:tcPr>
            <w:tcW w:type="dxa" w:w="16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Medium-Large</w:t>
            </w:r>
          </w:p>
        </w:tc>
        <w:tc>
          <w:tcPr>
            <w:tcW w:type="dxa" w:w="58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Modules: SHG/member onboarding &amp; KYC, credit appraisal &amp; scoring, loan sanction &amp; disbursement, repayment/collection tracking, ledger &amp; interest computation, NPA/risk classification, MIS &amp; regulatory reporting, notifications, audit trail &amp; role-based access.</w:t>
            </w:r>
          </w:p>
        </w:tc>
      </w:tr>
      <w:tr>
        <w:tc>
          <w:tcPr>
            <w:tcW w:type="dxa" w:w="26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Team distribution</w:t>
            </w:r>
          </w:p>
        </w:tc>
        <w:tc>
          <w:tcPr>
            <w:tcW w:type="dxa" w:w="16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Low-Medium</w:t>
            </w:r>
          </w:p>
        </w:tc>
        <w:tc>
          <w:tcPr>
            <w:tcW w:type="dxa" w:w="58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Development team and domain stakeholders (bank/NBFC-MFI officials, SHG federation staff, field loan officers) are largely co-located within one implementing institution, with occasional remote field-office coordination.</w:t>
            </w:r>
          </w:p>
        </w:tc>
      </w:tr>
      <w:tr>
        <w:tc>
          <w:tcPr>
            <w:tcW w:type="dxa" w:w="26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Risk exposure</w:t>
            </w:r>
          </w:p>
        </w:tc>
        <w:tc>
          <w:tcPr>
            <w:tcW w:type="dxa" w:w="16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High</w:t>
            </w:r>
          </w:p>
        </w:tc>
        <w:tc>
          <w:tcPr>
            <w:tcW w:type="dxa" w:w="58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Errors in interest/principal computation, wrong disbursement, or authorization bypass cause direct financial loss to vulnerable low-income borrowers and reputational/legal risk to the lender.</w:t>
            </w:r>
          </w:p>
        </w:tc>
      </w:tr>
      <w:tr>
        <w:tc>
          <w:tcPr>
            <w:tcW w:type="dxa" w:w="26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Regulatory burden</w:t>
            </w:r>
          </w:p>
        </w:tc>
        <w:tc>
          <w:tcPr>
            <w:tcW w:type="dxa" w:w="16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High</w:t>
            </w:r>
          </w:p>
        </w:tc>
        <w:tc>
          <w:tcPr>
            <w:tcW w:type="dxa" w:w="58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Must comply with RBI Master Directions for NBFC-MFIs, interest-rate/pricing disclosure norms, KYC/AML (PMLA) requirements, and periodic reporting to NABARD/SHG federations.</w:t>
            </w:r>
          </w:p>
        </w:tc>
      </w:tr>
      <w:tr>
        <w:tc>
          <w:tcPr>
            <w:tcW w:type="dxa" w:w="26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Customer availability</w:t>
            </w:r>
          </w:p>
        </w:tc>
        <w:tc>
          <w:tcPr>
            <w:tcW w:type="dxa" w:w="16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Medium</w:t>
            </w:r>
          </w:p>
        </w:tc>
        <w:tc>
          <w:tcPr>
            <w:tcW w:type="dxa" w:w="58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Branch/loan officers and SHG federation representatives are available for periodic reviews, not full-time embedded; rural stakeholders have limited connectivity for continuous engagement.</w:t>
            </w:r>
          </w:p>
        </w:tc>
      </w:tr>
      <w:tr>
        <w:tc>
          <w:tcPr>
            <w:tcW w:type="dxa" w:w="26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Contract type</w:t>
            </w:r>
          </w:p>
        </w:tc>
        <w:tc>
          <w:tcPr>
            <w:tcW w:type="dxa" w:w="16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Fixed-scope, internal</w:t>
            </w:r>
          </w:p>
        </w:tc>
        <w:tc>
          <w:tcPr>
            <w:tcW w:type="dxa" w:w="58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Assumed to be an institution-funded internal IT project with a defined scope and financial-year budget cycle, rather than a flexible time-and-materials external contract.</w:t>
            </w:r>
          </w:p>
        </w:tc>
      </w:tr>
      <w:tr>
        <w:tc>
          <w:tcPr>
            <w:tcW w:type="dxa" w:w="26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Delivery urgency</w:t>
            </w:r>
          </w:p>
        </w:tc>
        <w:tc>
          <w:tcPr>
            <w:tcW w:type="dxa" w:w="16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Medium</w:t>
            </w:r>
          </w:p>
        </w:tc>
        <w:tc>
          <w:tcPr>
            <w:tcW w:type="dxa" w:w="58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Target go-live is tied to a lending-cycle/financial-year milestone, but the project is not an emergency deployment.</w:t>
            </w:r>
          </w:p>
        </w:tc>
      </w:tr>
      <w:tr>
        <w:tc>
          <w:tcPr>
            <w:tcW w:type="dxa" w:w="26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Defect tolerance</w:t>
            </w:r>
          </w:p>
        </w:tc>
        <w:tc>
          <w:tcPr>
            <w:tcW w:type="dxa" w:w="16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Very Low</w:t>
            </w:r>
          </w:p>
        </w:tc>
        <w:tc>
          <w:tcPr>
            <w:tcW w:type="dxa" w:w="58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Ledger and interest-computation errors are financially and legally unacceptable; the system must be auditable to the rupee.</w:t>
            </w:r>
          </w:p>
        </w:tc>
      </w:tr>
      <w:tr>
        <w:tc>
          <w:tcPr>
            <w:tcW w:type="dxa" w:w="26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Technology uncertainty</w:t>
            </w:r>
          </w:p>
        </w:tc>
        <w:tc>
          <w:tcPr>
            <w:tcW w:type="dxa" w:w="16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Low-Medium</w:t>
            </w:r>
          </w:p>
        </w:tc>
        <w:tc>
          <w:tcPr>
            <w:tcW w:type="dxa" w:w="58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Built on a well-understood web/mobile + RDBMS stack; some uncertainty around biometric/Aadhaar e-KYC, UPI/payment-gateway, and SMS/USSD gateway integration for low-connectivity areas.</w:t>
            </w:r>
          </w:p>
        </w:tc>
      </w:tr>
      <w:tr>
        <w:tc>
          <w:tcPr>
            <w:tcW w:type="dxa" w:w="26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Security/privacy requirement</w:t>
            </w:r>
          </w:p>
        </w:tc>
        <w:tc>
          <w:tcPr>
            <w:tcW w:type="dxa" w:w="16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High</w:t>
            </w:r>
          </w:p>
        </w:tc>
        <w:tc>
          <w:tcPr>
            <w:tcW w:type="dxa" w:w="58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Handles financial transactions, KYC documents and PII of SHG members; needs encryption, role-based access control and tamper-evident logging.</w:t>
            </w:r>
          </w:p>
        </w:tc>
      </w:tr>
      <w:tr>
        <w:tc>
          <w:tcPr>
            <w:tcW w:type="dxa" w:w="26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Integration complexity</w:t>
            </w:r>
          </w:p>
        </w:tc>
        <w:tc>
          <w:tcPr>
            <w:tcW w:type="dxa" w:w="16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Medium-High</w:t>
            </w:r>
          </w:p>
        </w:tc>
        <w:tc>
          <w:tcPr>
            <w:tcW w:type="dxa" w:w="58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Interfaces with core banking/payment systems (NEFT/UPI), Aadhaar e-KYC, credit bureau (microfinance data), SMS gateway, and NABARD/SHG federation reporting portals.</w:t>
            </w:r>
          </w:p>
        </w:tc>
      </w:tr>
    </w:tbl>
    <w:p>
      <w:pPr>
        <w:pStyle w:val="Heading1"/>
        <w:spacing w:after="150" w:before="300"/>
      </w:pPr>
      <w:r>
        <w:t xml:space="preserve">3. M2 — Decision Criteria</w:t>
      </w:r>
    </w:p>
    <w:p>
      <w:pPr>
        <w:spacing w:after="120"/>
      </w:pPr>
      <w:r>
        <w:rPr>
          <w:b w:val="false"/>
          <w:bCs w:val="false"/>
          <w:i w:val="false"/>
          <w:iCs w:val="false"/>
          <w:sz w:val="21"/>
          <w:szCs w:val="21"/>
        </w:rPr>
        <w:t xml:space="preserve">The nine standard criteria are used, plus two justified additions (C10, C11) — within the permitted limit of up to three — because generic risk and regulatory-burden criteria do not fully capture the fraud-resistance and audit-traceability demands specific to a financial product handling public funds and member PII.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6100"/>
      </w:tblGrid>
      <w:tr>
        <w:trPr>
          <w:tblHeader/>
        </w:trPr>
        <w:tc>
          <w:tcPr>
            <w:tcW w:type="dxa" w:w="13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Code</w:t>
            </w:r>
          </w:p>
        </w:tc>
        <w:tc>
          <w:tcPr>
            <w:tcW w:type="dxa" w:w="26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Criterion</w:t>
            </w:r>
          </w:p>
        </w:tc>
        <w:tc>
          <w:tcPr>
            <w:tcW w:type="dxa" w:w="61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Justification for this case</w:t>
            </w:r>
          </w:p>
        </w:tc>
      </w:tr>
      <w:tr>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C1</w:t>
            </w:r>
          </w:p>
        </w:tc>
        <w:tc>
          <w:tcPr>
            <w:tcW w:type="dxa" w:w="26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Requirements volatility</w:t>
            </w:r>
          </w:p>
        </w:tc>
        <w:tc>
          <w:tcPr>
            <w:tcW w:type="dxa" w:w="61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Core lending workflow is stable, but interest/subsidy rules and regulatory reporting formats shift periodically — needs to be scored explicitly.</w:t>
            </w:r>
          </w:p>
        </w:tc>
      </w:tr>
      <w:tr>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C2</w:t>
            </w:r>
          </w:p>
        </w:tc>
        <w:tc>
          <w:tcPr>
            <w:tcW w:type="dxa" w:w="26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Project size</w:t>
            </w:r>
          </w:p>
        </w:tc>
        <w:tc>
          <w:tcPr>
            <w:tcW w:type="dxa" w:w="61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Multiple interconnected modules (KYC, appraisal, ledger, NPA, reporting) make overall system size and structuring approach a real differentiator between models.</w:t>
            </w:r>
          </w:p>
        </w:tc>
      </w:tr>
      <w:tr>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C3</w:t>
            </w:r>
          </w:p>
        </w:tc>
        <w:tc>
          <w:tcPr>
            <w:tcW w:type="dxa" w:w="26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Team distribution</w:t>
            </w:r>
          </w:p>
        </w:tc>
        <w:tc>
          <w:tcPr>
            <w:tcW w:type="dxa" w:w="61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Field offices and federation coordination introduce some distribution; documentation-heavy vs. collaboration-heavy models cope differently.</w:t>
            </w:r>
          </w:p>
        </w:tc>
      </w:tr>
      <w:tr>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C4</w:t>
            </w:r>
          </w:p>
        </w:tc>
        <w:tc>
          <w:tcPr>
            <w:tcW w:type="dxa" w:w="26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Risk exposure</w:t>
            </w:r>
          </w:p>
        </w:tc>
        <w:tc>
          <w:tcPr>
            <w:tcW w:type="dxa" w:w="61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Financial/operational risk to vulnerable borrowers is high; models with explicit risk management should score better.</w:t>
            </w:r>
          </w:p>
        </w:tc>
      </w:tr>
      <w:tr>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C5</w:t>
            </w:r>
          </w:p>
        </w:tc>
        <w:tc>
          <w:tcPr>
            <w:tcW w:type="dxa" w:w="26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Regulatory burden</w:t>
            </w:r>
          </w:p>
        </w:tc>
        <w:tc>
          <w:tcPr>
            <w:tcW w:type="dxa" w:w="61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RBI/NABARD/KYC-AML compliance is central to this domain and is a major differentiator across models' documentation and traceability practices.</w:t>
            </w:r>
          </w:p>
        </w:tc>
      </w:tr>
      <w:tr>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C6</w:t>
            </w:r>
          </w:p>
        </w:tc>
        <w:tc>
          <w:tcPr>
            <w:tcW w:type="dxa" w:w="26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Customer availability</w:t>
            </w:r>
          </w:p>
        </w:tc>
        <w:tc>
          <w:tcPr>
            <w:tcW w:type="dxa" w:w="61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Loan officers/SHG federation staff are only periodically available, which favours models with well-defined, infrequent engagement points.</w:t>
            </w:r>
          </w:p>
        </w:tc>
      </w:tr>
      <w:tr>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C7</w:t>
            </w:r>
          </w:p>
        </w:tc>
        <w:tc>
          <w:tcPr>
            <w:tcW w:type="dxa" w:w="26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Contract type</w:t>
            </w:r>
          </w:p>
        </w:tc>
        <w:tc>
          <w:tcPr>
            <w:tcW w:type="dxa" w:w="61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Assumed fixed-scope internal funding rewards models that plan and cost the full scope upfront.</w:t>
            </w:r>
          </w:p>
        </w:tc>
      </w:tr>
      <w:tr>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C8</w:t>
            </w:r>
          </w:p>
        </w:tc>
        <w:tc>
          <w:tcPr>
            <w:tcW w:type="dxa" w:w="26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Delivery urgency</w:t>
            </w:r>
          </w:p>
        </w:tc>
        <w:tc>
          <w:tcPr>
            <w:tcW w:type="dxa" w:w="61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A financial-year go-live milestone rewards models capable of early, incremental releases.</w:t>
            </w:r>
          </w:p>
        </w:tc>
      </w:tr>
      <w:tr>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C9</w:t>
            </w:r>
          </w:p>
        </w:tc>
        <w:tc>
          <w:tcPr>
            <w:tcW w:type="dxa" w:w="26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Defect tolerance</w:t>
            </w:r>
          </w:p>
        </w:tc>
        <w:tc>
          <w:tcPr>
            <w:tcW w:type="dxa" w:w="61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Near-zero tolerance for ledger/interest defects strongly favours models with rigorous verification and validation.</w:t>
            </w:r>
          </w:p>
        </w:tc>
      </w:tr>
      <w:tr>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C10 (added)</w:t>
            </w:r>
          </w:p>
        </w:tc>
        <w:tc>
          <w:tcPr>
            <w:tcW w:type="dxa" w:w="26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Security &amp; fraud-resistance</w:t>
            </w:r>
          </w:p>
        </w:tc>
        <w:tc>
          <w:tcPr>
            <w:tcW w:type="dxa" w:w="61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A financial system moving money and holding PII needs a criterion that specifically evaluates how well a model builds in security engineering (threat modelling, access control) — distinct from generic risk exposure.</w:t>
            </w:r>
          </w:p>
        </w:tc>
      </w:tr>
      <w:tr>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C11 (added)</w:t>
            </w:r>
          </w:p>
        </w:tc>
        <w:tc>
          <w:tcPr>
            <w:tcW w:type="dxa" w:w="26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Auditability &amp; regulatory traceability</w:t>
            </w:r>
          </w:p>
        </w:tc>
        <w:tc>
          <w:tcPr>
            <w:tcW w:type="dxa" w:w="61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RBI/NABARD compliance requires requirement-to-test traceability and audit trails; this is evaluated separately from the broader 'regulatory burden' criterion, which covers documentation practice in general.</w:t>
            </w:r>
          </w:p>
        </w:tc>
      </w:tr>
    </w:tbl>
    <w:p>
      <w:pPr>
        <w:pStyle w:val="Heading1"/>
        <w:spacing w:after="150" w:before="300"/>
      </w:pPr>
      <w:r>
        <w:t xml:space="preserve">4. M3 — Weighting</w:t>
      </w:r>
    </w:p>
    <w:p>
      <w:pPr>
        <w:spacing w:after="120"/>
      </w:pPr>
      <w:r>
        <w:rPr>
          <w:b w:val="false"/>
          <w:bCs w:val="false"/>
          <w:i w:val="false"/>
          <w:iCs w:val="false"/>
          <w:sz w:val="21"/>
          <w:szCs w:val="21"/>
        </w:rPr>
        <w:t xml:space="preserve">Weights sum to 100%. Risk exposure, Regulatory burden and Defect tolerance are jointly weighted highest (14% each) because financial-computation errors and non-compliance carry the most severe consequences for this system; the added Security &amp; fraud-resistance criterion (12%) reflects that the system moves money and holds sensitive member data.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5300"/>
      </w:tblGrid>
      <w:tr>
        <w:trPr>
          <w:tblHeader/>
        </w:trPr>
        <w:tc>
          <w:tcPr>
            <w:tcW w:type="dxa" w:w="34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Criterion</w:t>
            </w:r>
          </w:p>
        </w:tc>
        <w:tc>
          <w:tcPr>
            <w:tcW w:type="dxa" w:w="13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Weight (%)</w:t>
            </w:r>
          </w:p>
        </w:tc>
        <w:tc>
          <w:tcPr>
            <w:tcW w:type="dxa" w:w="53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Justification</w:t>
            </w:r>
          </w:p>
        </w:tc>
      </w:tr>
      <w:tr>
        <w:tc>
          <w:tcPr>
            <w:tcW w:type="dxa" w:w="34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Requirements volatility</w:t>
            </w:r>
          </w:p>
        </w:tc>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8%</w:t>
            </w:r>
          </w:p>
        </w:tc>
        <w:tc>
          <w:tcPr>
            <w:tcW w:type="dxa" w:w="5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Moderate, not extreme, volatility — mainly around regulatory/interest-rule updates.</w:t>
            </w:r>
          </w:p>
        </w:tc>
      </w:tr>
      <w:tr>
        <w:tc>
          <w:tcPr>
            <w:tcW w:type="dxa" w:w="34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Project size</w:t>
            </w:r>
          </w:p>
        </w:tc>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8%</w:t>
            </w:r>
          </w:p>
        </w:tc>
        <w:tc>
          <w:tcPr>
            <w:tcW w:type="dxa" w:w="5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Medium-large but well-modularised system; a real but not dominant factor.</w:t>
            </w:r>
          </w:p>
        </w:tc>
      </w:tr>
      <w:tr>
        <w:tc>
          <w:tcPr>
            <w:tcW w:type="dxa" w:w="34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Team distribution</w:t>
            </w:r>
          </w:p>
        </w:tc>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4%</w:t>
            </w:r>
          </w:p>
        </w:tc>
        <w:tc>
          <w:tcPr>
            <w:tcW w:type="dxa" w:w="5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Team is largely co-located; distribution challenges have limited influence.</w:t>
            </w:r>
          </w:p>
        </w:tc>
      </w:tr>
      <w:tr>
        <w:tc>
          <w:tcPr>
            <w:tcW w:type="dxa" w:w="34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Risk exposure</w:t>
            </w:r>
          </w:p>
        </w:tc>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14%</w:t>
            </w:r>
          </w:p>
        </w:tc>
        <w:tc>
          <w:tcPr>
            <w:tcW w:type="dxa" w:w="5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Financial harm to vulnerable borrowers from computation or authorization errors is a top-tier concern.</w:t>
            </w:r>
          </w:p>
        </w:tc>
      </w:tr>
      <w:tr>
        <w:tc>
          <w:tcPr>
            <w:tcW w:type="dxa" w:w="34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Regulatory burden</w:t>
            </w:r>
          </w:p>
        </w:tc>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14%</w:t>
            </w:r>
          </w:p>
        </w:tc>
        <w:tc>
          <w:tcPr>
            <w:tcW w:type="dxa" w:w="5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RBI/NBFC-MFI, KYC/AML and NABARD compliance are central, non-negotiable constraints for this domain.</w:t>
            </w:r>
          </w:p>
        </w:tc>
      </w:tr>
      <w:tr>
        <w:tc>
          <w:tcPr>
            <w:tcW w:type="dxa" w:w="34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Customer availability</w:t>
            </w:r>
          </w:p>
        </w:tc>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6%</w:t>
            </w:r>
          </w:p>
        </w:tc>
        <w:tc>
          <w:tcPr>
            <w:tcW w:type="dxa" w:w="5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Stakeholders are available periodically; a moderate, secondary constraint.</w:t>
            </w:r>
          </w:p>
        </w:tc>
      </w:tr>
      <w:tr>
        <w:tc>
          <w:tcPr>
            <w:tcW w:type="dxa" w:w="34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Contract type</w:t>
            </w:r>
          </w:p>
        </w:tc>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4%</w:t>
            </w:r>
          </w:p>
        </w:tc>
        <w:tc>
          <w:tcPr>
            <w:tcW w:type="dxa" w:w="5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Internal, fixed-scope funding has some influence but is not a primary technical driver.</w:t>
            </w:r>
          </w:p>
        </w:tc>
      </w:tr>
      <w:tr>
        <w:tc>
          <w:tcPr>
            <w:tcW w:type="dxa" w:w="34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Delivery urgency</w:t>
            </w:r>
          </w:p>
        </w:tc>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8%</w:t>
            </w:r>
          </w:p>
        </w:tc>
        <w:tc>
          <w:tcPr>
            <w:tcW w:type="dxa" w:w="5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A financial-year milestone matters but is not an emergency deadline.</w:t>
            </w:r>
          </w:p>
        </w:tc>
      </w:tr>
      <w:tr>
        <w:tc>
          <w:tcPr>
            <w:tcW w:type="dxa" w:w="34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Defect tolerance</w:t>
            </w:r>
          </w:p>
        </w:tc>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14%</w:t>
            </w:r>
          </w:p>
        </w:tc>
        <w:tc>
          <w:tcPr>
            <w:tcW w:type="dxa" w:w="5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Near-zero tolerance for ledger/interest defects is one of the most decisive factors for a financial system.</w:t>
            </w:r>
          </w:p>
        </w:tc>
      </w:tr>
      <w:tr>
        <w:tc>
          <w:tcPr>
            <w:tcW w:type="dxa" w:w="34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Security &amp; fraud-resistance (added)</w:t>
            </w:r>
          </w:p>
        </w:tc>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12%</w:t>
            </w:r>
          </w:p>
        </w:tc>
        <w:tc>
          <w:tcPr>
            <w:tcW w:type="dxa" w:w="5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Handling money transfers and member PII makes built-in security engineering a top-tier concern.</w:t>
            </w:r>
          </w:p>
        </w:tc>
      </w:tr>
      <w:tr>
        <w:tc>
          <w:tcPr>
            <w:tcW w:type="dxa" w:w="34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Auditability &amp; regulatory traceability (added)</w:t>
            </w:r>
          </w:p>
        </w:tc>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8%</w:t>
            </w:r>
          </w:p>
        </w:tc>
        <w:tc>
          <w:tcPr>
            <w:tcW w:type="dxa" w:w="5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Regulators and internal auditors will demand requirement-to-test traceability; a meaningful but slightly narrower concern than overall regulatory burden.</w:t>
            </w:r>
          </w:p>
        </w:tc>
      </w:tr>
    </w:tbl>
    <w:p>
      <w:pPr>
        <w:spacing w:before="100"/>
      </w:pPr>
      <w:r>
        <w:rPr>
          <w:b/>
          <w:bCs/>
        </w:rPr>
        <w:t xml:space="preserve">TOTAL: 100%</w:t>
      </w:r>
    </w:p>
    <w:p>
      <w:pPr>
        <w:sectPr>
          <w:pgSz w:w="12240" w:h="15840" w:orient="portrait"/>
          <w:pgMar w:top="1000" w:right="1100" w:bottom="1000" w:left="1100" w:header="708" w:footer="708" w:gutter="0"/>
          <w:pgNumType/>
          <w:docGrid w:linePitch="360"/>
        </w:sectPr>
      </w:pPr>
    </w:p>
    <w:p>
      <w:pPr>
        <w:pStyle w:val="Heading1"/>
        <w:spacing w:after="150" w:before="300"/>
      </w:pPr>
      <w:r>
        <w:t xml:space="preserve">5. M4 — Seven-Model Weighted Decision Matrix</w:t>
      </w:r>
    </w:p>
    <w:p>
      <w:pPr>
        <w:spacing w:after="120"/>
      </w:pPr>
      <w:r>
        <w:rPr>
          <w:b w:val="false"/>
          <w:bCs w:val="false"/>
          <w:i w:val="false"/>
          <w:iCs w:val="false"/>
          <w:sz w:val="18"/>
          <w:szCs w:val="18"/>
        </w:rPr>
        <w:t xml:space="preserve">Scoring: 1 = Very poor fit, 2 = Poor, 3 = Moderate, 4 = Good, 5 = Excellent. Weighted Score = SUM(Weight x Model Score) / 100, normalized against a maximum possible score of 5. Full live-formula version: sheet 'Decision_Matrix' in the accompanying workbook.</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700"/>
        <w:gridCol w:w="1300"/>
        <w:gridCol w:w="1300"/>
        <w:gridCol w:w="1300"/>
        <w:gridCol w:w="1000"/>
        <w:gridCol w:w="1000"/>
        <w:gridCol w:w="1500"/>
        <w:gridCol w:w="1000"/>
      </w:tblGrid>
      <w:tr>
        <w:trPr>
          <w:tblHeader/>
        </w:trPr>
        <w:tc>
          <w:tcPr>
            <w:tcW w:type="dxa" w:w="7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Code</w:t>
            </w:r>
          </w:p>
        </w:tc>
        <w:tc>
          <w:tcPr>
            <w:tcW w:type="dxa" w:w="20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Criterion</w:t>
            </w:r>
          </w:p>
        </w:tc>
        <w:tc>
          <w:tcPr>
            <w:tcW w:type="dxa" w:w="7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Wt.%</w:t>
            </w:r>
          </w:p>
        </w:tc>
        <w:tc>
          <w:tcPr>
            <w:tcW w:type="dxa" w:w="13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Waterfall</w:t>
            </w:r>
          </w:p>
        </w:tc>
        <w:tc>
          <w:tcPr>
            <w:tcW w:type="dxa" w:w="13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Incremental</w:t>
            </w:r>
          </w:p>
        </w:tc>
        <w:tc>
          <w:tcPr>
            <w:tcW w:type="dxa" w:w="13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Prototyping</w:t>
            </w:r>
          </w:p>
        </w:tc>
        <w:tc>
          <w:tcPr>
            <w:tcW w:type="dxa" w:w="10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Spiral</w:t>
            </w:r>
          </w:p>
        </w:tc>
        <w:tc>
          <w:tcPr>
            <w:tcW w:type="dxa" w:w="10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V-Model</w:t>
            </w:r>
          </w:p>
        </w:tc>
        <w:tc>
          <w:tcPr>
            <w:tcW w:type="dxa" w:w="15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Component-Based</w:t>
            </w:r>
          </w:p>
        </w:tc>
        <w:tc>
          <w:tcPr>
            <w:tcW w:type="dxa" w:w="10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Scrum</w:t>
            </w:r>
          </w:p>
        </w:tc>
      </w:tr>
      <w:tr>
        <w:tc>
          <w:tcPr>
            <w:tcW w:type="dxa" w:w="7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C1</w:t>
            </w:r>
          </w:p>
        </w:tc>
        <w:tc>
          <w:tcPr>
            <w:tcW w:type="dxa" w:w="2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Requirements volatility</w:t>
            </w:r>
          </w:p>
        </w:tc>
        <w:tc>
          <w:tcPr>
            <w:tcW w:type="dxa" w:w="7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8</w:t>
            </w:r>
          </w:p>
        </w:tc>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2</w:t>
            </w:r>
          </w:p>
        </w:tc>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4</w:t>
            </w:r>
          </w:p>
        </w:tc>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5</w:t>
            </w:r>
          </w:p>
        </w:tc>
        <w:tc>
          <w:tcPr>
            <w:tcW w:type="dxa" w:w="1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4</w:t>
            </w:r>
          </w:p>
        </w:tc>
        <w:tc>
          <w:tcPr>
            <w:tcW w:type="dxa" w:w="1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2</w:t>
            </w:r>
          </w:p>
        </w:tc>
        <w:tc>
          <w:tcPr>
            <w:tcW w:type="dxa" w:w="15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3</w:t>
            </w:r>
          </w:p>
        </w:tc>
        <w:tc>
          <w:tcPr>
            <w:tcW w:type="dxa" w:w="1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5</w:t>
            </w:r>
          </w:p>
        </w:tc>
      </w:tr>
      <w:tr>
        <w:tc>
          <w:tcPr>
            <w:tcW w:type="dxa" w:w="7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C2</w:t>
            </w:r>
          </w:p>
        </w:tc>
        <w:tc>
          <w:tcPr>
            <w:tcW w:type="dxa" w:w="20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Project size</w:t>
            </w:r>
          </w:p>
        </w:tc>
        <w:tc>
          <w:tcPr>
            <w:tcW w:type="dxa" w:w="7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8</w:t>
            </w:r>
          </w:p>
        </w:tc>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4</w:t>
            </w:r>
          </w:p>
        </w:tc>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5</w:t>
            </w:r>
          </w:p>
        </w:tc>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2</w:t>
            </w:r>
          </w:p>
        </w:tc>
        <w:tc>
          <w:tcPr>
            <w:tcW w:type="dxa" w:w="10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4</w:t>
            </w:r>
          </w:p>
        </w:tc>
        <w:tc>
          <w:tcPr>
            <w:tcW w:type="dxa" w:w="10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4</w:t>
            </w:r>
          </w:p>
        </w:tc>
        <w:tc>
          <w:tcPr>
            <w:tcW w:type="dxa" w:w="15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4</w:t>
            </w:r>
          </w:p>
        </w:tc>
        <w:tc>
          <w:tcPr>
            <w:tcW w:type="dxa" w:w="10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3</w:t>
            </w:r>
          </w:p>
        </w:tc>
      </w:tr>
      <w:tr>
        <w:tc>
          <w:tcPr>
            <w:tcW w:type="dxa" w:w="7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C3</w:t>
            </w:r>
          </w:p>
        </w:tc>
        <w:tc>
          <w:tcPr>
            <w:tcW w:type="dxa" w:w="2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Team distribution</w:t>
            </w:r>
          </w:p>
        </w:tc>
        <w:tc>
          <w:tcPr>
            <w:tcW w:type="dxa" w:w="7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4</w:t>
            </w:r>
          </w:p>
        </w:tc>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4</w:t>
            </w:r>
          </w:p>
        </w:tc>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4</w:t>
            </w:r>
          </w:p>
        </w:tc>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3</w:t>
            </w:r>
          </w:p>
        </w:tc>
        <w:tc>
          <w:tcPr>
            <w:tcW w:type="dxa" w:w="1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3</w:t>
            </w:r>
          </w:p>
        </w:tc>
        <w:tc>
          <w:tcPr>
            <w:tcW w:type="dxa" w:w="1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4</w:t>
            </w:r>
          </w:p>
        </w:tc>
        <w:tc>
          <w:tcPr>
            <w:tcW w:type="dxa" w:w="15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5</w:t>
            </w:r>
          </w:p>
        </w:tc>
        <w:tc>
          <w:tcPr>
            <w:tcW w:type="dxa" w:w="1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3</w:t>
            </w:r>
          </w:p>
        </w:tc>
      </w:tr>
      <w:tr>
        <w:tc>
          <w:tcPr>
            <w:tcW w:type="dxa" w:w="7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C4</w:t>
            </w:r>
          </w:p>
        </w:tc>
        <w:tc>
          <w:tcPr>
            <w:tcW w:type="dxa" w:w="20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Risk exposure</w:t>
            </w:r>
          </w:p>
        </w:tc>
        <w:tc>
          <w:tcPr>
            <w:tcW w:type="dxa" w:w="7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14</w:t>
            </w:r>
          </w:p>
        </w:tc>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2</w:t>
            </w:r>
          </w:p>
        </w:tc>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3</w:t>
            </w:r>
          </w:p>
        </w:tc>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3</w:t>
            </w:r>
          </w:p>
        </w:tc>
        <w:tc>
          <w:tcPr>
            <w:tcW w:type="dxa" w:w="10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5</w:t>
            </w:r>
          </w:p>
        </w:tc>
        <w:tc>
          <w:tcPr>
            <w:tcW w:type="dxa" w:w="10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4</w:t>
            </w:r>
          </w:p>
        </w:tc>
        <w:tc>
          <w:tcPr>
            <w:tcW w:type="dxa" w:w="15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3</w:t>
            </w:r>
          </w:p>
        </w:tc>
        <w:tc>
          <w:tcPr>
            <w:tcW w:type="dxa" w:w="10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3</w:t>
            </w:r>
          </w:p>
        </w:tc>
      </w:tr>
      <w:tr>
        <w:tc>
          <w:tcPr>
            <w:tcW w:type="dxa" w:w="7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C5</w:t>
            </w:r>
          </w:p>
        </w:tc>
        <w:tc>
          <w:tcPr>
            <w:tcW w:type="dxa" w:w="2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Regulatory burden</w:t>
            </w:r>
          </w:p>
        </w:tc>
        <w:tc>
          <w:tcPr>
            <w:tcW w:type="dxa" w:w="7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14</w:t>
            </w:r>
          </w:p>
        </w:tc>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4</w:t>
            </w:r>
          </w:p>
        </w:tc>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3</w:t>
            </w:r>
          </w:p>
        </w:tc>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2</w:t>
            </w:r>
          </w:p>
        </w:tc>
        <w:tc>
          <w:tcPr>
            <w:tcW w:type="dxa" w:w="1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3</w:t>
            </w:r>
          </w:p>
        </w:tc>
        <w:tc>
          <w:tcPr>
            <w:tcW w:type="dxa" w:w="1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5</w:t>
            </w:r>
          </w:p>
        </w:tc>
        <w:tc>
          <w:tcPr>
            <w:tcW w:type="dxa" w:w="15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3</w:t>
            </w:r>
          </w:p>
        </w:tc>
        <w:tc>
          <w:tcPr>
            <w:tcW w:type="dxa" w:w="1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2</w:t>
            </w:r>
          </w:p>
        </w:tc>
      </w:tr>
      <w:tr>
        <w:tc>
          <w:tcPr>
            <w:tcW w:type="dxa" w:w="7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C6</w:t>
            </w:r>
          </w:p>
        </w:tc>
        <w:tc>
          <w:tcPr>
            <w:tcW w:type="dxa" w:w="20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Customer availability</w:t>
            </w:r>
          </w:p>
        </w:tc>
        <w:tc>
          <w:tcPr>
            <w:tcW w:type="dxa" w:w="7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6</w:t>
            </w:r>
          </w:p>
        </w:tc>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4</w:t>
            </w:r>
          </w:p>
        </w:tc>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3</w:t>
            </w:r>
          </w:p>
        </w:tc>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2</w:t>
            </w:r>
          </w:p>
        </w:tc>
        <w:tc>
          <w:tcPr>
            <w:tcW w:type="dxa" w:w="10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4</w:t>
            </w:r>
          </w:p>
        </w:tc>
        <w:tc>
          <w:tcPr>
            <w:tcW w:type="dxa" w:w="10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4</w:t>
            </w:r>
          </w:p>
        </w:tc>
        <w:tc>
          <w:tcPr>
            <w:tcW w:type="dxa" w:w="15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4</w:t>
            </w:r>
          </w:p>
        </w:tc>
        <w:tc>
          <w:tcPr>
            <w:tcW w:type="dxa" w:w="10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2</w:t>
            </w:r>
          </w:p>
        </w:tc>
      </w:tr>
      <w:tr>
        <w:tc>
          <w:tcPr>
            <w:tcW w:type="dxa" w:w="7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C7</w:t>
            </w:r>
          </w:p>
        </w:tc>
        <w:tc>
          <w:tcPr>
            <w:tcW w:type="dxa" w:w="2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Contract type</w:t>
            </w:r>
          </w:p>
        </w:tc>
        <w:tc>
          <w:tcPr>
            <w:tcW w:type="dxa" w:w="7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4</w:t>
            </w:r>
          </w:p>
        </w:tc>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5</w:t>
            </w:r>
          </w:p>
        </w:tc>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4</w:t>
            </w:r>
          </w:p>
        </w:tc>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2</w:t>
            </w:r>
          </w:p>
        </w:tc>
        <w:tc>
          <w:tcPr>
            <w:tcW w:type="dxa" w:w="1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3</w:t>
            </w:r>
          </w:p>
        </w:tc>
        <w:tc>
          <w:tcPr>
            <w:tcW w:type="dxa" w:w="1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5</w:t>
            </w:r>
          </w:p>
        </w:tc>
        <w:tc>
          <w:tcPr>
            <w:tcW w:type="dxa" w:w="15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4</w:t>
            </w:r>
          </w:p>
        </w:tc>
        <w:tc>
          <w:tcPr>
            <w:tcW w:type="dxa" w:w="1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2</w:t>
            </w:r>
          </w:p>
        </w:tc>
      </w:tr>
      <w:tr>
        <w:tc>
          <w:tcPr>
            <w:tcW w:type="dxa" w:w="7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C8</w:t>
            </w:r>
          </w:p>
        </w:tc>
        <w:tc>
          <w:tcPr>
            <w:tcW w:type="dxa" w:w="20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Delivery urgency</w:t>
            </w:r>
          </w:p>
        </w:tc>
        <w:tc>
          <w:tcPr>
            <w:tcW w:type="dxa" w:w="7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8</w:t>
            </w:r>
          </w:p>
        </w:tc>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2</w:t>
            </w:r>
          </w:p>
        </w:tc>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4</w:t>
            </w:r>
          </w:p>
        </w:tc>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3</w:t>
            </w:r>
          </w:p>
        </w:tc>
        <w:tc>
          <w:tcPr>
            <w:tcW w:type="dxa" w:w="10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3</w:t>
            </w:r>
          </w:p>
        </w:tc>
        <w:tc>
          <w:tcPr>
            <w:tcW w:type="dxa" w:w="10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2</w:t>
            </w:r>
          </w:p>
        </w:tc>
        <w:tc>
          <w:tcPr>
            <w:tcW w:type="dxa" w:w="15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4</w:t>
            </w:r>
          </w:p>
        </w:tc>
        <w:tc>
          <w:tcPr>
            <w:tcW w:type="dxa" w:w="10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4</w:t>
            </w:r>
          </w:p>
        </w:tc>
      </w:tr>
      <w:tr>
        <w:tc>
          <w:tcPr>
            <w:tcW w:type="dxa" w:w="7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C9</w:t>
            </w:r>
          </w:p>
        </w:tc>
        <w:tc>
          <w:tcPr>
            <w:tcW w:type="dxa" w:w="2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Defect tolerance</w:t>
            </w:r>
          </w:p>
        </w:tc>
        <w:tc>
          <w:tcPr>
            <w:tcW w:type="dxa" w:w="7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14</w:t>
            </w:r>
          </w:p>
        </w:tc>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3</w:t>
            </w:r>
          </w:p>
        </w:tc>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4</w:t>
            </w:r>
          </w:p>
        </w:tc>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2</w:t>
            </w:r>
          </w:p>
        </w:tc>
        <w:tc>
          <w:tcPr>
            <w:tcW w:type="dxa" w:w="1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3</w:t>
            </w:r>
          </w:p>
        </w:tc>
        <w:tc>
          <w:tcPr>
            <w:tcW w:type="dxa" w:w="1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5</w:t>
            </w:r>
          </w:p>
        </w:tc>
        <w:tc>
          <w:tcPr>
            <w:tcW w:type="dxa" w:w="15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3</w:t>
            </w:r>
          </w:p>
        </w:tc>
        <w:tc>
          <w:tcPr>
            <w:tcW w:type="dxa" w:w="1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3</w:t>
            </w:r>
          </w:p>
        </w:tc>
      </w:tr>
      <w:tr>
        <w:tc>
          <w:tcPr>
            <w:tcW w:type="dxa" w:w="7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C10</w:t>
            </w:r>
          </w:p>
        </w:tc>
        <w:tc>
          <w:tcPr>
            <w:tcW w:type="dxa" w:w="20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Security &amp; fraud-resistance</w:t>
            </w:r>
          </w:p>
        </w:tc>
        <w:tc>
          <w:tcPr>
            <w:tcW w:type="dxa" w:w="7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12</w:t>
            </w:r>
          </w:p>
        </w:tc>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3</w:t>
            </w:r>
          </w:p>
        </w:tc>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3</w:t>
            </w:r>
          </w:p>
        </w:tc>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2</w:t>
            </w:r>
          </w:p>
        </w:tc>
        <w:tc>
          <w:tcPr>
            <w:tcW w:type="dxa" w:w="10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4</w:t>
            </w:r>
          </w:p>
        </w:tc>
        <w:tc>
          <w:tcPr>
            <w:tcW w:type="dxa" w:w="10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4</w:t>
            </w:r>
          </w:p>
        </w:tc>
        <w:tc>
          <w:tcPr>
            <w:tcW w:type="dxa" w:w="15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3</w:t>
            </w:r>
          </w:p>
        </w:tc>
        <w:tc>
          <w:tcPr>
            <w:tcW w:type="dxa" w:w="10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2</w:t>
            </w:r>
          </w:p>
        </w:tc>
      </w:tr>
      <w:tr>
        <w:tc>
          <w:tcPr>
            <w:tcW w:type="dxa" w:w="7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C11</w:t>
            </w:r>
          </w:p>
        </w:tc>
        <w:tc>
          <w:tcPr>
            <w:tcW w:type="dxa" w:w="2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Auditability &amp; traceability</w:t>
            </w:r>
          </w:p>
        </w:tc>
        <w:tc>
          <w:tcPr>
            <w:tcW w:type="dxa" w:w="7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8</w:t>
            </w:r>
          </w:p>
        </w:tc>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4</w:t>
            </w:r>
          </w:p>
        </w:tc>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3</w:t>
            </w:r>
          </w:p>
        </w:tc>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2</w:t>
            </w:r>
          </w:p>
        </w:tc>
        <w:tc>
          <w:tcPr>
            <w:tcW w:type="dxa" w:w="1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3</w:t>
            </w:r>
          </w:p>
        </w:tc>
        <w:tc>
          <w:tcPr>
            <w:tcW w:type="dxa" w:w="1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5</w:t>
            </w:r>
          </w:p>
        </w:tc>
        <w:tc>
          <w:tcPr>
            <w:tcW w:type="dxa" w:w="15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3</w:t>
            </w:r>
          </w:p>
        </w:tc>
        <w:tc>
          <w:tcPr>
            <w:tcW w:type="dxa" w:w="1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2</w:t>
            </w:r>
          </w:p>
        </w:tc>
      </w:tr>
      <w:tr>
        <w:tc>
          <w:tcPr>
            <w:tcW w:type="dxa" w:w="7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
            </w:r>
          </w:p>
        </w:tc>
        <w:tc>
          <w:tcPr>
            <w:tcW w:type="dxa" w:w="20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Weighted Total (/5)</w:t>
            </w:r>
          </w:p>
        </w:tc>
        <w:tc>
          <w:tcPr>
            <w:tcW w:type="dxa" w:w="7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
            </w:r>
          </w:p>
        </w:tc>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3.18</w:t>
            </w:r>
          </w:p>
        </w:tc>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3.54</w:t>
            </w:r>
          </w:p>
        </w:tc>
        <w:tc>
          <w:tcPr>
            <w:tcW w:type="dxa" w:w="13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2.50</w:t>
            </w:r>
          </w:p>
        </w:tc>
        <w:tc>
          <w:tcPr>
            <w:tcW w:type="dxa" w:w="10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3.62</w:t>
            </w:r>
          </w:p>
        </w:tc>
        <w:tc>
          <w:tcPr>
            <w:tcW w:type="dxa" w:w="10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4.08</w:t>
            </w:r>
          </w:p>
        </w:tc>
        <w:tc>
          <w:tcPr>
            <w:tcW w:type="dxa" w:w="15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3.34</w:t>
            </w:r>
          </w:p>
        </w:tc>
        <w:tc>
          <w:tcPr>
            <w:tcW w:type="dxa" w:w="10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2.80</w:t>
            </w:r>
          </w:p>
        </w:tc>
      </w:tr>
      <w:tr>
        <w:tc>
          <w:tcPr>
            <w:tcW w:type="dxa" w:w="7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
            </w:r>
          </w:p>
        </w:tc>
        <w:tc>
          <w:tcPr>
            <w:tcW w:type="dxa" w:w="2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Normalized Fit (%)</w:t>
            </w:r>
          </w:p>
        </w:tc>
        <w:tc>
          <w:tcPr>
            <w:tcW w:type="dxa" w:w="7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
            </w:r>
          </w:p>
        </w:tc>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63.6%</w:t>
            </w:r>
          </w:p>
        </w:tc>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70.8%</w:t>
            </w:r>
          </w:p>
        </w:tc>
        <w:tc>
          <w:tcPr>
            <w:tcW w:type="dxa" w:w="13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50.0%</w:t>
            </w:r>
          </w:p>
        </w:tc>
        <w:tc>
          <w:tcPr>
            <w:tcW w:type="dxa" w:w="1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72.4%</w:t>
            </w:r>
          </w:p>
        </w:tc>
        <w:tc>
          <w:tcPr>
            <w:tcW w:type="dxa" w:w="1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81.6%</w:t>
            </w:r>
          </w:p>
        </w:tc>
        <w:tc>
          <w:tcPr>
            <w:tcW w:type="dxa" w:w="15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66.8%</w:t>
            </w:r>
          </w:p>
        </w:tc>
        <w:tc>
          <w:tcPr>
            <w:tcW w:type="dxa" w:w="1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56.0%</w:t>
            </w:r>
          </w:p>
        </w:tc>
      </w:tr>
    </w:tbl>
    <w:p>
      <w:pPr>
        <w:spacing w:before="150"/>
      </w:pPr>
      <w:r>
        <w:rPr>
          <w:b/>
          <w:bCs/>
          <w:sz w:val="18"/>
          <w:szCs w:val="18"/>
        </w:rPr>
        <w:t xml:space="preserve">Key scoring rationale: </w:t>
      </w:r>
      <w:r>
        <w:rPr>
          <w:sz w:val="18"/>
          <w:szCs w:val="18"/>
        </w:rPr>
        <w:t xml:space="preserve">V-Model leads on Regulatory burden, Defect tolerance and Auditability (its per-phase verification-to-test mapping is the strongest of all seven models); Spiral leads on Risk exposure and Security due to its explicit risk-driven cycles; Prototyping and Scrum trail on regulatory documentation and fixed-scope/low-engagement fit, despite excelling at handling requirements volatility.</w:t>
      </w:r>
    </w:p>
    <w:p>
      <w:pPr>
        <w:sectPr>
          <w:pgSz w:w="15840" w:h="12240" w:orient="portrait"/>
          <w:pgMar w:top="900" w:right="900" w:bottom="900" w:left="900" w:header="708" w:footer="708" w:gutter="0"/>
          <w:pgNumType/>
          <w:docGrid w:linePitch="360"/>
        </w:sectPr>
      </w:pPr>
    </w:p>
    <w:p>
      <w:pPr>
        <w:pStyle w:val="Heading1"/>
        <w:spacing w:after="150" w:before="300"/>
      </w:pPr>
      <w:r>
        <w:t xml:space="preserve">6. M5 — Ranking and Recommendation</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200"/>
        <w:gridCol w:w="6200"/>
      </w:tblGrid>
      <w:tr>
        <w:trPr>
          <w:tblHeader/>
        </w:trPr>
        <w:tc>
          <w:tcPr>
            <w:tcW w:type="dxa" w:w="7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Rank</w:t>
            </w:r>
          </w:p>
        </w:tc>
        <w:tc>
          <w:tcPr>
            <w:tcW w:type="dxa" w:w="19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SDLC Model</w:t>
            </w:r>
          </w:p>
        </w:tc>
        <w:tc>
          <w:tcPr>
            <w:tcW w:type="dxa" w:w="22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Weighted Score</w:t>
            </w:r>
          </w:p>
        </w:tc>
        <w:tc>
          <w:tcPr>
            <w:tcW w:type="dxa" w:w="62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Reason</w:t>
            </w:r>
          </w:p>
        </w:tc>
      </w:tr>
      <w:tr>
        <w:tc>
          <w:tcPr>
            <w:tcW w:type="dxa" w:w="700"/>
            <w:tcBorders>
              <w:top w:val="single" w:color="BFBFBF" w:sz="2"/>
              <w:left w:val="single" w:color="BFBFBF" w:sz="2"/>
              <w:bottom w:val="single" w:color="BFBFBF" w:sz="2"/>
              <w:right w:val="single" w:color="BFBFBF" w:sz="2"/>
            </w:tcBorders>
            <w:shd w:fill="C6EFCE" w:val="clear"/>
            <w:vAlign w:val="center"/>
          </w:tcPr>
          <w:p>
            <w:pPr>
              <w:jc w:val="left"/>
            </w:pPr>
            <w:r>
              <w:rPr>
                <w:b/>
                <w:bCs/>
                <w:color w:val="000000"/>
                <w:sz w:val="18"/>
                <w:szCs w:val="18"/>
              </w:rPr>
              <w:t xml:space="preserve">1</w:t>
            </w:r>
          </w:p>
        </w:tc>
        <w:tc>
          <w:tcPr>
            <w:tcW w:type="dxa" w:w="1900"/>
            <w:tcBorders>
              <w:top w:val="single" w:color="BFBFBF" w:sz="2"/>
              <w:left w:val="single" w:color="BFBFBF" w:sz="2"/>
              <w:bottom w:val="single" w:color="BFBFBF" w:sz="2"/>
              <w:right w:val="single" w:color="BFBFBF" w:sz="2"/>
            </w:tcBorders>
            <w:shd w:fill="C6EFCE" w:val="clear"/>
            <w:vAlign w:val="center"/>
          </w:tcPr>
          <w:p>
            <w:pPr>
              <w:jc w:val="left"/>
            </w:pPr>
            <w:r>
              <w:rPr>
                <w:b/>
                <w:bCs/>
                <w:color w:val="000000"/>
                <w:sz w:val="18"/>
                <w:szCs w:val="18"/>
              </w:rPr>
              <w:t xml:space="preserve">V-Model</w:t>
            </w:r>
          </w:p>
        </w:tc>
        <w:tc>
          <w:tcPr>
            <w:tcW w:type="dxa" w:w="2200"/>
            <w:tcBorders>
              <w:top w:val="single" w:color="BFBFBF" w:sz="2"/>
              <w:left w:val="single" w:color="BFBFBF" w:sz="2"/>
              <w:bottom w:val="single" w:color="BFBFBF" w:sz="2"/>
              <w:right w:val="single" w:color="BFBFBF" w:sz="2"/>
            </w:tcBorders>
            <w:shd w:fill="C6EFCE" w:val="clear"/>
            <w:vAlign w:val="center"/>
          </w:tcPr>
          <w:p>
            <w:pPr>
              <w:jc w:val="left"/>
            </w:pPr>
            <w:r>
              <w:rPr>
                <w:b/>
                <w:bCs/>
                <w:color w:val="000000"/>
                <w:sz w:val="18"/>
                <w:szCs w:val="18"/>
              </w:rPr>
              <w:t xml:space="preserve">4.08 / 5 (81.6%)</w:t>
            </w:r>
          </w:p>
        </w:tc>
        <w:tc>
          <w:tcPr>
            <w:tcW w:type="dxa" w:w="6200"/>
            <w:tcBorders>
              <w:top w:val="single" w:color="BFBFBF" w:sz="2"/>
              <w:left w:val="single" w:color="BFBFBF" w:sz="2"/>
              <w:bottom w:val="single" w:color="BFBFBF" w:sz="2"/>
              <w:right w:val="single" w:color="BFBFBF" w:sz="2"/>
            </w:tcBorders>
            <w:shd w:fill="C6EFCE" w:val="clear"/>
            <w:vAlign w:val="center"/>
          </w:tcPr>
          <w:p>
            <w:pPr>
              <w:jc w:val="left"/>
            </w:pPr>
            <w:r>
              <w:rPr>
                <w:b/>
                <w:bCs/>
                <w:color w:val="000000"/>
                <w:sz w:val="18"/>
                <w:szCs w:val="18"/>
              </w:rPr>
              <w:t xml:space="preserve">Best-in-class regulatory traceability, verification-validation rigour and defect control for a low-defect-tolerance, compliance-heavy financial system.</w:t>
            </w:r>
          </w:p>
        </w:tc>
      </w:tr>
      <w:tr>
        <w:tc>
          <w:tcPr>
            <w:tcW w:type="dxa" w:w="7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2</w:t>
            </w:r>
          </w:p>
        </w:tc>
        <w:tc>
          <w:tcPr>
            <w:tcW w:type="dxa" w:w="19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Spiral</w:t>
            </w:r>
          </w:p>
        </w:tc>
        <w:tc>
          <w:tcPr>
            <w:tcW w:type="dxa" w:w="22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3.62 / 5 (72.4%)</w:t>
            </w:r>
          </w:p>
        </w:tc>
        <w:tc>
          <w:tcPr>
            <w:tcW w:type="dxa" w:w="62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Strong explicit risk management (highest score on Risk exposure) but weaker built-in audit traceability than V-Model.</w:t>
            </w:r>
          </w:p>
        </w:tc>
      </w:tr>
      <w:tr>
        <w:tc>
          <w:tcPr>
            <w:tcW w:type="dxa" w:w="7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3</w:t>
            </w:r>
          </w:p>
        </w:tc>
        <w:tc>
          <w:tcPr>
            <w:tcW w:type="dxa" w:w="19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Incremental</w:t>
            </w:r>
          </w:p>
        </w:tc>
        <w:tc>
          <w:tcPr>
            <w:tcW w:type="dxa" w:w="22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3.54 / 5 (70.8%)</w:t>
            </w:r>
          </w:p>
        </w:tc>
        <w:tc>
          <w:tcPr>
            <w:tcW w:type="dxa" w:w="62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Good fit for phased delivery of modules and moderate volatility, but lighter formal verification than V-Model.</w:t>
            </w:r>
          </w:p>
        </w:tc>
      </w:tr>
      <w:tr>
        <w:tc>
          <w:tcPr>
            <w:tcW w:type="dxa" w:w="7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4</w:t>
            </w:r>
          </w:p>
        </w:tc>
        <w:tc>
          <w:tcPr>
            <w:tcW w:type="dxa" w:w="19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Component-Based</w:t>
            </w:r>
          </w:p>
        </w:tc>
        <w:tc>
          <w:tcPr>
            <w:tcW w:type="dxa" w:w="22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3.34 / 5 (66.8%)</w:t>
            </w:r>
          </w:p>
        </w:tc>
        <w:tc>
          <w:tcPr>
            <w:tcW w:type="dxa" w:w="62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Reuse speeds delivery and eases team distribution, but component security/compliance maturity is variable.</w:t>
            </w:r>
          </w:p>
        </w:tc>
      </w:tr>
      <w:tr>
        <w:tc>
          <w:tcPr>
            <w:tcW w:type="dxa" w:w="7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5</w:t>
            </w:r>
          </w:p>
        </w:tc>
        <w:tc>
          <w:tcPr>
            <w:tcW w:type="dxa" w:w="19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Waterfall</w:t>
            </w:r>
          </w:p>
        </w:tc>
        <w:tc>
          <w:tcPr>
            <w:tcW w:type="dxa" w:w="22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3.18 / 5 (63.6%)</w:t>
            </w:r>
          </w:p>
        </w:tc>
        <w:tc>
          <w:tcPr>
            <w:tcW w:type="dxa" w:w="62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Documentation and fixed-scope fit are reasonable, but no formal risk step and slow first release.</w:t>
            </w:r>
          </w:p>
        </w:tc>
      </w:tr>
      <w:tr>
        <w:tc>
          <w:tcPr>
            <w:tcW w:type="dxa" w:w="7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6</w:t>
            </w:r>
          </w:p>
        </w:tc>
        <w:tc>
          <w:tcPr>
            <w:tcW w:type="dxa" w:w="19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Scrum</w:t>
            </w:r>
          </w:p>
        </w:tc>
        <w:tc>
          <w:tcPr>
            <w:tcW w:type="dxa" w:w="22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2.80 / 5 (56.0%)</w:t>
            </w:r>
          </w:p>
        </w:tc>
        <w:tc>
          <w:tcPr>
            <w:tcW w:type="dxa" w:w="62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Highly adaptive but weak on regulatory documentation, fixed-scope funding and infrequent-customer-availability fit.</w:t>
            </w:r>
          </w:p>
        </w:tc>
      </w:tr>
      <w:tr>
        <w:tc>
          <w:tcPr>
            <w:tcW w:type="dxa" w:w="7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7</w:t>
            </w:r>
          </w:p>
        </w:tc>
        <w:tc>
          <w:tcPr>
            <w:tcW w:type="dxa" w:w="19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Prototyping</w:t>
            </w:r>
          </w:p>
        </w:tc>
        <w:tc>
          <w:tcPr>
            <w:tcW w:type="dxa" w:w="22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2.50 / 5 (50.0%)</w:t>
            </w:r>
          </w:p>
        </w:tc>
        <w:tc>
          <w:tcPr>
            <w:tcW w:type="dxa" w:w="62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Excellent for clarifying requirements but weakest on defect control, regulatory documentation and fixed-scope delivery.</w:t>
            </w:r>
          </w:p>
        </w:tc>
      </w:tr>
    </w:tbl>
    <w:p>
      <w:pPr>
        <w:spacing w:before="150"/>
      </w:pPr>
      <w:r>
        <w:rPr>
          <w:b/>
          <w:bCs/>
        </w:rPr>
        <w:t xml:space="preserve">Why the winner outperformed the runner-up: </w:t>
      </w:r>
      <w:r>
        <w:t xml:space="preserve">V-Model (4.08/5) beats Spiral (3.62/5) chiefly on three high-weight criteria — Regulatory burden (14%), Defect tolerance (14%) and Auditability &amp; traceability (8%) — where V-Model scores the maximum 5/5 while Spiral scores only 3/5 on each. Spiral's advantage on Risk exposure (5 vs. 4) and Security (4 vs. 4, tied) is not enough to close a 0.46-point overall gap.</w:t>
      </w:r>
    </w:p>
    <w:p>
      <w:pPr>
        <w:pStyle w:val="Heading1"/>
        <w:spacing w:after="150" w:before="300"/>
      </w:pPr>
      <w:r>
        <w:t xml:space="preserve">7. M6 — Sensitivity Analysis</w:t>
      </w:r>
    </w:p>
    <w:p>
      <w:pPr>
        <w:spacing w:after="120"/>
      </w:pPr>
      <w:r>
        <w:rPr>
          <w:b w:val="false"/>
          <w:bCs w:val="false"/>
          <w:i w:val="false"/>
          <w:iCs w:val="false"/>
          <w:sz w:val="21"/>
          <w:szCs w:val="21"/>
        </w:rPr>
        <w:t xml:space="preserve">The three most influential (highest-weight, 14% each) criteria — Risk exposure, Regulatory burden and Defect tolerance — were each perturbed by +-5 percentage points, with a paired criterion adjusted in the opposite direction so total weight remains 100%. Full live-formula scenarios: sheet 'Sensitivity_Analysis' in the accompanying workbook.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2600"/>
        <w:gridCol w:w="1200"/>
        <w:gridCol w:w="1200"/>
        <w:gridCol w:w="1000"/>
      </w:tblGrid>
      <w:tr>
        <w:trPr>
          <w:tblHeader/>
        </w:trPr>
        <w:tc>
          <w:tcPr>
            <w:tcW w:type="dxa" w:w="18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Changed Criterion</w:t>
            </w:r>
          </w:p>
        </w:tc>
        <w:tc>
          <w:tcPr>
            <w:tcW w:type="dxa" w:w="11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Original Wt.</w:t>
            </w:r>
          </w:p>
        </w:tc>
        <w:tc>
          <w:tcPr>
            <w:tcW w:type="dxa" w:w="11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New Wt.</w:t>
            </w:r>
          </w:p>
        </w:tc>
        <w:tc>
          <w:tcPr>
            <w:tcW w:type="dxa" w:w="26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Adjusted Criterion/Wt.</w:t>
            </w:r>
          </w:p>
        </w:tc>
        <w:tc>
          <w:tcPr>
            <w:tcW w:type="dxa" w:w="12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Original Winner</w:t>
            </w:r>
          </w:p>
        </w:tc>
        <w:tc>
          <w:tcPr>
            <w:tcW w:type="dxa" w:w="12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New Winner</w:t>
            </w:r>
          </w:p>
        </w:tc>
        <w:tc>
          <w:tcPr>
            <w:tcW w:type="dxa" w:w="10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Changed?</w:t>
            </w:r>
          </w:p>
        </w:tc>
      </w:tr>
      <w:tr>
        <w:tc>
          <w:tcPr>
            <w:tcW w:type="dxa" w:w="18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Risk exposure (C4)</w:t>
            </w:r>
          </w:p>
        </w:tc>
        <w:tc>
          <w:tcPr>
            <w:tcW w:type="dxa" w:w="11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14%</w:t>
            </w:r>
          </w:p>
        </w:tc>
        <w:tc>
          <w:tcPr>
            <w:tcW w:type="dxa" w:w="11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19% (+5)</w:t>
            </w:r>
          </w:p>
        </w:tc>
        <w:tc>
          <w:tcPr>
            <w:tcW w:type="dxa" w:w="26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Security &amp; fraud-resistance (C10) -&gt; 7% (-5)</w:t>
            </w:r>
          </w:p>
        </w:tc>
        <w:tc>
          <w:tcPr>
            <w:tcW w:type="dxa" w:w="12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V-Model</w:t>
            </w:r>
          </w:p>
        </w:tc>
        <w:tc>
          <w:tcPr>
            <w:tcW w:type="dxa" w:w="12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V-Model</w:t>
            </w:r>
          </w:p>
        </w:tc>
        <w:tc>
          <w:tcPr>
            <w:tcW w:type="dxa" w:w="1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No</w:t>
            </w:r>
          </w:p>
        </w:tc>
      </w:tr>
      <w:tr>
        <w:tc>
          <w:tcPr>
            <w:tcW w:type="dxa" w:w="18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Regulatory burden (C5)</w:t>
            </w:r>
          </w:p>
        </w:tc>
        <w:tc>
          <w:tcPr>
            <w:tcW w:type="dxa" w:w="11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14%</w:t>
            </w:r>
          </w:p>
        </w:tc>
        <w:tc>
          <w:tcPr>
            <w:tcW w:type="dxa" w:w="11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19% (+5)</w:t>
            </w:r>
          </w:p>
        </w:tc>
        <w:tc>
          <w:tcPr>
            <w:tcW w:type="dxa" w:w="26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Customer availability (C6) -&gt; 1% (-5)</w:t>
            </w:r>
          </w:p>
        </w:tc>
        <w:tc>
          <w:tcPr>
            <w:tcW w:type="dxa" w:w="12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V-Model</w:t>
            </w:r>
          </w:p>
        </w:tc>
        <w:tc>
          <w:tcPr>
            <w:tcW w:type="dxa" w:w="12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V-Model</w:t>
            </w:r>
          </w:p>
        </w:tc>
        <w:tc>
          <w:tcPr>
            <w:tcW w:type="dxa" w:w="10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No</w:t>
            </w:r>
          </w:p>
        </w:tc>
      </w:tr>
      <w:tr>
        <w:tc>
          <w:tcPr>
            <w:tcW w:type="dxa" w:w="18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Defect tolerance (C9) [adverse test]</w:t>
            </w:r>
          </w:p>
        </w:tc>
        <w:tc>
          <w:tcPr>
            <w:tcW w:type="dxa" w:w="11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14%</w:t>
            </w:r>
          </w:p>
        </w:tc>
        <w:tc>
          <w:tcPr>
            <w:tcW w:type="dxa" w:w="11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9% (-5)</w:t>
            </w:r>
          </w:p>
        </w:tc>
        <w:tc>
          <w:tcPr>
            <w:tcW w:type="dxa" w:w="26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Requirements volatility (C1) -&gt; 13% (+5)</w:t>
            </w:r>
          </w:p>
        </w:tc>
        <w:tc>
          <w:tcPr>
            <w:tcW w:type="dxa" w:w="12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V-Model</w:t>
            </w:r>
          </w:p>
        </w:tc>
        <w:tc>
          <w:tcPr>
            <w:tcW w:type="dxa" w:w="12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V-Model</w:t>
            </w:r>
          </w:p>
        </w:tc>
        <w:tc>
          <w:tcPr>
            <w:tcW w:type="dxa" w:w="10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No</w:t>
            </w:r>
          </w:p>
        </w:tc>
      </w:tr>
    </w:tbl>
    <w:p>
      <w:pPr>
        <w:spacing w:before="150"/>
      </w:pPr>
      <w:r>
        <w:t xml:space="preserve">Conclusion: the recommendation is robust. Even the adverse test in Scenario 3 — cutting Defect tolerance (V-Model's strongest criterion) by 5 points while raising Requirements volatility (V-Model's weakest criterion) by 5 points — only narrows V-Model's lead from 0.46 to 0.26 points; it never flips the ranking. Scenario 2 (raising Regulatory burden) widens V-Model's lead to 0.56 points, reinforcing that the choice is driven by compliance and quality demands rather than a fragile, close-call score.</w:t>
      </w:r>
    </w:p>
    <w:p>
      <w:pPr>
        <w:pStyle w:val="Heading1"/>
        <w:spacing w:after="150" w:before="300"/>
      </w:pPr>
      <w:r>
        <w:t xml:space="preserve">8. M7 / D7 — One-Page Engineering Recommendation</w:t>
      </w:r>
    </w:p>
    <w:p>
      <w:pPr>
        <w:pStyle w:val="Heading2"/>
        <w:spacing w:after="100" w:before="200"/>
      </w:pPr>
      <w:r>
        <w:t xml:space="preserve">System characteristics and constraints</w:t>
      </w:r>
    </w:p>
    <w:p>
      <w:pPr>
        <w:spacing w:after="120"/>
      </w:pPr>
      <w:r>
        <w:rPr>
          <w:b w:val="false"/>
          <w:bCs w:val="false"/>
          <w:i w:val="false"/>
          <w:iCs w:val="false"/>
          <w:sz w:val="21"/>
          <w:szCs w:val="21"/>
        </w:rPr>
        <w:t xml:space="preserve">The SHG Micro-lending / Credit Management System is a medium-large, moderately volatile financial platform with high regulatory burden (RBI/NBFC-MFI, KYC-AML, NABARD), high risk exposure to vulnerable borrowers, very low defect tolerance, and high security/privacy requirements around member PII and money movement. Stakeholder availability is periodic rather than continuous, and delivery is tied to a fixed-scope, financial-year milestone.</w:t>
      </w:r>
    </w:p>
    <w:p>
      <w:pPr>
        <w:pStyle w:val="Heading2"/>
        <w:spacing w:after="100" w:before="200"/>
      </w:pPr>
      <w:r>
        <w:t xml:space="preserve">Selected SDLC model and engineering rationale</w:t>
      </w:r>
    </w:p>
    <w:p>
      <w:pPr>
        <w:spacing w:after="120"/>
      </w:pPr>
      <w:r>
        <w:rPr>
          <w:b w:val="false"/>
          <w:bCs w:val="false"/>
          <w:i w:val="false"/>
          <w:iCs w:val="false"/>
          <w:sz w:val="21"/>
          <w:szCs w:val="21"/>
        </w:rPr>
        <w:t xml:space="preserve">We recommend the V-Model. Its phase-wise structure pairs every development activity (requirements, high-level design, detailed design, module coding) with a corresponding verification/validation activity (acceptance testing, system testing, integration testing, unit testing), giving direct requirement-to-test traceability. This directly satisfies the system's dominant needs: near-zero defect tolerance in ledger/interest computation, and an audit trail that regulators (RBI/NABARD) and internal auditors can follow end to end. Because the core lending workflow is well understood and only moderately volatile, the V-Model's relative rigidity is an acceptable trade-off rather than a liability.</w:t>
      </w:r>
    </w:p>
    <w:p>
      <w:pPr>
        <w:pStyle w:val="Heading2"/>
        <w:spacing w:after="100" w:before="200"/>
      </w:pPr>
      <w:r>
        <w:t xml:space="preserve">Most influential criterion</w:t>
      </w:r>
    </w:p>
    <w:p>
      <w:pPr>
        <w:spacing w:after="120"/>
      </w:pPr>
      <w:r>
        <w:rPr>
          <w:b w:val="false"/>
          <w:bCs w:val="false"/>
          <w:i w:val="false"/>
          <w:iCs w:val="false"/>
          <w:sz w:val="21"/>
          <w:szCs w:val="21"/>
        </w:rPr>
        <w:t xml:space="preserve">Regulatory burden and Defect tolerance (14% each), reinforced by Auditability &amp; traceability (8%) — together the decisive discriminators, since V-Model scores the maximum on all three while every other model scores at most 3/5.</w:t>
      </w:r>
    </w:p>
    <w:p>
      <w:pPr>
        <w:pStyle w:val="Heading2"/>
        <w:spacing w:after="100" w:before="200"/>
      </w:pPr>
      <w:r>
        <w:t xml:space="preserve">Sensitivity result</w:t>
      </w:r>
    </w:p>
    <w:p>
      <w:pPr>
        <w:spacing w:after="120"/>
      </w:pPr>
      <w:r>
        <w:rPr>
          <w:b w:val="false"/>
          <w:bCs w:val="false"/>
          <w:i w:val="false"/>
          <w:iCs w:val="false"/>
          <w:sz w:val="21"/>
          <w:szCs w:val="21"/>
        </w:rPr>
        <w:t xml:space="preserve">The ranking is stable under all three +-5-point weight-shift scenarios tested, including an adverse test that cut V-Model's strongest criterion — confirming the recommendation is not a fragile, close-call result.</w:t>
      </w:r>
    </w:p>
    <w:p>
      <w:pPr>
        <w:shd w:fill="D9E1F2" w:val="clear"/>
        <w:spacing w:before="200"/>
      </w:pPr>
      <w:r>
        <w:rPr>
          <w:b/>
          <w:bCs/>
          <w:i/>
          <w:iCs/>
        </w:rPr>
        <w:t xml:space="preserve">Required conclusion: “We recommend the V-Model because it best satisfies the system's low defect tolerance, high regulatory burden and auditability needs while its core requirements remain relatively stable. However, if requirements volatility rises sharply (e.g., frequent changes to subsidy/interest rules) or the institution takes on greater untested-technology risk (e.g., new e-KYC/payment integrations), a Spiral or Incremental-with-V&amp;V-gates approach may become more appropriate.”</w:t>
      </w:r>
    </w:p>
    <w:p>
      <w:pPr>
        <w:pStyle w:val="Heading1"/>
        <w:spacing w:after="150" w:before="300"/>
      </w:pPr>
      <w:r>
        <w:t xml:space="preserve">9. M7 / D8 — One-Minute Oral Defence Script</w:t>
      </w:r>
    </w:p>
    <w:p>
      <w:pPr>
        <w:pStyle w:val="ListParagraph"/>
        <w:numPr>
          <w:ilvl w:val="0"/>
          <w:numId w:val="1"/>
        </w:numPr>
        <w:spacing w:after="60"/>
      </w:pPr>
      <w:r>
        <w:t xml:space="preserve">0:00-0:20 — System &amp; constraints: "Our system is a Micro-lending/SHG Credit Management platform with high regulatory burden, high risk to vulnerable borrowers, and very low defect tolerance, but only moderately volatile, well-understood requirements."</w:t>
      </w:r>
    </w:p>
    <w:p>
      <w:pPr>
        <w:pStyle w:val="ListParagraph"/>
        <w:numPr>
          <w:ilvl w:val="0"/>
          <w:numId w:val="1"/>
        </w:numPr>
        <w:spacing w:after="60"/>
      </w:pPr>
      <w:r>
        <w:t xml:space="preserve">0:20-0:40 — Selected model &amp; rationale: "We recommend the V-Model because its requirement-to-test traceability and per-phase verification directly satisfy our compliance, audit and near-zero-defect needs, scoring 4.08/5 against Spiral's 3.62/5."</w:t>
      </w:r>
    </w:p>
    <w:p>
      <w:pPr>
        <w:pStyle w:val="ListParagraph"/>
        <w:numPr>
          <w:ilvl w:val="0"/>
          <w:numId w:val="1"/>
        </w:numPr>
        <w:spacing w:after="60"/>
      </w:pPr>
      <w:r>
        <w:t xml:space="preserve">0:40-0:50 — Most influential criterion: "Regulatory burden and Defect tolerance, each weighted 14%, are the decisive discriminators — V-Model scores 5/5 on both."</w:t>
      </w:r>
    </w:p>
    <w:p>
      <w:pPr>
        <w:pStyle w:val="ListParagraph"/>
        <w:numPr>
          <w:ilvl w:val="0"/>
          <w:numId w:val="1"/>
        </w:numPr>
        <w:spacing w:after="60"/>
      </w:pPr>
      <w:r>
        <w:t xml:space="preserve">0:50-1:00 — Sensitivity result: "The ranking held under all three +-5-point sensitivity scenarios, including an adverse test on our own strongest criterion — so the recommendation is robust, not a close call."</w:t>
      </w:r>
    </w:p>
    <w:p>
      <w:pPr>
        <w:pStyle w:val="Heading1"/>
        <w:spacing w:after="150" w:before="300"/>
      </w:pPr>
      <w:r>
        <w:t xml:space="preserve">10. Final Deliverables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Deliverable</w:t>
            </w:r>
          </w:p>
        </w:tc>
        <w:tc>
          <w:tcPr>
            <w:tcW w:type="dxa" w:w="6600"/>
            <w:tcBorders>
              <w:top w:val="single" w:color="BFBFBF" w:sz="2"/>
              <w:left w:val="single" w:color="BFBFBF" w:sz="2"/>
              <w:bottom w:val="single" w:color="BFBFBF" w:sz="2"/>
              <w:right w:val="single" w:color="BFBFBF" w:sz="2"/>
            </w:tcBorders>
            <w:shd w:fill="1F4E78" w:val="clear"/>
            <w:vAlign w:val="center"/>
          </w:tcPr>
          <w:p>
            <w:pPr>
              <w:jc w:val="center"/>
            </w:pPr>
            <w:r>
              <w:rPr>
                <w:b/>
                <w:bCs/>
                <w:color w:val="FFFFFF"/>
                <w:sz w:val="18"/>
                <w:szCs w:val="18"/>
              </w:rPr>
              <w:t xml:space="preserve">Covered in this report / workbook</w:t>
            </w:r>
          </w:p>
        </w:tc>
      </w:tr>
      <w:tr>
        <w:tc>
          <w:tcPr>
            <w:tcW w:type="dxa" w:w="24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D1 System Profile</w:t>
            </w:r>
          </w:p>
        </w:tc>
        <w:tc>
          <w:tcPr>
            <w:tcW w:type="dxa" w:w="66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Section 2 of this report (M1).</w:t>
            </w:r>
          </w:p>
        </w:tc>
      </w:tr>
      <w:tr>
        <w:tc>
          <w:tcPr>
            <w:tcW w:type="dxa" w:w="24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D2 Criteria Set</w:t>
            </w:r>
          </w:p>
        </w:tc>
        <w:tc>
          <w:tcPr>
            <w:tcW w:type="dxa" w:w="66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Section 3 of this report (M2) — 9 base + 2 justified additions.</w:t>
            </w:r>
          </w:p>
        </w:tc>
      </w:tr>
      <w:tr>
        <w:tc>
          <w:tcPr>
            <w:tcW w:type="dxa" w:w="24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D3 Weighted Criteria Table</w:t>
            </w:r>
          </w:p>
        </w:tc>
        <w:tc>
          <w:tcPr>
            <w:tcW w:type="dxa" w:w="66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Section 4 of this report (M3); live source in 'Criteria_Weights' sheet.</w:t>
            </w:r>
          </w:p>
        </w:tc>
      </w:tr>
      <w:tr>
        <w:tc>
          <w:tcPr>
            <w:tcW w:type="dxa" w:w="24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D4 Seven-model Decision Matrix</w:t>
            </w:r>
          </w:p>
        </w:tc>
        <w:tc>
          <w:tcPr>
            <w:tcW w:type="dxa" w:w="66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Section 5 of this report (M4); live formulas in 'Decision_Matrix' sheet.</w:t>
            </w:r>
          </w:p>
        </w:tc>
      </w:tr>
      <w:tr>
        <w:tc>
          <w:tcPr>
            <w:tcW w:type="dxa" w:w="24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D5 Final Ranking</w:t>
            </w:r>
          </w:p>
        </w:tc>
        <w:tc>
          <w:tcPr>
            <w:tcW w:type="dxa" w:w="66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Section 6 of this report (M5); live formulas in 'Ranking' sheet.</w:t>
            </w:r>
          </w:p>
        </w:tc>
      </w:tr>
      <w:tr>
        <w:tc>
          <w:tcPr>
            <w:tcW w:type="dxa" w:w="24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D6 Sensitivity Analysis</w:t>
            </w:r>
          </w:p>
        </w:tc>
        <w:tc>
          <w:tcPr>
            <w:tcW w:type="dxa" w:w="66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Section 7 of this report (M6); live formulas in 'Sensitivity_Analysis' sheet.</w:t>
            </w:r>
          </w:p>
        </w:tc>
      </w:tr>
      <w:tr>
        <w:tc>
          <w:tcPr>
            <w:tcW w:type="dxa" w:w="24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D7 One-page Engineering Recommendation</w:t>
            </w:r>
          </w:p>
        </w:tc>
        <w:tc>
          <w:tcPr>
            <w:tcW w:type="dxa" w:w="6600"/>
            <w:tcBorders>
              <w:top w:val="single" w:color="BFBFBF" w:sz="2"/>
              <w:left w:val="single" w:color="BFBFBF" w:sz="2"/>
              <w:bottom w:val="single" w:color="BFBFBF" w:sz="2"/>
              <w:right w:val="single" w:color="BFBFBF" w:sz="2"/>
            </w:tcBorders>
            <w:vAlign w:val="center"/>
          </w:tcPr>
          <w:p>
            <w:pPr>
              <w:jc w:val="left"/>
            </w:pPr>
            <w:r>
              <w:rPr>
                <w:b w:val="false"/>
                <w:bCs w:val="false"/>
                <w:color w:val="000000"/>
                <w:sz w:val="18"/>
                <w:szCs w:val="18"/>
              </w:rPr>
              <w:t xml:space="preserve">Section 8 of this report (M7).</w:t>
            </w:r>
          </w:p>
        </w:tc>
      </w:tr>
      <w:tr>
        <w:tc>
          <w:tcPr>
            <w:tcW w:type="dxa" w:w="24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D8 One-minute Oral Defence</w:t>
            </w:r>
          </w:p>
        </w:tc>
        <w:tc>
          <w:tcPr>
            <w:tcW w:type="dxa" w:w="6600"/>
            <w:tcBorders>
              <w:top w:val="single" w:color="BFBFBF" w:sz="2"/>
              <w:left w:val="single" w:color="BFBFBF" w:sz="2"/>
              <w:bottom w:val="single" w:color="BFBFBF" w:sz="2"/>
              <w:right w:val="single" w:color="BFBFBF" w:sz="2"/>
            </w:tcBorders>
            <w:shd w:fill="F2F2F2" w:val="clear"/>
            <w:vAlign w:val="center"/>
          </w:tcPr>
          <w:p>
            <w:pPr>
              <w:jc w:val="left"/>
            </w:pPr>
            <w:r>
              <w:rPr>
                <w:b w:val="false"/>
                <w:bCs w:val="false"/>
                <w:color w:val="000000"/>
                <w:sz w:val="18"/>
                <w:szCs w:val="18"/>
              </w:rPr>
              <w:t xml:space="preserve">Section 9 of this report — timed script ready for delivery.</w:t>
            </w:r>
          </w:p>
        </w:tc>
      </w:tr>
    </w:tbl>
    <w:p>
      <w:pPr>
        <w:spacing w:before="200"/>
      </w:pPr>
      <w:r>
        <w:rPr>
          <w:i/>
          <w:iCs/>
          <w:sz w:val="18"/>
          <w:szCs w:val="18"/>
        </w:rPr>
        <w:t xml:space="preserve">Submission note: commit T6_SHG_Credit_Decision_Matrix.xlsx and this report to the team's Git repository as the Lab-2 release, and upload both to Google Classroom, per the lab's submission instructions.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2026-09-02T06:00:51.891Z</dcterms:created>
  <dcterms:modified xsi:type="dcterms:W3CDTF">2026-09-02T06:00:51.901Z</dcterms:modified>
</cp:coreProperties>
</file>

<file path=docProps/custom.xml><?xml version="1.0" encoding="utf-8"?>
<Properties xmlns="http://schemas.openxmlformats.org/officeDocument/2006/custom-properties" xmlns:vt="http://schemas.openxmlformats.org/officeDocument/2006/docPropsVTypes"/>
</file>