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003D9" w14:textId="77777777" w:rsidR="00D67102" w:rsidRPr="005D1200" w:rsidRDefault="00DA6DF4" w:rsidP="00601C59">
      <w:pPr>
        <w:pStyle w:val="PrefaceHeader"/>
        <w:rPr>
          <w:lang w:val="en-GB"/>
        </w:rPr>
      </w:pPr>
      <w:bookmarkStart w:id="0" w:name="_Toc133234569"/>
      <w:r w:rsidRPr="005D1200">
        <w:rPr>
          <w:lang w:val="en-GB"/>
        </w:rPr>
        <w:t>Preface</w:t>
      </w:r>
      <w:bookmarkEnd w:id="0"/>
    </w:p>
    <w:p w14:paraId="015085A3" w14:textId="718C0DD7" w:rsidR="00DA6DF4" w:rsidRPr="005D1200" w:rsidRDefault="00DA6DF4" w:rsidP="00194FA0">
      <w:pPr>
        <w:pStyle w:val="BodyText"/>
      </w:pPr>
      <w:r w:rsidRPr="005D1200">
        <w:t xml:space="preserve">This document provides an overview of all the documentation that is available for </w:t>
      </w:r>
      <w:r w:rsidR="00B461A1">
        <w:t>Trade Innovation</w:t>
      </w:r>
      <w:r w:rsidRPr="005D1200">
        <w:t>. For more detailed information, please refer to each individual manual.</w:t>
      </w:r>
    </w:p>
    <w:p w14:paraId="5020EA7C" w14:textId="77777777" w:rsidR="00FD7CEE" w:rsidRPr="005D1200" w:rsidRDefault="00FD7CEE" w:rsidP="00194FA0">
      <w:pPr>
        <w:pStyle w:val="BodyText"/>
      </w:pPr>
    </w:p>
    <w:p w14:paraId="6113349F" w14:textId="77777777" w:rsidR="00826775" w:rsidRPr="005D1200" w:rsidRDefault="00FD7CEE" w:rsidP="00DE2F2B">
      <w:pPr>
        <w:pStyle w:val="Heading1"/>
      </w:pPr>
      <w:bookmarkStart w:id="1" w:name="_Toc411430316"/>
      <w:bookmarkStart w:id="2" w:name="_Toc431831598"/>
      <w:bookmarkStart w:id="3" w:name="_Ref57041281"/>
      <w:bookmarkStart w:id="4" w:name="_Toc133234570"/>
      <w:bookmarkStart w:id="5" w:name="_Toc332185726"/>
      <w:bookmarkStart w:id="6" w:name="_Toc332271170"/>
      <w:bookmarkStart w:id="7" w:name="_Toc320280508"/>
      <w:r w:rsidRPr="005D1200">
        <w:lastRenderedPageBreak/>
        <w:t>User Guides</w:t>
      </w:r>
      <w:bookmarkEnd w:id="1"/>
      <w:bookmarkEnd w:id="2"/>
      <w:bookmarkEnd w:id="3"/>
      <w:bookmarkEnd w:id="4"/>
    </w:p>
    <w:p w14:paraId="38D6AD7A" w14:textId="77777777" w:rsidR="00FD7CEE" w:rsidRPr="005D1200" w:rsidRDefault="00FD7CEE" w:rsidP="00194FA0">
      <w:pPr>
        <w:pStyle w:val="BodyText"/>
      </w:pPr>
      <w:r w:rsidRPr="005D1200">
        <w:t xml:space="preserve">This chapter lists the user guides provided to give instructions on using </w:t>
      </w:r>
      <w:r w:rsidR="00DB5C1B" w:rsidRPr="005D1200">
        <w:t xml:space="preserve">the system </w:t>
      </w:r>
      <w:r w:rsidRPr="005D1200">
        <w:t>to process transactions.</w:t>
      </w:r>
    </w:p>
    <w:p w14:paraId="65B4B9D4" w14:textId="3CB60655" w:rsidR="00185BA2" w:rsidRPr="005D1200" w:rsidRDefault="00185BA2" w:rsidP="00185BA2">
      <w:pPr>
        <w:pStyle w:val="Heading2"/>
      </w:pPr>
      <w:bookmarkStart w:id="8" w:name="O_27247"/>
      <w:bookmarkStart w:id="9" w:name="_Toc317690557"/>
      <w:bookmarkStart w:id="10" w:name="_Toc358282260"/>
      <w:bookmarkStart w:id="11" w:name="_Toc392589765"/>
      <w:bookmarkStart w:id="12" w:name="_Toc411430335"/>
      <w:bookmarkStart w:id="13" w:name="_Toc431831617"/>
      <w:bookmarkStart w:id="14" w:name="_Toc133234571"/>
      <w:bookmarkStart w:id="15" w:name="_Toc317690540"/>
      <w:bookmarkStart w:id="16" w:name="_Toc358282243"/>
      <w:bookmarkStart w:id="17" w:name="_Toc392589748"/>
      <w:bookmarkStart w:id="18" w:name="_Toc411430317"/>
      <w:bookmarkStart w:id="19" w:name="_Toc431831599"/>
      <w:bookmarkEnd w:id="8"/>
      <w:r w:rsidRPr="005D1200">
        <w:t>Billing</w:t>
      </w:r>
      <w:r>
        <w:t xml:space="preserve">+ </w:t>
      </w:r>
      <w:r w:rsidRPr="005D1200">
        <w:t>User Guide</w:t>
      </w:r>
      <w:bookmarkEnd w:id="9"/>
      <w:bookmarkEnd w:id="10"/>
      <w:bookmarkEnd w:id="11"/>
      <w:bookmarkEnd w:id="12"/>
      <w:bookmarkEnd w:id="13"/>
      <w:bookmarkEnd w:id="14"/>
    </w:p>
    <w:p w14:paraId="438F3C24" w14:textId="1124C53B" w:rsidR="00185BA2" w:rsidRDefault="00185BA2" w:rsidP="00185BA2">
      <w:pPr>
        <w:pStyle w:val="BodyText"/>
      </w:pPr>
      <w:r w:rsidRPr="005D1200">
        <w:t xml:space="preserve">The </w:t>
      </w:r>
      <w:r>
        <w:rPr>
          <w:rStyle w:val="Italic"/>
        </w:rPr>
        <w:t xml:space="preserve">Billing+ </w:t>
      </w:r>
      <w:r w:rsidRPr="005D1200">
        <w:rPr>
          <w:rStyle w:val="Italic"/>
        </w:rPr>
        <w:t xml:space="preserve">User Guide </w:t>
      </w:r>
      <w:r w:rsidRPr="005D1200">
        <w:t>explains how to carry out periodic billing and invoicing of charges, using the system's transaction processing application.</w:t>
      </w:r>
    </w:p>
    <w:p w14:paraId="1EC9E283" w14:textId="03648D59" w:rsidR="007E10D4" w:rsidRPr="005D1200" w:rsidRDefault="007E10D4" w:rsidP="007E10D4">
      <w:pPr>
        <w:pStyle w:val="Heading2"/>
      </w:pPr>
      <w:bookmarkStart w:id="20" w:name="_Toc133234572"/>
      <w:r w:rsidRPr="005D1200">
        <w:t>Cash Letters User Guide</w:t>
      </w:r>
      <w:bookmarkEnd w:id="20"/>
    </w:p>
    <w:p w14:paraId="4203701D" w14:textId="77777777" w:rsidR="007E10D4" w:rsidRPr="005D1200" w:rsidRDefault="007E10D4" w:rsidP="00194FA0">
      <w:pPr>
        <w:pStyle w:val="BodyText"/>
      </w:pPr>
      <w:r w:rsidRPr="005D1200">
        <w:t xml:space="preserve">The </w:t>
      </w:r>
      <w:r w:rsidRPr="005D1200">
        <w:rPr>
          <w:rStyle w:val="Italic"/>
        </w:rPr>
        <w:t>Cash Letters User Guide</w:t>
      </w:r>
      <w:r w:rsidRPr="005D1200">
        <w:t xml:space="preserve"> describes how to use the system to create and maintain inward and outward cash letters. It describes:</w:t>
      </w:r>
    </w:p>
    <w:p w14:paraId="18F0EF0A" w14:textId="77777777" w:rsidR="007E10D4" w:rsidRPr="005D1200" w:rsidRDefault="007E10D4" w:rsidP="00ED7118">
      <w:pPr>
        <w:pStyle w:val="BulletLevel1"/>
      </w:pPr>
      <w:r w:rsidRPr="005D1200">
        <w:t>How to define outward or inward cash letters so that subsequent cheque settlements can be processed. The system also supports automatic payment and negotiated payment for outward cash letters</w:t>
      </w:r>
    </w:p>
    <w:p w14:paraId="6E0F18B0" w14:textId="77777777" w:rsidR="007E10D4" w:rsidRPr="005D1200" w:rsidRDefault="007E10D4" w:rsidP="00ED7118">
      <w:pPr>
        <w:pStyle w:val="BulletLevel1"/>
      </w:pPr>
      <w:r w:rsidRPr="005D1200">
        <w:t>How to settle the cheques</w:t>
      </w:r>
    </w:p>
    <w:p w14:paraId="543311C5" w14:textId="77777777" w:rsidR="007E10D4" w:rsidRPr="005D1200" w:rsidRDefault="007E10D4" w:rsidP="00ED7118">
      <w:pPr>
        <w:pStyle w:val="BulletLevel1"/>
      </w:pPr>
      <w:r w:rsidRPr="005D1200">
        <w:t>How to amend the details of a cash letter</w:t>
      </w:r>
    </w:p>
    <w:p w14:paraId="463D99E4" w14:textId="77777777" w:rsidR="007E10D4" w:rsidRPr="005D1200" w:rsidRDefault="007E10D4" w:rsidP="00ED7118">
      <w:pPr>
        <w:pStyle w:val="BulletLevel1"/>
      </w:pPr>
      <w:r w:rsidRPr="005D1200">
        <w:t>How to send or receive correspondence</w:t>
      </w:r>
    </w:p>
    <w:p w14:paraId="4445AC2D" w14:textId="77777777" w:rsidR="007E10D4" w:rsidRPr="005D1200" w:rsidRDefault="007E10D4" w:rsidP="007E10D4">
      <w:pPr>
        <w:pStyle w:val="Heading2"/>
      </w:pPr>
      <w:bookmarkStart w:id="21" w:name="O_27249"/>
      <w:bookmarkStart w:id="22" w:name="O_27250"/>
      <w:bookmarkStart w:id="23" w:name="_Toc317690543"/>
      <w:bookmarkStart w:id="24" w:name="_Toc358282246"/>
      <w:bookmarkStart w:id="25" w:name="_Toc392589751"/>
      <w:bookmarkStart w:id="26" w:name="_Toc411430320"/>
      <w:bookmarkStart w:id="27" w:name="_Toc431831602"/>
      <w:bookmarkStart w:id="28" w:name="_Toc133234573"/>
      <w:bookmarkEnd w:id="21"/>
      <w:bookmarkEnd w:id="22"/>
      <w:r w:rsidRPr="005D1200">
        <w:t>Clean Bankers Acceptances User Guide</w:t>
      </w:r>
      <w:bookmarkEnd w:id="23"/>
      <w:bookmarkEnd w:id="24"/>
      <w:bookmarkEnd w:id="25"/>
      <w:bookmarkEnd w:id="26"/>
      <w:bookmarkEnd w:id="27"/>
      <w:bookmarkEnd w:id="28"/>
    </w:p>
    <w:p w14:paraId="3FEB06DA" w14:textId="77777777" w:rsidR="007E10D4" w:rsidRPr="005D1200" w:rsidRDefault="007E10D4" w:rsidP="00194FA0">
      <w:pPr>
        <w:pStyle w:val="BodyText"/>
      </w:pPr>
      <w:r w:rsidRPr="005D1200">
        <w:t xml:space="preserve">The </w:t>
      </w:r>
      <w:r w:rsidRPr="005D1200">
        <w:rPr>
          <w:rStyle w:val="Italic"/>
        </w:rPr>
        <w:t>Clean Bankers Acceptances User Guide</w:t>
      </w:r>
      <w:r w:rsidRPr="005D1200">
        <w:t xml:space="preserve"> explains how to use the system to process clean bankers acceptances. It identifies the principal, non-principal, </w:t>
      </w:r>
      <w:proofErr w:type="gramStart"/>
      <w:r w:rsidRPr="005D1200">
        <w:t>credit</w:t>
      </w:r>
      <w:proofErr w:type="gramEnd"/>
      <w:r w:rsidRPr="005D1200">
        <w:t xml:space="preserve"> and debit parties for each event and explains how to use the system to:</w:t>
      </w:r>
    </w:p>
    <w:p w14:paraId="36729E21" w14:textId="77777777" w:rsidR="007E10D4" w:rsidRPr="005D1200" w:rsidRDefault="007E10D4" w:rsidP="00ED7118">
      <w:pPr>
        <w:pStyle w:val="BulletLevel1"/>
      </w:pPr>
      <w:r w:rsidRPr="005D1200">
        <w:t xml:space="preserve">Create a clean </w:t>
      </w:r>
      <w:proofErr w:type="spellStart"/>
      <w:r w:rsidRPr="005D1200">
        <w:t>bankers</w:t>
      </w:r>
      <w:proofErr w:type="spellEnd"/>
      <w:r w:rsidRPr="005D1200">
        <w:t xml:space="preserve"> acceptance</w:t>
      </w:r>
    </w:p>
    <w:p w14:paraId="66293605" w14:textId="77777777" w:rsidR="007E10D4" w:rsidRPr="005D1200" w:rsidRDefault="007E10D4" w:rsidP="00ED7118">
      <w:pPr>
        <w:pStyle w:val="BulletLevel1"/>
      </w:pPr>
      <w:r w:rsidRPr="005D1200">
        <w:t xml:space="preserve">Purchase or discount a clean </w:t>
      </w:r>
      <w:proofErr w:type="spellStart"/>
      <w:r w:rsidRPr="005D1200">
        <w:t>bankers</w:t>
      </w:r>
      <w:proofErr w:type="spellEnd"/>
      <w:r w:rsidRPr="005D1200">
        <w:t xml:space="preserve"> acceptance</w:t>
      </w:r>
    </w:p>
    <w:p w14:paraId="560A5C72" w14:textId="77777777" w:rsidR="007E10D4" w:rsidRPr="005D1200" w:rsidRDefault="007E10D4" w:rsidP="00ED7118">
      <w:pPr>
        <w:pStyle w:val="BulletLevel1"/>
      </w:pPr>
      <w:r w:rsidRPr="005D1200">
        <w:t xml:space="preserve">Sell or rediscount a clean </w:t>
      </w:r>
      <w:proofErr w:type="spellStart"/>
      <w:r w:rsidRPr="005D1200">
        <w:t>bankers</w:t>
      </w:r>
      <w:proofErr w:type="spellEnd"/>
      <w:r w:rsidRPr="005D1200">
        <w:t xml:space="preserve"> acceptance</w:t>
      </w:r>
    </w:p>
    <w:p w14:paraId="66895A34" w14:textId="77777777" w:rsidR="007E10D4" w:rsidRPr="005D1200" w:rsidRDefault="007E10D4" w:rsidP="00ED7118">
      <w:pPr>
        <w:pStyle w:val="BulletLevel1"/>
      </w:pPr>
      <w:r w:rsidRPr="005D1200">
        <w:t xml:space="preserve">Repay a clean </w:t>
      </w:r>
      <w:proofErr w:type="spellStart"/>
      <w:r w:rsidRPr="005D1200">
        <w:t>bankers</w:t>
      </w:r>
      <w:proofErr w:type="spellEnd"/>
      <w:r w:rsidRPr="005D1200">
        <w:t xml:space="preserve"> acceptance, wholly or in part, in advance of its maturity date</w:t>
      </w:r>
    </w:p>
    <w:p w14:paraId="3E566019" w14:textId="77777777" w:rsidR="007E10D4" w:rsidRPr="005D1200" w:rsidRDefault="007E10D4" w:rsidP="00ED7118">
      <w:pPr>
        <w:pStyle w:val="BulletLevel1"/>
      </w:pPr>
      <w:r w:rsidRPr="005D1200">
        <w:t xml:space="preserve">Mature a clean </w:t>
      </w:r>
      <w:proofErr w:type="spellStart"/>
      <w:r w:rsidRPr="005D1200">
        <w:t>bankers</w:t>
      </w:r>
      <w:proofErr w:type="spellEnd"/>
      <w:r w:rsidRPr="005D1200">
        <w:t xml:space="preserve"> acceptance and to reverse its maturity</w:t>
      </w:r>
    </w:p>
    <w:p w14:paraId="12B16571" w14:textId="77777777" w:rsidR="007E10D4" w:rsidRPr="005D1200" w:rsidRDefault="007E10D4" w:rsidP="00ED7118">
      <w:pPr>
        <w:pStyle w:val="BulletLevel1"/>
      </w:pPr>
      <w:r w:rsidRPr="005D1200">
        <w:t xml:space="preserve">Make changes to a clean </w:t>
      </w:r>
      <w:proofErr w:type="spellStart"/>
      <w:r w:rsidRPr="005D1200">
        <w:t>bankers</w:t>
      </w:r>
      <w:proofErr w:type="spellEnd"/>
      <w:r w:rsidRPr="005D1200">
        <w:t xml:space="preserve"> acceptance</w:t>
      </w:r>
    </w:p>
    <w:p w14:paraId="3A8D6908" w14:textId="77777777" w:rsidR="007E10D4" w:rsidRPr="005D1200" w:rsidRDefault="007E10D4" w:rsidP="00ED7118">
      <w:pPr>
        <w:pStyle w:val="BulletLevel1"/>
      </w:pPr>
      <w:r w:rsidRPr="005D1200">
        <w:t>Send and receive correspondence</w:t>
      </w:r>
    </w:p>
    <w:p w14:paraId="5E032E99" w14:textId="77777777" w:rsidR="007E10D4" w:rsidRPr="005D1200" w:rsidRDefault="007E10D4" w:rsidP="007E10D4">
      <w:pPr>
        <w:pStyle w:val="Heading2"/>
      </w:pPr>
      <w:bookmarkStart w:id="29" w:name="_Toc317690544"/>
      <w:bookmarkStart w:id="30" w:name="_Toc358282247"/>
      <w:bookmarkStart w:id="31" w:name="_Toc392589752"/>
      <w:bookmarkStart w:id="32" w:name="_Toc411430321"/>
      <w:bookmarkStart w:id="33" w:name="_Toc431831603"/>
      <w:bookmarkStart w:id="34" w:name="_Toc133234574"/>
      <w:r w:rsidRPr="005D1200">
        <w:t>Clean Payments User Guide</w:t>
      </w:r>
      <w:bookmarkEnd w:id="29"/>
      <w:bookmarkEnd w:id="30"/>
      <w:bookmarkEnd w:id="31"/>
      <w:bookmarkEnd w:id="32"/>
      <w:bookmarkEnd w:id="33"/>
      <w:bookmarkEnd w:id="34"/>
    </w:p>
    <w:p w14:paraId="3B1F837E" w14:textId="77777777" w:rsidR="007E10D4" w:rsidRPr="005D1200" w:rsidRDefault="007E10D4" w:rsidP="00194FA0">
      <w:pPr>
        <w:pStyle w:val="BodyText"/>
      </w:pPr>
      <w:r w:rsidRPr="005D1200">
        <w:t xml:space="preserve">The </w:t>
      </w:r>
      <w:r w:rsidRPr="005D1200">
        <w:rPr>
          <w:rStyle w:val="Italic"/>
        </w:rPr>
        <w:t xml:space="preserve">Clean Payments User Guide </w:t>
      </w:r>
      <w:r w:rsidRPr="005D1200">
        <w:t>explains how to use the system to process clean payments. It provides an overview of how the system handles clean payments and the types of clean payments the system can process, and explains how to enter and process:</w:t>
      </w:r>
    </w:p>
    <w:p w14:paraId="43043F6E" w14:textId="77777777" w:rsidR="007E10D4" w:rsidRPr="005D1200" w:rsidRDefault="007E10D4" w:rsidP="00ED7118">
      <w:pPr>
        <w:pStyle w:val="BulletLevel1"/>
      </w:pPr>
      <w:r w:rsidRPr="005D1200">
        <w:t>Settlement instructions</w:t>
      </w:r>
    </w:p>
    <w:p w14:paraId="150243D1" w14:textId="77777777" w:rsidR="007E10D4" w:rsidRPr="005D1200" w:rsidRDefault="007E10D4" w:rsidP="00ED7118">
      <w:pPr>
        <w:pStyle w:val="BulletLevel1"/>
      </w:pPr>
      <w:r w:rsidRPr="005D1200">
        <w:t>Amounts</w:t>
      </w:r>
    </w:p>
    <w:p w14:paraId="12F06F23" w14:textId="77777777" w:rsidR="007E10D4" w:rsidRPr="005D1200" w:rsidRDefault="007E10D4" w:rsidP="00ED7118">
      <w:pPr>
        <w:pStyle w:val="BulletLevel1"/>
      </w:pPr>
      <w:r w:rsidRPr="005D1200">
        <w:t>Inward and outward customer payment orders</w:t>
      </w:r>
    </w:p>
    <w:p w14:paraId="2CE44CC3" w14:textId="77777777" w:rsidR="007E10D4" w:rsidRPr="005D1200" w:rsidRDefault="007E10D4" w:rsidP="00ED7118">
      <w:pPr>
        <w:pStyle w:val="BulletLevel1"/>
      </w:pPr>
      <w:r w:rsidRPr="005D1200">
        <w:t>Inward and outward cheques</w:t>
      </w:r>
    </w:p>
    <w:p w14:paraId="4D618D69" w14:textId="77777777" w:rsidR="007E10D4" w:rsidRPr="005D1200" w:rsidRDefault="007E10D4" w:rsidP="00ED7118">
      <w:pPr>
        <w:pStyle w:val="BulletLevel1"/>
      </w:pPr>
      <w:r w:rsidRPr="005D1200">
        <w:t>Inward and outward bank-to-bank transfers</w:t>
      </w:r>
    </w:p>
    <w:p w14:paraId="327AD44E" w14:textId="77777777" w:rsidR="007E10D4" w:rsidRPr="005D1200" w:rsidRDefault="007E10D4" w:rsidP="00ED7118">
      <w:pPr>
        <w:pStyle w:val="BulletLevel1"/>
      </w:pPr>
      <w:r w:rsidRPr="005D1200">
        <w:t>Standing orders</w:t>
      </w:r>
    </w:p>
    <w:p w14:paraId="2D2F820A" w14:textId="77777777" w:rsidR="007E10D4" w:rsidRPr="005D1200" w:rsidRDefault="007E10D4" w:rsidP="00194FA0">
      <w:pPr>
        <w:pStyle w:val="BodyText"/>
      </w:pPr>
      <w:r w:rsidRPr="005D1200">
        <w:t>It also explains how to cancel payments, stop cheques and handle rejected or returned payments.</w:t>
      </w:r>
    </w:p>
    <w:p w14:paraId="129C7AF9" w14:textId="77777777" w:rsidR="007E10D4" w:rsidRPr="005D1200" w:rsidRDefault="007E10D4" w:rsidP="007E10D4">
      <w:pPr>
        <w:pStyle w:val="Heading2"/>
      </w:pPr>
      <w:bookmarkStart w:id="35" w:name="O_27252"/>
      <w:bookmarkStart w:id="36" w:name="_Toc317690545"/>
      <w:bookmarkStart w:id="37" w:name="_Toc358282248"/>
      <w:bookmarkStart w:id="38" w:name="_Toc392589753"/>
      <w:bookmarkStart w:id="39" w:name="_Toc411430322"/>
      <w:bookmarkStart w:id="40" w:name="_Toc431831604"/>
      <w:bookmarkStart w:id="41" w:name="_Toc133234575"/>
      <w:bookmarkEnd w:id="35"/>
      <w:r w:rsidRPr="005D1200">
        <w:t>Collection Orders User Guide</w:t>
      </w:r>
      <w:bookmarkEnd w:id="36"/>
      <w:bookmarkEnd w:id="37"/>
      <w:bookmarkEnd w:id="38"/>
      <w:bookmarkEnd w:id="39"/>
      <w:bookmarkEnd w:id="40"/>
      <w:bookmarkEnd w:id="41"/>
    </w:p>
    <w:p w14:paraId="182664EC" w14:textId="77777777" w:rsidR="007E10D4" w:rsidRPr="005D1200" w:rsidRDefault="007E10D4" w:rsidP="00194FA0">
      <w:pPr>
        <w:pStyle w:val="BodyText"/>
      </w:pPr>
      <w:r w:rsidRPr="005D1200">
        <w:t xml:space="preserve">The </w:t>
      </w:r>
      <w:r w:rsidRPr="005D1200">
        <w:rPr>
          <w:rStyle w:val="Italic"/>
        </w:rPr>
        <w:t>Collection Orders User Guide</w:t>
      </w:r>
      <w:r w:rsidRPr="005D1200">
        <w:t xml:space="preserve"> describes how to use the system to process collection orders. It explains how you can:</w:t>
      </w:r>
    </w:p>
    <w:p w14:paraId="13FA69A2" w14:textId="77777777" w:rsidR="007E10D4" w:rsidRPr="005D1200" w:rsidRDefault="007E10D4" w:rsidP="00ED7118">
      <w:pPr>
        <w:pStyle w:val="BulletLevel1"/>
      </w:pPr>
      <w:r w:rsidRPr="005D1200">
        <w:t>Enter details of a new collection order</w:t>
      </w:r>
    </w:p>
    <w:p w14:paraId="08B332AA" w14:textId="77777777" w:rsidR="007E10D4" w:rsidRPr="005D1200" w:rsidRDefault="007E10D4" w:rsidP="00ED7118">
      <w:pPr>
        <w:pStyle w:val="BulletLevel1"/>
      </w:pPr>
      <w:r w:rsidRPr="005D1200">
        <w:t>Record details of an acknowledgement</w:t>
      </w:r>
    </w:p>
    <w:p w14:paraId="5DAB49D2" w14:textId="77777777" w:rsidR="007E10D4" w:rsidRPr="005D1200" w:rsidRDefault="007E10D4" w:rsidP="00ED7118">
      <w:pPr>
        <w:pStyle w:val="BulletLevel1"/>
      </w:pPr>
      <w:r w:rsidRPr="005D1200">
        <w:lastRenderedPageBreak/>
        <w:t>Create and record details of an acceptance of one or more payments associated with a collection order</w:t>
      </w:r>
    </w:p>
    <w:p w14:paraId="0F3BE19F" w14:textId="77777777" w:rsidR="007E10D4" w:rsidRPr="005D1200" w:rsidRDefault="007E10D4" w:rsidP="00ED7118">
      <w:pPr>
        <w:pStyle w:val="BulletLevel1"/>
      </w:pPr>
      <w:r w:rsidRPr="005D1200">
        <w:t>Amend a collection order</w:t>
      </w:r>
    </w:p>
    <w:p w14:paraId="074B4C8F" w14:textId="77777777" w:rsidR="007E10D4" w:rsidRPr="005D1200" w:rsidRDefault="007E10D4" w:rsidP="00ED7118">
      <w:pPr>
        <w:pStyle w:val="BulletLevel1"/>
      </w:pPr>
      <w:r w:rsidRPr="005D1200">
        <w:t>Enter details of a payment</w:t>
      </w:r>
    </w:p>
    <w:p w14:paraId="6EC4BB79" w14:textId="77777777" w:rsidR="007E10D4" w:rsidRPr="005D1200" w:rsidRDefault="007E10D4" w:rsidP="00ED7118">
      <w:pPr>
        <w:pStyle w:val="BulletLevel1"/>
      </w:pPr>
      <w:r w:rsidRPr="005D1200">
        <w:t>Send or receive correspondence</w:t>
      </w:r>
    </w:p>
    <w:p w14:paraId="0C5913A3" w14:textId="77777777" w:rsidR="007E10D4" w:rsidRPr="005D1200" w:rsidRDefault="007E10D4" w:rsidP="00194FA0">
      <w:pPr>
        <w:pStyle w:val="BodyText"/>
      </w:pPr>
      <w:r w:rsidRPr="005D1200">
        <w:t>The guide also explains how to do the following, for banks that are running the system without the financing application installed:</w:t>
      </w:r>
    </w:p>
    <w:p w14:paraId="5052FF4C" w14:textId="77777777" w:rsidR="007E10D4" w:rsidRPr="005D1200" w:rsidRDefault="007E10D4" w:rsidP="00ED7118">
      <w:pPr>
        <w:pStyle w:val="BulletLevel1"/>
      </w:pPr>
      <w:r w:rsidRPr="005D1200">
        <w:t>Discount an accepted draft</w:t>
      </w:r>
    </w:p>
    <w:p w14:paraId="1B18F176" w14:textId="77777777" w:rsidR="007E10D4" w:rsidRPr="005D1200" w:rsidRDefault="007E10D4" w:rsidP="00ED7118">
      <w:pPr>
        <w:pStyle w:val="BulletLevel1"/>
      </w:pPr>
      <w:r w:rsidRPr="005D1200">
        <w:t>Record a loan (or repayment of the loan) against an outward collection order</w:t>
      </w:r>
    </w:p>
    <w:p w14:paraId="26F3F018" w14:textId="77777777" w:rsidR="00FD7CEE" w:rsidRPr="005D1200" w:rsidRDefault="00FD7CEE" w:rsidP="00FD7CEE">
      <w:pPr>
        <w:pStyle w:val="Heading2"/>
      </w:pPr>
      <w:bookmarkStart w:id="42" w:name="_Toc133234576"/>
      <w:r w:rsidRPr="005D1200">
        <w:t>Common Facilities User Guide</w:t>
      </w:r>
      <w:bookmarkEnd w:id="15"/>
      <w:bookmarkEnd w:id="16"/>
      <w:bookmarkEnd w:id="17"/>
      <w:bookmarkEnd w:id="18"/>
      <w:bookmarkEnd w:id="19"/>
      <w:bookmarkEnd w:id="42"/>
    </w:p>
    <w:p w14:paraId="774E9358" w14:textId="77777777" w:rsidR="00FD7CEE" w:rsidRPr="005D1200" w:rsidRDefault="00FD7CEE" w:rsidP="00194FA0">
      <w:pPr>
        <w:pStyle w:val="BodyText"/>
      </w:pPr>
      <w:r w:rsidRPr="005D1200">
        <w:t xml:space="preserve">The </w:t>
      </w:r>
      <w:r w:rsidRPr="005D1200">
        <w:rPr>
          <w:rStyle w:val="Italic"/>
        </w:rPr>
        <w:t>Common Facilities User Guide</w:t>
      </w:r>
      <w:r w:rsidRPr="005D1200">
        <w:t xml:space="preserve"> introduces you to </w:t>
      </w:r>
      <w:r w:rsidR="00DB5C1B" w:rsidRPr="005D1200">
        <w:t>the system</w:t>
      </w:r>
      <w:r w:rsidRPr="005D1200">
        <w:t>, and describes how to use standard functionality. This includes:</w:t>
      </w:r>
    </w:p>
    <w:p w14:paraId="1C7793E0" w14:textId="77777777" w:rsidR="00FD7CEE" w:rsidRPr="005D1200" w:rsidRDefault="00FD7CEE" w:rsidP="00ED7118">
      <w:pPr>
        <w:pStyle w:val="BulletLevel1"/>
      </w:pPr>
      <w:r w:rsidRPr="005D1200">
        <w:t xml:space="preserve">How to log on to </w:t>
      </w:r>
      <w:r w:rsidR="00DB5C1B" w:rsidRPr="005D1200">
        <w:t xml:space="preserve">the system </w:t>
      </w:r>
      <w:r w:rsidRPr="005D1200">
        <w:t>and run applications, set up user profiles and use working profiles</w:t>
      </w:r>
    </w:p>
    <w:p w14:paraId="3270CA6C" w14:textId="77777777" w:rsidR="00FD7CEE" w:rsidRPr="005D1200" w:rsidRDefault="00FD7CEE" w:rsidP="00ED7118">
      <w:pPr>
        <w:pStyle w:val="BulletLevel1"/>
      </w:pPr>
      <w:r w:rsidRPr="005D1200">
        <w:t>How to find and open master records. It explains what events are, and the steps through which an event can pass, together with information on step-related facilities that are common to all events</w:t>
      </w:r>
    </w:p>
    <w:p w14:paraId="2C12671B" w14:textId="77777777" w:rsidR="00FD7CEE" w:rsidRPr="005D1200" w:rsidRDefault="00FD7CEE" w:rsidP="00ED7118">
      <w:pPr>
        <w:pStyle w:val="BulletLevel1"/>
      </w:pPr>
      <w:r w:rsidRPr="005D1200">
        <w:t>How to view details of a transaction in the summary window and how to add notes and diary events</w:t>
      </w:r>
    </w:p>
    <w:p w14:paraId="590A306D" w14:textId="77777777" w:rsidR="00FD7CEE" w:rsidRPr="005D1200" w:rsidRDefault="00FD7CEE" w:rsidP="00ED7118">
      <w:pPr>
        <w:pStyle w:val="BulletLevel1"/>
      </w:pPr>
      <w:r w:rsidRPr="005D1200">
        <w:t>How to add or maintain charges for an event</w:t>
      </w:r>
    </w:p>
    <w:p w14:paraId="76F0B995" w14:textId="77777777" w:rsidR="00FD7CEE" w:rsidRPr="005D1200" w:rsidRDefault="00FD7CEE" w:rsidP="00ED7118">
      <w:pPr>
        <w:pStyle w:val="BulletLevel1"/>
      </w:pPr>
      <w:r w:rsidRPr="005D1200">
        <w:t>How to view postings</w:t>
      </w:r>
    </w:p>
    <w:p w14:paraId="0C0C903A" w14:textId="77777777" w:rsidR="00FD7CEE" w:rsidRPr="005D1200" w:rsidRDefault="00FD7CEE" w:rsidP="00ED7118">
      <w:pPr>
        <w:pStyle w:val="BulletLevel1"/>
      </w:pPr>
      <w:r w:rsidRPr="005D1200">
        <w:t>How to view and amend the settlement details relating to the payment and receipt of funds associated with a particular event and to set up settlement instructions at master record level</w:t>
      </w:r>
    </w:p>
    <w:p w14:paraId="5905C7BA" w14:textId="77777777" w:rsidR="00FD7CEE" w:rsidRPr="005D1200" w:rsidRDefault="00FD7CEE" w:rsidP="00ED7118">
      <w:pPr>
        <w:pStyle w:val="BulletLevel1"/>
      </w:pPr>
      <w:r w:rsidRPr="005D1200">
        <w:t>How use and maintain clauses in an event</w:t>
      </w:r>
    </w:p>
    <w:p w14:paraId="4DCC0F6C" w14:textId="77777777" w:rsidR="00FD7CEE" w:rsidRPr="005D1200" w:rsidRDefault="00FD7CEE" w:rsidP="00ED7118">
      <w:pPr>
        <w:pStyle w:val="BulletLevel1"/>
      </w:pPr>
      <w:r w:rsidRPr="005D1200">
        <w:t xml:space="preserve"> How to use </w:t>
      </w:r>
      <w:r w:rsidR="00DB5C1B" w:rsidRPr="005D1200">
        <w:t xml:space="preserve">the system </w:t>
      </w:r>
      <w:r w:rsidRPr="005D1200">
        <w:t>to send or receive free correspondence relating to a trade finance transaction</w:t>
      </w:r>
    </w:p>
    <w:p w14:paraId="28788ECF" w14:textId="77777777" w:rsidR="00FD7CEE" w:rsidRPr="005D1200" w:rsidRDefault="00FD7CEE" w:rsidP="00ED7118">
      <w:pPr>
        <w:pStyle w:val="BulletLevel1"/>
      </w:pPr>
      <w:r w:rsidRPr="005D1200">
        <w:t>How to generate, view and amend tracers</w:t>
      </w:r>
    </w:p>
    <w:p w14:paraId="340B563E" w14:textId="77777777" w:rsidR="00FD7CEE" w:rsidRPr="005D1200" w:rsidRDefault="00FD7CEE" w:rsidP="00ED7118">
      <w:pPr>
        <w:pStyle w:val="BulletLevel1"/>
      </w:pPr>
      <w:r w:rsidRPr="005D1200">
        <w:t>How to record details of the commercial and financial documents required against transactions. This includes recording scanned images against a transaction</w:t>
      </w:r>
    </w:p>
    <w:p w14:paraId="31F86775" w14:textId="77777777" w:rsidR="00FD7CEE" w:rsidRPr="005D1200" w:rsidRDefault="00FD7CEE" w:rsidP="00ED7118">
      <w:pPr>
        <w:pStyle w:val="BulletLevel1"/>
      </w:pPr>
      <w:r w:rsidRPr="005D1200">
        <w:t>How to handle the production of documents for customers and outward SWIFT messages, and view inward SWIFT messages</w:t>
      </w:r>
    </w:p>
    <w:p w14:paraId="21A5D2AA" w14:textId="77777777" w:rsidR="00FD7CEE" w:rsidRPr="005D1200" w:rsidRDefault="00FD7CEE" w:rsidP="00ED7118">
      <w:pPr>
        <w:pStyle w:val="BulletLevel1"/>
      </w:pPr>
      <w:r w:rsidRPr="005D1200">
        <w:t>How to record details of additional parties to a transaction and shared liability</w:t>
      </w:r>
    </w:p>
    <w:p w14:paraId="718F9175" w14:textId="77777777" w:rsidR="00FD7CEE" w:rsidRPr="005D1200" w:rsidRDefault="00FD7CEE" w:rsidP="00ED7118">
      <w:pPr>
        <w:pStyle w:val="BulletLevel1"/>
      </w:pPr>
      <w:r w:rsidRPr="005D1200">
        <w:t>How to expire and book off master records manually</w:t>
      </w:r>
    </w:p>
    <w:p w14:paraId="2BCC1D35" w14:textId="77777777" w:rsidR="00FD7CEE" w:rsidRPr="005D1200" w:rsidRDefault="00FD7CEE" w:rsidP="00ED7118">
      <w:pPr>
        <w:pStyle w:val="BulletLevel1"/>
      </w:pPr>
      <w:r w:rsidRPr="005D1200">
        <w:t xml:space="preserve">The statuses used by </w:t>
      </w:r>
      <w:r w:rsidR="00DB5C1B" w:rsidRPr="005D1200">
        <w:t>the system</w:t>
      </w:r>
    </w:p>
    <w:p w14:paraId="50893CB7" w14:textId="77777777" w:rsidR="00FD7CEE" w:rsidRPr="005D1200" w:rsidRDefault="00FD7CEE" w:rsidP="00ED7118">
      <w:pPr>
        <w:pStyle w:val="BulletLevel1"/>
      </w:pPr>
      <w:r w:rsidRPr="005D1200">
        <w:t xml:space="preserve">The interest days basis values used by </w:t>
      </w:r>
      <w:r w:rsidR="00DB5C1B" w:rsidRPr="005D1200">
        <w:t>the system</w:t>
      </w:r>
    </w:p>
    <w:p w14:paraId="3BEB16BE" w14:textId="77777777" w:rsidR="00FD7CEE" w:rsidRPr="005D1200" w:rsidRDefault="00FD7CEE" w:rsidP="00ED7118">
      <w:pPr>
        <w:pStyle w:val="BulletLevel1"/>
      </w:pPr>
      <w:r w:rsidRPr="005D1200">
        <w:t>How to make manual book-keeping entries</w:t>
      </w:r>
    </w:p>
    <w:p w14:paraId="44D43DD5" w14:textId="77777777" w:rsidR="00FD7CEE" w:rsidRPr="005D1200" w:rsidRDefault="00FD7CEE" w:rsidP="00ED7118">
      <w:pPr>
        <w:pStyle w:val="BulletLevel1"/>
      </w:pPr>
      <w:r w:rsidRPr="005D1200">
        <w:t>How to display event fields as a diagnostic tool</w:t>
      </w:r>
    </w:p>
    <w:p w14:paraId="1D54E0CF" w14:textId="77777777" w:rsidR="00136479" w:rsidRDefault="00136479" w:rsidP="00FD7CEE">
      <w:pPr>
        <w:pStyle w:val="Heading2"/>
      </w:pPr>
      <w:bookmarkStart w:id="43" w:name="O_27248"/>
      <w:bookmarkStart w:id="44" w:name="O_27251"/>
      <w:bookmarkStart w:id="45" w:name="O_27253"/>
      <w:bookmarkStart w:id="46" w:name="_Toc317690546"/>
      <w:bookmarkStart w:id="47" w:name="_Toc358282249"/>
      <w:bookmarkStart w:id="48" w:name="_Toc392589754"/>
      <w:bookmarkStart w:id="49" w:name="_Toc411430323"/>
      <w:bookmarkStart w:id="50" w:name="_Toc431831605"/>
      <w:bookmarkEnd w:id="43"/>
      <w:bookmarkEnd w:id="44"/>
      <w:bookmarkEnd w:id="45"/>
      <w:r>
        <w:br w:type="page"/>
      </w:r>
    </w:p>
    <w:p w14:paraId="5C41232A" w14:textId="77777777" w:rsidR="00FD7CEE" w:rsidRPr="005D1200" w:rsidRDefault="00FD7CEE" w:rsidP="00FD7CEE">
      <w:pPr>
        <w:pStyle w:val="Heading2"/>
      </w:pPr>
      <w:bookmarkStart w:id="51" w:name="_Toc133234577"/>
      <w:r w:rsidRPr="005D1200">
        <w:lastRenderedPageBreak/>
        <w:t>Departmental Limits User Guide</w:t>
      </w:r>
      <w:bookmarkEnd w:id="46"/>
      <w:bookmarkEnd w:id="47"/>
      <w:bookmarkEnd w:id="48"/>
      <w:bookmarkEnd w:id="49"/>
      <w:bookmarkEnd w:id="50"/>
      <w:bookmarkEnd w:id="51"/>
    </w:p>
    <w:p w14:paraId="49EEE46A" w14:textId="77777777" w:rsidR="00FD7CEE" w:rsidRPr="005D1200" w:rsidRDefault="00FD7CEE" w:rsidP="00194FA0">
      <w:pPr>
        <w:pStyle w:val="BodyText"/>
      </w:pPr>
      <w:r w:rsidRPr="005D1200">
        <w:t xml:space="preserve">The </w:t>
      </w:r>
      <w:r w:rsidRPr="005D1200">
        <w:rPr>
          <w:rStyle w:val="Italic"/>
        </w:rPr>
        <w:t>Departmental Limits User Guide</w:t>
      </w:r>
      <w:r w:rsidRPr="005D1200">
        <w:t xml:space="preserve"> explains how to set up the credit risk categories and limit structures used to check credit line </w:t>
      </w:r>
      <w:proofErr w:type="spellStart"/>
      <w:r w:rsidRPr="005D1200">
        <w:t>utilisation</w:t>
      </w:r>
      <w:proofErr w:type="spellEnd"/>
      <w:r w:rsidRPr="005D1200">
        <w:t xml:space="preserve"> and to monitor your bank's exposure. The manual provides an overview and introduces some terminology used. The guide covers:</w:t>
      </w:r>
    </w:p>
    <w:p w14:paraId="6CBD8E65" w14:textId="77777777" w:rsidR="00FD7CEE" w:rsidRPr="005D1200" w:rsidRDefault="00FD7CEE" w:rsidP="00ED7118">
      <w:pPr>
        <w:pStyle w:val="BulletLevel1"/>
      </w:pPr>
      <w:r w:rsidRPr="005D1200">
        <w:t>How to set up system parameters and default values for use when setting up limit structures</w:t>
      </w:r>
    </w:p>
    <w:p w14:paraId="3F0CBB5E" w14:textId="77777777" w:rsidR="00FD7CEE" w:rsidRPr="005D1200" w:rsidRDefault="00FD7CEE" w:rsidP="00ED7118">
      <w:pPr>
        <w:pStyle w:val="BulletLevel1"/>
      </w:pPr>
      <w:r w:rsidRPr="005D1200">
        <w:t xml:space="preserve">How to define the relationships between customers of your bank who are part of the same business </w:t>
      </w:r>
      <w:proofErr w:type="spellStart"/>
      <w:r w:rsidRPr="005D1200">
        <w:t>organisation</w:t>
      </w:r>
      <w:proofErr w:type="spellEnd"/>
      <w:r w:rsidRPr="005D1200">
        <w:t>, and how to assign countries and account officers to customer groups</w:t>
      </w:r>
    </w:p>
    <w:p w14:paraId="667CD698" w14:textId="77777777" w:rsidR="00FD7CEE" w:rsidRPr="005D1200" w:rsidRDefault="00FD7CEE" w:rsidP="00ED7118">
      <w:pPr>
        <w:pStyle w:val="BulletLevel1"/>
      </w:pPr>
      <w:r w:rsidRPr="005D1200">
        <w:t xml:space="preserve">How to assign limit structures to customers, </w:t>
      </w:r>
      <w:proofErr w:type="gramStart"/>
      <w:r w:rsidRPr="005D1200">
        <w:t>companies</w:t>
      </w:r>
      <w:proofErr w:type="gramEnd"/>
      <w:r w:rsidRPr="005D1200">
        <w:t xml:space="preserve"> and countries and to set up limits for each of the categories within the assigned structure</w:t>
      </w:r>
    </w:p>
    <w:p w14:paraId="5E417011" w14:textId="77777777" w:rsidR="00FD7CEE" w:rsidRPr="005D1200" w:rsidRDefault="00FD7CEE" w:rsidP="00ED7118">
      <w:pPr>
        <w:pStyle w:val="BulletLevel1"/>
      </w:pPr>
      <w:r w:rsidRPr="005D1200">
        <w:t xml:space="preserve">How to set up the categories </w:t>
      </w:r>
      <w:proofErr w:type="spellStart"/>
      <w:r w:rsidRPr="005D1200">
        <w:t>organise</w:t>
      </w:r>
      <w:proofErr w:type="spellEnd"/>
      <w:r w:rsidRPr="005D1200">
        <w:t xml:space="preserve"> credit risk categories into limit structures, and set up total lines</w:t>
      </w:r>
    </w:p>
    <w:p w14:paraId="0F7516C4" w14:textId="77777777" w:rsidR="00FD7CEE" w:rsidRPr="005D1200" w:rsidRDefault="00FD7CEE" w:rsidP="00ED7118">
      <w:pPr>
        <w:pStyle w:val="BulletLevel1"/>
      </w:pPr>
      <w:r w:rsidRPr="005D1200">
        <w:t>How to manually enter a reservation</w:t>
      </w:r>
    </w:p>
    <w:p w14:paraId="19F727D6" w14:textId="77777777" w:rsidR="00FD7CEE" w:rsidRPr="005D1200" w:rsidRDefault="00FD7CEE" w:rsidP="00ED7118">
      <w:pPr>
        <w:pStyle w:val="BulletLevel1"/>
      </w:pPr>
      <w:r w:rsidRPr="005D1200">
        <w:t>Overnight processing, enquiry facilities and the reports, as well as how to run existing reports and any new reports you may create using Crystal Reports</w:t>
      </w:r>
    </w:p>
    <w:p w14:paraId="39BFECEC" w14:textId="77777777" w:rsidR="00FD7CEE" w:rsidRPr="005D1200" w:rsidRDefault="00FD7CEE" w:rsidP="00ED7118">
      <w:pPr>
        <w:pStyle w:val="BulletLevel1"/>
      </w:pPr>
      <w:r w:rsidRPr="005D1200">
        <w:t>The syntax used when setting selection criteria for credit risk categories</w:t>
      </w:r>
    </w:p>
    <w:p w14:paraId="12F0EBB6" w14:textId="77777777" w:rsidR="00FD7CEE" w:rsidRPr="005D1200" w:rsidRDefault="00FD7CEE" w:rsidP="00ED7118">
      <w:pPr>
        <w:pStyle w:val="BulletLevel1"/>
      </w:pPr>
      <w:r w:rsidRPr="005D1200">
        <w:t>Valid operators and database fields, and the security features</w:t>
      </w:r>
    </w:p>
    <w:p w14:paraId="3F8F4DA7" w14:textId="77777777" w:rsidR="00FD7CEE" w:rsidRPr="005D1200" w:rsidRDefault="00FD7CEE" w:rsidP="00FD7CEE">
      <w:pPr>
        <w:pStyle w:val="Heading2"/>
      </w:pPr>
      <w:bookmarkStart w:id="52" w:name="O_52965"/>
      <w:bookmarkStart w:id="53" w:name="_Toc317690547"/>
      <w:bookmarkStart w:id="54" w:name="_Toc358282250"/>
      <w:bookmarkStart w:id="55" w:name="_Toc392589755"/>
      <w:bookmarkStart w:id="56" w:name="_Toc411430324"/>
      <w:bookmarkStart w:id="57" w:name="_Toc431831606"/>
      <w:bookmarkStart w:id="58" w:name="_Toc133234578"/>
      <w:bookmarkEnd w:id="52"/>
      <w:r w:rsidRPr="005D1200">
        <w:t>Export Credit Agency Facilities User Guide</w:t>
      </w:r>
      <w:bookmarkEnd w:id="53"/>
      <w:bookmarkEnd w:id="54"/>
      <w:bookmarkEnd w:id="55"/>
      <w:bookmarkEnd w:id="56"/>
      <w:bookmarkEnd w:id="57"/>
      <w:bookmarkEnd w:id="58"/>
    </w:p>
    <w:p w14:paraId="77A2E3C5" w14:textId="77777777" w:rsidR="00FD7CEE" w:rsidRPr="005D1200" w:rsidRDefault="00FD7CEE" w:rsidP="00194FA0">
      <w:pPr>
        <w:pStyle w:val="BodyText"/>
      </w:pPr>
      <w:r w:rsidRPr="005D1200">
        <w:t xml:space="preserve">The </w:t>
      </w:r>
      <w:r w:rsidRPr="005D1200">
        <w:rPr>
          <w:i/>
        </w:rPr>
        <w:t>Export credit Agency Facility User Guide</w:t>
      </w:r>
      <w:r w:rsidRPr="005D1200">
        <w:t xml:space="preserve"> explains how to use </w:t>
      </w:r>
      <w:r w:rsidR="00DB5C1B" w:rsidRPr="005D1200">
        <w:t xml:space="preserve">the system </w:t>
      </w:r>
      <w:r w:rsidRPr="005D1200">
        <w:t>to set up export credit agency facilities and process financing transactions against them. It explains how you can:</w:t>
      </w:r>
    </w:p>
    <w:p w14:paraId="3F08F02E" w14:textId="77777777" w:rsidR="00FD7CEE" w:rsidRPr="005D1200" w:rsidRDefault="00FD7CEE" w:rsidP="00ED7118">
      <w:pPr>
        <w:pStyle w:val="BulletLevel1"/>
      </w:pPr>
      <w:r w:rsidRPr="005D1200">
        <w:t>Create an export credit agency facility, either directly or from within a financing transaction</w:t>
      </w:r>
    </w:p>
    <w:p w14:paraId="54F2F90A" w14:textId="77777777" w:rsidR="00FD7CEE" w:rsidRPr="005D1200" w:rsidRDefault="00FD7CEE" w:rsidP="00ED7118">
      <w:pPr>
        <w:pStyle w:val="BulletLevel1"/>
      </w:pPr>
      <w:r w:rsidRPr="005D1200">
        <w:t>Link financing transactions to an export credit agency facility</w:t>
      </w:r>
    </w:p>
    <w:p w14:paraId="0848D6CB" w14:textId="77777777" w:rsidR="00FD7CEE" w:rsidRPr="005D1200" w:rsidRDefault="00FD7CEE" w:rsidP="00ED7118">
      <w:pPr>
        <w:pStyle w:val="BulletLevel1"/>
      </w:pPr>
      <w:r w:rsidRPr="005D1200">
        <w:t>Make changes or cancel an export credit agency facility</w:t>
      </w:r>
    </w:p>
    <w:p w14:paraId="6D64DB45" w14:textId="77777777" w:rsidR="00FD7CEE" w:rsidRPr="005D1200" w:rsidRDefault="00FD7CEE" w:rsidP="00194FA0">
      <w:pPr>
        <w:pStyle w:val="BodyText"/>
      </w:pPr>
      <w:r w:rsidRPr="005D1200">
        <w:t>It also explains how linking financing transactions to an export credit agency facility affect the facility's available amount.</w:t>
      </w:r>
    </w:p>
    <w:p w14:paraId="513CE8BE" w14:textId="77777777" w:rsidR="00FD7CEE" w:rsidRPr="005D1200" w:rsidRDefault="00FD7CEE" w:rsidP="00FD7CEE">
      <w:pPr>
        <w:pStyle w:val="AllowPageBreak"/>
        <w:rPr>
          <w:rFonts w:ascii="Arial" w:hAnsi="Arial" w:cs="Arial"/>
          <w:lang w:val="en-GB"/>
        </w:rPr>
      </w:pPr>
      <w:bookmarkStart w:id="59" w:name="O_27254"/>
      <w:bookmarkEnd w:id="59"/>
    </w:p>
    <w:p w14:paraId="28B99279" w14:textId="77777777" w:rsidR="00FD7CEE" w:rsidRPr="005D1200" w:rsidRDefault="00FD7CEE" w:rsidP="00FD7CEE">
      <w:pPr>
        <w:pStyle w:val="Heading2"/>
      </w:pPr>
      <w:bookmarkStart w:id="60" w:name="O_27255"/>
      <w:bookmarkStart w:id="61" w:name="_Toc317690549"/>
      <w:bookmarkStart w:id="62" w:name="_Toc358282252"/>
      <w:bookmarkStart w:id="63" w:name="_Toc392589757"/>
      <w:bookmarkStart w:id="64" w:name="_Toc411430326"/>
      <w:bookmarkStart w:id="65" w:name="_Toc431831608"/>
      <w:bookmarkStart w:id="66" w:name="_Toc133234579"/>
      <w:bookmarkEnd w:id="60"/>
      <w:r w:rsidRPr="005D1200">
        <w:t>Export Letters of Credit User Guide</w:t>
      </w:r>
      <w:bookmarkEnd w:id="61"/>
      <w:bookmarkEnd w:id="62"/>
      <w:bookmarkEnd w:id="63"/>
      <w:bookmarkEnd w:id="64"/>
      <w:bookmarkEnd w:id="65"/>
      <w:bookmarkEnd w:id="66"/>
    </w:p>
    <w:p w14:paraId="7234F070" w14:textId="77777777" w:rsidR="00FD7CEE" w:rsidRPr="005D1200" w:rsidRDefault="00FD7CEE" w:rsidP="00194FA0">
      <w:pPr>
        <w:pStyle w:val="BodyText"/>
      </w:pPr>
      <w:r w:rsidRPr="005D1200">
        <w:t xml:space="preserve">The </w:t>
      </w:r>
      <w:r w:rsidRPr="005D1200">
        <w:rPr>
          <w:rStyle w:val="Italic"/>
        </w:rPr>
        <w:t>Export Letters of Credit User Guide</w:t>
      </w:r>
      <w:r w:rsidRPr="005D1200">
        <w:t xml:space="preserve"> provides an overview of how export letters of credit are processed in </w:t>
      </w:r>
      <w:r w:rsidR="00DB5C1B" w:rsidRPr="005D1200">
        <w:t>the system</w:t>
      </w:r>
      <w:r w:rsidRPr="005D1200">
        <w:t>, and explains how you can:</w:t>
      </w:r>
    </w:p>
    <w:p w14:paraId="73F8F9A3" w14:textId="77777777" w:rsidR="00FD7CEE" w:rsidRPr="005D1200" w:rsidRDefault="00FD7CEE" w:rsidP="00ED7118">
      <w:pPr>
        <w:pStyle w:val="BulletLevel1"/>
      </w:pPr>
      <w:r w:rsidRPr="005D1200">
        <w:t>Pre-advise and advise an export letter of credit</w:t>
      </w:r>
    </w:p>
    <w:p w14:paraId="318DD348" w14:textId="77777777" w:rsidR="00FD7CEE" w:rsidRPr="005D1200" w:rsidRDefault="00FD7CEE" w:rsidP="00ED7118">
      <w:pPr>
        <w:pStyle w:val="BulletLevel1"/>
      </w:pPr>
      <w:r w:rsidRPr="005D1200">
        <w:t>Create back-to-back letters of credit and freely negotiable letters of credit</w:t>
      </w:r>
    </w:p>
    <w:p w14:paraId="28EF4EBE" w14:textId="77777777" w:rsidR="00FD7CEE" w:rsidRPr="005D1200" w:rsidRDefault="00FD7CEE" w:rsidP="00ED7118">
      <w:pPr>
        <w:pStyle w:val="BulletLevel1"/>
      </w:pPr>
      <w:r w:rsidRPr="005D1200">
        <w:t>Process assignments of proceeds for an export letter of credit</w:t>
      </w:r>
    </w:p>
    <w:p w14:paraId="7FACA3D7" w14:textId="77777777" w:rsidR="00FD7CEE" w:rsidRPr="005D1200" w:rsidRDefault="00FD7CEE" w:rsidP="00ED7118">
      <w:pPr>
        <w:pStyle w:val="BulletLevel1"/>
      </w:pPr>
      <w:r w:rsidRPr="005D1200">
        <w:t>Record the presentation of documents and make payment against an export letter of credit</w:t>
      </w:r>
    </w:p>
    <w:p w14:paraId="1D1660A0" w14:textId="77777777" w:rsidR="00FD7CEE" w:rsidRPr="005D1200" w:rsidRDefault="00FD7CEE" w:rsidP="00ED7118">
      <w:pPr>
        <w:pStyle w:val="BulletLevel1"/>
      </w:pPr>
      <w:r w:rsidRPr="005D1200">
        <w:t>Handle the payment of transfer letters of credit and back-to-back letters of credit</w:t>
      </w:r>
    </w:p>
    <w:p w14:paraId="7E8594CA" w14:textId="77777777" w:rsidR="00FD7CEE" w:rsidRPr="005D1200" w:rsidRDefault="00FD7CEE" w:rsidP="00ED7118">
      <w:pPr>
        <w:pStyle w:val="BulletLevel1"/>
      </w:pPr>
      <w:r w:rsidRPr="005D1200">
        <w:t>Make amendments to an export letter of credit and to record beneficiary approval for the amendment</w:t>
      </w:r>
    </w:p>
    <w:p w14:paraId="65AA1233" w14:textId="77777777" w:rsidR="00FD7CEE" w:rsidRPr="005D1200" w:rsidRDefault="00FD7CEE" w:rsidP="00ED7118">
      <w:pPr>
        <w:pStyle w:val="BulletLevel1"/>
      </w:pPr>
      <w:r w:rsidRPr="005D1200">
        <w:t>Cancel an export letter of credit and record beneficiary approval for the cancellation</w:t>
      </w:r>
    </w:p>
    <w:p w14:paraId="48892271" w14:textId="77777777" w:rsidR="00FD7CEE" w:rsidRPr="005D1200" w:rsidRDefault="00FD7CEE" w:rsidP="00194FA0">
      <w:pPr>
        <w:pStyle w:val="BodyText"/>
      </w:pPr>
      <w:r w:rsidRPr="005D1200">
        <w:t>It also explains:</w:t>
      </w:r>
    </w:p>
    <w:p w14:paraId="4FFB22D0" w14:textId="77777777" w:rsidR="00FD7CEE" w:rsidRPr="005D1200" w:rsidRDefault="00FD7CEE" w:rsidP="00ED7118">
      <w:pPr>
        <w:pStyle w:val="BulletLevel1"/>
      </w:pPr>
      <w:r w:rsidRPr="005D1200">
        <w:t>The effect of payment actions on the processing of charges during an export letter of credit payment event and how export letters of credit are revolved and advised</w:t>
      </w:r>
    </w:p>
    <w:p w14:paraId="707376A0" w14:textId="77777777" w:rsidR="00FD7CEE" w:rsidRPr="005D1200" w:rsidRDefault="00FD7CEE" w:rsidP="00ED7118">
      <w:pPr>
        <w:pStyle w:val="BulletLevel1"/>
      </w:pPr>
      <w:r w:rsidRPr="005D1200">
        <w:t>How to enter discounts against payments for export letters of credit, for banks that are running the system without the financing application installed</w:t>
      </w:r>
    </w:p>
    <w:p w14:paraId="189ADC00" w14:textId="77777777" w:rsidR="00FD7CEE" w:rsidRPr="005D1200" w:rsidRDefault="00FD7CEE" w:rsidP="00FD7CEE">
      <w:pPr>
        <w:pStyle w:val="Heading2"/>
      </w:pPr>
      <w:bookmarkStart w:id="67" w:name="O_27256"/>
      <w:bookmarkStart w:id="68" w:name="_Toc317690550"/>
      <w:bookmarkStart w:id="69" w:name="_Toc358282253"/>
      <w:bookmarkStart w:id="70" w:name="_Toc392589758"/>
      <w:bookmarkStart w:id="71" w:name="_Toc411430327"/>
      <w:bookmarkStart w:id="72" w:name="_Toc431831609"/>
      <w:bookmarkStart w:id="73" w:name="_Toc133234580"/>
      <w:bookmarkEnd w:id="67"/>
      <w:r w:rsidRPr="005D1200">
        <w:t>Export Standby Letters of Credit User Guide</w:t>
      </w:r>
      <w:bookmarkEnd w:id="68"/>
      <w:bookmarkEnd w:id="69"/>
      <w:bookmarkEnd w:id="70"/>
      <w:bookmarkEnd w:id="71"/>
      <w:bookmarkEnd w:id="72"/>
      <w:bookmarkEnd w:id="73"/>
    </w:p>
    <w:p w14:paraId="07F6B9DB" w14:textId="77777777" w:rsidR="00FD7CEE" w:rsidRPr="005D1200" w:rsidRDefault="00FD7CEE" w:rsidP="00194FA0">
      <w:pPr>
        <w:pStyle w:val="BodyText"/>
      </w:pPr>
      <w:r w:rsidRPr="005D1200">
        <w:t xml:space="preserve">The </w:t>
      </w:r>
      <w:r w:rsidRPr="005D1200">
        <w:rPr>
          <w:rStyle w:val="Italic"/>
        </w:rPr>
        <w:t>Export Standby Letters of Credit User Guide</w:t>
      </w:r>
      <w:r w:rsidRPr="005D1200">
        <w:t xml:space="preserve"> provides an overview of export standby letters of credit are processed in </w:t>
      </w:r>
      <w:r w:rsidR="00DB5C1B" w:rsidRPr="005D1200">
        <w:t xml:space="preserve">the system </w:t>
      </w:r>
      <w:r w:rsidRPr="005D1200">
        <w:t>and explains how you can:</w:t>
      </w:r>
    </w:p>
    <w:p w14:paraId="1F44AF79" w14:textId="77777777" w:rsidR="00FD7CEE" w:rsidRPr="005D1200" w:rsidRDefault="00FD7CEE" w:rsidP="00ED7118">
      <w:pPr>
        <w:pStyle w:val="BulletLevel1"/>
      </w:pPr>
      <w:r w:rsidRPr="005D1200">
        <w:t>Advise an export standby letter of credit</w:t>
      </w:r>
    </w:p>
    <w:p w14:paraId="290C6F2E" w14:textId="77777777" w:rsidR="00FD7CEE" w:rsidRPr="005D1200" w:rsidRDefault="00FD7CEE" w:rsidP="00ED7118">
      <w:pPr>
        <w:pStyle w:val="BulletLevel1"/>
      </w:pPr>
      <w:r w:rsidRPr="005D1200">
        <w:t>Record the presentation of documents and make payment against an export standby letter of credit. This includes the assignment of proceeds to second beneficiaries</w:t>
      </w:r>
    </w:p>
    <w:p w14:paraId="5D11F05B" w14:textId="77777777" w:rsidR="00FD7CEE" w:rsidRPr="005D1200" w:rsidRDefault="00FD7CEE" w:rsidP="00ED7118">
      <w:pPr>
        <w:pStyle w:val="BulletLevel1"/>
      </w:pPr>
      <w:r w:rsidRPr="005D1200">
        <w:lastRenderedPageBreak/>
        <w:t>Record the repayment of a loan to the applicant</w:t>
      </w:r>
    </w:p>
    <w:p w14:paraId="143EB930" w14:textId="77777777" w:rsidR="00FD7CEE" w:rsidRPr="005D1200" w:rsidRDefault="00FD7CEE" w:rsidP="00ED7118">
      <w:pPr>
        <w:pStyle w:val="BulletLevel1"/>
      </w:pPr>
      <w:r w:rsidRPr="005D1200">
        <w:t xml:space="preserve">Renew, </w:t>
      </w:r>
      <w:proofErr w:type="gramStart"/>
      <w:r w:rsidRPr="005D1200">
        <w:t>reduce</w:t>
      </w:r>
      <w:proofErr w:type="gramEnd"/>
      <w:r w:rsidRPr="005D1200">
        <w:t xml:space="preserve"> or increase an export standby letter of credit</w:t>
      </w:r>
    </w:p>
    <w:p w14:paraId="45533004" w14:textId="77777777" w:rsidR="00FD7CEE" w:rsidRPr="005D1200" w:rsidRDefault="00FD7CEE" w:rsidP="00ED7118">
      <w:pPr>
        <w:pStyle w:val="BulletLevel1"/>
      </w:pPr>
      <w:r w:rsidRPr="005D1200">
        <w:t>Amend a standby letter of credit</w:t>
      </w:r>
    </w:p>
    <w:p w14:paraId="2365F188" w14:textId="77777777" w:rsidR="00FD7CEE" w:rsidRPr="005D1200" w:rsidRDefault="00FD7CEE" w:rsidP="00ED7118">
      <w:pPr>
        <w:pStyle w:val="BulletLevel1"/>
      </w:pPr>
      <w:r w:rsidRPr="005D1200">
        <w:t>Cancel  an export standby letter of credit and record beneficiary approval for the cancellation</w:t>
      </w:r>
    </w:p>
    <w:p w14:paraId="18EFAD59" w14:textId="77777777" w:rsidR="007E10D4" w:rsidRPr="005D1200" w:rsidRDefault="007E10D4" w:rsidP="007E10D4">
      <w:pPr>
        <w:pStyle w:val="Heading2"/>
      </w:pPr>
      <w:bookmarkStart w:id="74" w:name="O_27257"/>
      <w:bookmarkStart w:id="75" w:name="O_27258"/>
      <w:bookmarkStart w:id="76" w:name="_Toc317690551"/>
      <w:bookmarkStart w:id="77" w:name="_Toc358282254"/>
      <w:bookmarkStart w:id="78" w:name="_Toc392589759"/>
      <w:bookmarkStart w:id="79" w:name="_Toc411430328"/>
      <w:bookmarkStart w:id="80" w:name="_Toc431831610"/>
      <w:bookmarkStart w:id="81" w:name="_Toc133234581"/>
      <w:bookmarkStart w:id="82" w:name="_Toc317690552"/>
      <w:bookmarkStart w:id="83" w:name="_Toc358282255"/>
      <w:bookmarkStart w:id="84" w:name="_Toc392589760"/>
      <w:bookmarkStart w:id="85" w:name="_Toc411430330"/>
      <w:bookmarkStart w:id="86" w:name="_Toc431831612"/>
      <w:bookmarkEnd w:id="74"/>
      <w:bookmarkEnd w:id="75"/>
      <w:r w:rsidRPr="005D1200">
        <w:t>Financing User Guide</w:t>
      </w:r>
      <w:bookmarkEnd w:id="76"/>
      <w:bookmarkEnd w:id="77"/>
      <w:bookmarkEnd w:id="78"/>
      <w:bookmarkEnd w:id="79"/>
      <w:bookmarkEnd w:id="80"/>
      <w:bookmarkEnd w:id="81"/>
    </w:p>
    <w:p w14:paraId="3DD9F8FD" w14:textId="77777777" w:rsidR="007E10D4" w:rsidRPr="005D1200" w:rsidRDefault="007E10D4" w:rsidP="00194FA0">
      <w:pPr>
        <w:pStyle w:val="BodyText"/>
      </w:pPr>
      <w:r w:rsidRPr="005D1200">
        <w:t xml:space="preserve">The </w:t>
      </w:r>
      <w:r w:rsidRPr="005D1200">
        <w:rPr>
          <w:rStyle w:val="Italic"/>
        </w:rPr>
        <w:t xml:space="preserve">Financing User Guide </w:t>
      </w:r>
      <w:r w:rsidRPr="005D1200">
        <w:t>provides an overview of the financing functionality. It describes:</w:t>
      </w:r>
    </w:p>
    <w:p w14:paraId="6E31CA97" w14:textId="77777777" w:rsidR="007E10D4" w:rsidRPr="005D1200" w:rsidRDefault="007E10D4" w:rsidP="00ED7118">
      <w:pPr>
        <w:pStyle w:val="BulletLevel1"/>
      </w:pPr>
      <w:r w:rsidRPr="005D1200">
        <w:t>How to initiate a financing transaction either as an independent transaction or from within another trade finance transaction</w:t>
      </w:r>
    </w:p>
    <w:p w14:paraId="0735E40B" w14:textId="77777777" w:rsidR="007E10D4" w:rsidRPr="005D1200" w:rsidRDefault="007E10D4" w:rsidP="00ED7118">
      <w:pPr>
        <w:pStyle w:val="BulletLevel1"/>
      </w:pPr>
      <w:r w:rsidRPr="005D1200">
        <w:t>How to handle scheduled repayments of interest and principal amounts, including manually completing an automatically generated repayment</w:t>
      </w:r>
    </w:p>
    <w:p w14:paraId="397A1DBD" w14:textId="77777777" w:rsidR="007E10D4" w:rsidRPr="005D1200" w:rsidRDefault="007E10D4" w:rsidP="00ED7118">
      <w:pPr>
        <w:pStyle w:val="BulletLevel1"/>
      </w:pPr>
      <w:r w:rsidRPr="005D1200">
        <w:t>How to enter manual repayments against a financing transaction</w:t>
      </w:r>
    </w:p>
    <w:p w14:paraId="1CD3A7CA" w14:textId="77777777" w:rsidR="007E10D4" w:rsidRPr="005D1200" w:rsidRDefault="007E10D4" w:rsidP="00ED7118">
      <w:pPr>
        <w:pStyle w:val="BulletLevel1"/>
      </w:pPr>
      <w:r w:rsidRPr="005D1200">
        <w:t>How to repay a financing transaction for an import or export letter of credit, guarantee or standby letter of credit as part of an Outstanding Claim or Outstanding Presentation event</w:t>
      </w:r>
    </w:p>
    <w:p w14:paraId="7ED8B8D6" w14:textId="77777777" w:rsidR="007E10D4" w:rsidRPr="005D1200" w:rsidRDefault="007E10D4" w:rsidP="00ED7118">
      <w:pPr>
        <w:pStyle w:val="BulletLevel1"/>
      </w:pPr>
      <w:r w:rsidRPr="005D1200">
        <w:t>How overdue transactions are handled, and how to transfer the outstanding amount of an existing financing transaction to a new financing transaction</w:t>
      </w:r>
    </w:p>
    <w:p w14:paraId="5B37DC62" w14:textId="77777777" w:rsidR="007E10D4" w:rsidRPr="005D1200" w:rsidRDefault="007E10D4" w:rsidP="00ED7118">
      <w:pPr>
        <w:pStyle w:val="BulletLevel1"/>
      </w:pPr>
      <w:r w:rsidRPr="005D1200">
        <w:t>How to make amendments to a financing transaction</w:t>
      </w:r>
    </w:p>
    <w:p w14:paraId="090E7226" w14:textId="77777777" w:rsidR="007E10D4" w:rsidRPr="005D1200" w:rsidRDefault="007E10D4" w:rsidP="00ED7118">
      <w:pPr>
        <w:pStyle w:val="BulletLevel1"/>
      </w:pPr>
      <w:r w:rsidRPr="005D1200">
        <w:t>How to process notices of interest and principal repayments</w:t>
      </w:r>
    </w:p>
    <w:p w14:paraId="0A3DC76B" w14:textId="77777777" w:rsidR="00FD7CEE" w:rsidRPr="005D1200" w:rsidRDefault="00FD7CEE" w:rsidP="00FD7CEE">
      <w:pPr>
        <w:pStyle w:val="Heading2"/>
      </w:pPr>
      <w:bookmarkStart w:id="87" w:name="_Toc133234582"/>
      <w:r w:rsidRPr="005D1200">
        <w:t xml:space="preserve">Guarantees </w:t>
      </w:r>
      <w:r w:rsidR="00532E0A" w:rsidRPr="005D1200">
        <w:t xml:space="preserve">Issued </w:t>
      </w:r>
      <w:r w:rsidRPr="005D1200">
        <w:t>User Guide</w:t>
      </w:r>
      <w:bookmarkEnd w:id="82"/>
      <w:bookmarkEnd w:id="83"/>
      <w:bookmarkEnd w:id="84"/>
      <w:bookmarkEnd w:id="85"/>
      <w:bookmarkEnd w:id="86"/>
      <w:bookmarkEnd w:id="87"/>
    </w:p>
    <w:p w14:paraId="7F17FC67" w14:textId="77777777" w:rsidR="00FD7CEE" w:rsidRPr="005D1200" w:rsidRDefault="00FD7CEE" w:rsidP="00194FA0">
      <w:pPr>
        <w:pStyle w:val="BodyText"/>
      </w:pPr>
      <w:r w:rsidRPr="005D1200">
        <w:t xml:space="preserve">The </w:t>
      </w:r>
      <w:r w:rsidRPr="005D1200">
        <w:rPr>
          <w:rStyle w:val="Italic"/>
        </w:rPr>
        <w:t>Guarantees</w:t>
      </w:r>
      <w:r w:rsidR="00532E0A" w:rsidRPr="005D1200">
        <w:rPr>
          <w:rStyle w:val="Italic"/>
        </w:rPr>
        <w:t xml:space="preserve"> Issued</w:t>
      </w:r>
      <w:r w:rsidRPr="005D1200">
        <w:rPr>
          <w:rStyle w:val="Italic"/>
        </w:rPr>
        <w:t xml:space="preserve"> User Guide</w:t>
      </w:r>
      <w:r w:rsidRPr="005D1200">
        <w:t xml:space="preserve"> provides an overview of how guarantees</w:t>
      </w:r>
      <w:r w:rsidR="00532E0A" w:rsidRPr="005D1200">
        <w:t xml:space="preserve"> issued</w:t>
      </w:r>
      <w:r w:rsidRPr="005D1200">
        <w:t xml:space="preserve"> are processed in </w:t>
      </w:r>
      <w:r w:rsidR="00DB5C1B" w:rsidRPr="005D1200">
        <w:t xml:space="preserve">the system </w:t>
      </w:r>
      <w:r w:rsidRPr="005D1200">
        <w:t>and explains how you can:</w:t>
      </w:r>
    </w:p>
    <w:p w14:paraId="563B05E2" w14:textId="77777777" w:rsidR="00FD7CEE" w:rsidRPr="005D1200" w:rsidRDefault="00FD7CEE" w:rsidP="00ED7118">
      <w:pPr>
        <w:pStyle w:val="BulletLevel1"/>
      </w:pPr>
      <w:r w:rsidRPr="005D1200">
        <w:t>Issue a guarantee</w:t>
      </w:r>
      <w:r w:rsidR="00532E0A" w:rsidRPr="005D1200">
        <w:t xml:space="preserve"> issued</w:t>
      </w:r>
      <w:r w:rsidRPr="005D1200">
        <w:t xml:space="preserve"> and receive acknowledgement</w:t>
      </w:r>
    </w:p>
    <w:p w14:paraId="315DA2B8" w14:textId="77777777" w:rsidR="00FD7CEE" w:rsidRPr="005D1200" w:rsidRDefault="00FD7CEE" w:rsidP="00ED7118">
      <w:pPr>
        <w:pStyle w:val="BulletLevel1"/>
      </w:pPr>
      <w:r w:rsidRPr="005D1200">
        <w:t>Log the receipt of documents and process notifications of claims received</w:t>
      </w:r>
    </w:p>
    <w:p w14:paraId="70382ABB" w14:textId="77777777" w:rsidR="00FD7CEE" w:rsidRPr="005D1200" w:rsidRDefault="00FD7CEE" w:rsidP="00ED7118">
      <w:pPr>
        <w:pStyle w:val="BulletLevel1"/>
      </w:pPr>
      <w:r w:rsidRPr="005D1200">
        <w:t>Record the repayment of a loan to the applicant</w:t>
      </w:r>
    </w:p>
    <w:p w14:paraId="35CC497C" w14:textId="77777777" w:rsidR="00FD7CEE" w:rsidRPr="005D1200" w:rsidRDefault="00FD7CEE" w:rsidP="00ED7118">
      <w:pPr>
        <w:pStyle w:val="BulletLevel1"/>
      </w:pPr>
      <w:r w:rsidRPr="005D1200">
        <w:t xml:space="preserve">Renew, </w:t>
      </w:r>
      <w:proofErr w:type="gramStart"/>
      <w:r w:rsidRPr="005D1200">
        <w:t>reduce</w:t>
      </w:r>
      <w:proofErr w:type="gramEnd"/>
      <w:r w:rsidRPr="005D1200">
        <w:t xml:space="preserve"> or increase </w:t>
      </w:r>
      <w:r w:rsidR="00532E0A" w:rsidRPr="005D1200">
        <w:t>a</w:t>
      </w:r>
      <w:r w:rsidRPr="005D1200">
        <w:t xml:space="preserve"> guarantee</w:t>
      </w:r>
      <w:r w:rsidR="00532E0A" w:rsidRPr="005D1200">
        <w:t xml:space="preserve"> issued</w:t>
      </w:r>
    </w:p>
    <w:p w14:paraId="792BF621" w14:textId="77777777" w:rsidR="00FD7CEE" w:rsidRPr="005D1200" w:rsidRDefault="00FD7CEE" w:rsidP="00ED7118">
      <w:pPr>
        <w:pStyle w:val="BulletLevel1"/>
      </w:pPr>
      <w:r w:rsidRPr="005D1200">
        <w:t>Amend a guarantee</w:t>
      </w:r>
      <w:r w:rsidR="00532E0A" w:rsidRPr="005D1200">
        <w:t xml:space="preserve"> issued</w:t>
      </w:r>
    </w:p>
    <w:p w14:paraId="268E5942" w14:textId="77777777" w:rsidR="00FD7CEE" w:rsidRPr="005D1200" w:rsidRDefault="00FD7CEE" w:rsidP="00ED7118">
      <w:pPr>
        <w:pStyle w:val="BulletLevel1"/>
      </w:pPr>
      <w:r w:rsidRPr="005D1200">
        <w:t xml:space="preserve">Cancel a guarantee </w:t>
      </w:r>
      <w:r w:rsidR="00532E0A" w:rsidRPr="005D1200">
        <w:t xml:space="preserve">issued </w:t>
      </w:r>
      <w:r w:rsidRPr="005D1200">
        <w:t>and record beneficiary approval for the cancellation</w:t>
      </w:r>
    </w:p>
    <w:p w14:paraId="3E0309D3" w14:textId="77777777" w:rsidR="007E10D4" w:rsidRPr="005D1200" w:rsidRDefault="007E10D4" w:rsidP="007E10D4">
      <w:pPr>
        <w:pStyle w:val="Heading2"/>
      </w:pPr>
      <w:bookmarkStart w:id="88" w:name="O_27259"/>
      <w:bookmarkStart w:id="89" w:name="_Toc317690548"/>
      <w:bookmarkStart w:id="90" w:name="_Toc358282251"/>
      <w:bookmarkStart w:id="91" w:name="_Toc392589756"/>
      <w:bookmarkStart w:id="92" w:name="_Toc411430325"/>
      <w:bookmarkStart w:id="93" w:name="_Toc431831607"/>
      <w:bookmarkStart w:id="94" w:name="_Toc133234583"/>
      <w:bookmarkStart w:id="95" w:name="_Toc317690553"/>
      <w:bookmarkStart w:id="96" w:name="_Toc358282256"/>
      <w:bookmarkStart w:id="97" w:name="_Toc392589761"/>
      <w:bookmarkStart w:id="98" w:name="_Toc411430331"/>
      <w:bookmarkStart w:id="99" w:name="_Toc431831613"/>
      <w:bookmarkEnd w:id="88"/>
      <w:r w:rsidRPr="005D1200">
        <w:t>Guarantees Received User Guide</w:t>
      </w:r>
      <w:bookmarkEnd w:id="89"/>
      <w:bookmarkEnd w:id="90"/>
      <w:bookmarkEnd w:id="91"/>
      <w:bookmarkEnd w:id="92"/>
      <w:bookmarkEnd w:id="93"/>
      <w:bookmarkEnd w:id="94"/>
    </w:p>
    <w:p w14:paraId="159CBD1F" w14:textId="77777777" w:rsidR="007E10D4" w:rsidRPr="005D1200" w:rsidRDefault="007E10D4" w:rsidP="00194FA0">
      <w:pPr>
        <w:pStyle w:val="BodyText"/>
      </w:pPr>
      <w:r w:rsidRPr="005D1200">
        <w:t xml:space="preserve">The </w:t>
      </w:r>
      <w:r w:rsidRPr="005D1200">
        <w:rPr>
          <w:rStyle w:val="Italic"/>
        </w:rPr>
        <w:t>Guarantees Received User Guide</w:t>
      </w:r>
      <w:r w:rsidRPr="005D1200">
        <w:t xml:space="preserve"> provides an overview of how guarantees received are processed in the system and explains how you can:</w:t>
      </w:r>
    </w:p>
    <w:p w14:paraId="390FFD18" w14:textId="77777777" w:rsidR="007E10D4" w:rsidRPr="005D1200" w:rsidRDefault="007E10D4" w:rsidP="00ED7118">
      <w:pPr>
        <w:pStyle w:val="BulletLevel1"/>
      </w:pPr>
      <w:r w:rsidRPr="005D1200">
        <w:t>Advise a guarantee received</w:t>
      </w:r>
    </w:p>
    <w:p w14:paraId="356D495A" w14:textId="77777777" w:rsidR="007E10D4" w:rsidRPr="005D1200" w:rsidRDefault="007E10D4" w:rsidP="00ED7118">
      <w:pPr>
        <w:pStyle w:val="BulletLevel1"/>
      </w:pPr>
      <w:r w:rsidRPr="005D1200">
        <w:t>Record the presentation of documents and make payment against a guarantee received including the assignment of proceeds to second beneficiaries</w:t>
      </w:r>
    </w:p>
    <w:p w14:paraId="3CA3CE0C" w14:textId="77777777" w:rsidR="007E10D4" w:rsidRPr="005D1200" w:rsidRDefault="007E10D4" w:rsidP="00ED7118">
      <w:pPr>
        <w:pStyle w:val="BulletLevel1"/>
      </w:pPr>
      <w:r w:rsidRPr="005D1200">
        <w:t>Record the repayment of a loan to the applicant</w:t>
      </w:r>
    </w:p>
    <w:p w14:paraId="73247FB8" w14:textId="77777777" w:rsidR="007E10D4" w:rsidRPr="005D1200" w:rsidRDefault="007E10D4" w:rsidP="00ED7118">
      <w:pPr>
        <w:pStyle w:val="BulletLevel1"/>
      </w:pPr>
      <w:r w:rsidRPr="005D1200">
        <w:t xml:space="preserve">Renew, </w:t>
      </w:r>
      <w:proofErr w:type="gramStart"/>
      <w:r w:rsidRPr="005D1200">
        <w:t>reduce</w:t>
      </w:r>
      <w:proofErr w:type="gramEnd"/>
      <w:r w:rsidRPr="005D1200">
        <w:t xml:space="preserve"> or increase a guarantee received</w:t>
      </w:r>
    </w:p>
    <w:p w14:paraId="5A449C1F" w14:textId="77777777" w:rsidR="007E10D4" w:rsidRPr="005D1200" w:rsidRDefault="007E10D4" w:rsidP="00ED7118">
      <w:pPr>
        <w:pStyle w:val="BulletLevel1"/>
      </w:pPr>
      <w:r w:rsidRPr="005D1200">
        <w:t>Amend a guarantee received</w:t>
      </w:r>
    </w:p>
    <w:p w14:paraId="152628DB" w14:textId="77777777" w:rsidR="007E10D4" w:rsidRPr="005D1200" w:rsidRDefault="007E10D4" w:rsidP="00ED7118">
      <w:pPr>
        <w:pStyle w:val="BulletLevel1"/>
      </w:pPr>
      <w:r w:rsidRPr="005D1200">
        <w:t>Cancel a guarantee received and record beneficiary approval for the cancellation</w:t>
      </w:r>
    </w:p>
    <w:p w14:paraId="73FA19FE" w14:textId="2A6DB206" w:rsidR="00FD7CEE" w:rsidRPr="005D1200" w:rsidRDefault="00FD7CEE" w:rsidP="00FD7CEE">
      <w:pPr>
        <w:pStyle w:val="Heading2"/>
      </w:pPr>
      <w:bookmarkStart w:id="100" w:name="_Toc133234584"/>
      <w:r w:rsidRPr="005D1200">
        <w:t>Import Letters of Credit User Guide</w:t>
      </w:r>
      <w:bookmarkEnd w:id="95"/>
      <w:bookmarkEnd w:id="96"/>
      <w:bookmarkEnd w:id="97"/>
      <w:bookmarkEnd w:id="98"/>
      <w:bookmarkEnd w:id="99"/>
      <w:bookmarkEnd w:id="100"/>
    </w:p>
    <w:p w14:paraId="5CC42D91" w14:textId="77777777" w:rsidR="00FD7CEE" w:rsidRPr="005D1200" w:rsidRDefault="00FD7CEE" w:rsidP="00194FA0">
      <w:pPr>
        <w:pStyle w:val="BodyText"/>
      </w:pPr>
      <w:r w:rsidRPr="005D1200">
        <w:t xml:space="preserve">The </w:t>
      </w:r>
      <w:r w:rsidRPr="005D1200">
        <w:rPr>
          <w:rStyle w:val="Italic"/>
        </w:rPr>
        <w:t>Import Letters of Credit User Guide</w:t>
      </w:r>
      <w:r w:rsidRPr="005D1200">
        <w:t xml:space="preserve"> provides an overview of how import letters of credit are processed in </w:t>
      </w:r>
      <w:r w:rsidR="00DB5C1B" w:rsidRPr="005D1200">
        <w:t xml:space="preserve">the system </w:t>
      </w:r>
      <w:r w:rsidRPr="005D1200">
        <w:t>and explains how you can:</w:t>
      </w:r>
    </w:p>
    <w:p w14:paraId="6D14FD19" w14:textId="77777777" w:rsidR="00FD7CEE" w:rsidRPr="005D1200" w:rsidRDefault="00FD7CEE" w:rsidP="00ED7118">
      <w:pPr>
        <w:pStyle w:val="BulletLevel1"/>
      </w:pPr>
      <w:r w:rsidRPr="005D1200">
        <w:t>As the issuing bank, pre-advise and issue an import letter of credit and receive acknowledgement</w:t>
      </w:r>
    </w:p>
    <w:p w14:paraId="593E97B9" w14:textId="77777777" w:rsidR="00FD7CEE" w:rsidRPr="005D1200" w:rsidRDefault="00FD7CEE" w:rsidP="00ED7118">
      <w:pPr>
        <w:pStyle w:val="BulletLevel1"/>
      </w:pPr>
      <w:r w:rsidRPr="005D1200">
        <w:t>Log the receipt of documents and process notifications of claims received</w:t>
      </w:r>
    </w:p>
    <w:p w14:paraId="514F86EC" w14:textId="77777777" w:rsidR="00FD7CEE" w:rsidRPr="005D1200" w:rsidRDefault="00FD7CEE" w:rsidP="00ED7118">
      <w:pPr>
        <w:pStyle w:val="BulletLevel1"/>
      </w:pPr>
      <w:r w:rsidRPr="005D1200">
        <w:t>Make amendments to an import letter of credit and record beneficiary approval for the amendment</w:t>
      </w:r>
    </w:p>
    <w:p w14:paraId="72F7E918" w14:textId="77777777" w:rsidR="00FD7CEE" w:rsidRPr="005D1200" w:rsidRDefault="00FD7CEE" w:rsidP="00ED7118">
      <w:pPr>
        <w:pStyle w:val="BulletLevel1"/>
      </w:pPr>
      <w:r w:rsidRPr="005D1200">
        <w:lastRenderedPageBreak/>
        <w:t>Cancel an import letter of credit and record beneficiary approval for the cancellation</w:t>
      </w:r>
    </w:p>
    <w:p w14:paraId="2BB623FF" w14:textId="77777777" w:rsidR="00FD7CEE" w:rsidRPr="005D1200" w:rsidRDefault="00FD7CEE" w:rsidP="00194FA0">
      <w:pPr>
        <w:pStyle w:val="BodyText"/>
      </w:pPr>
      <w:r w:rsidRPr="005D1200">
        <w:t>It explains the effect of payment actions on the processing of charges during an import letter of credit payment event and how import letters of credit are revolved and advised.</w:t>
      </w:r>
    </w:p>
    <w:p w14:paraId="058FC53B" w14:textId="77777777" w:rsidR="00FD7CEE" w:rsidRPr="005D1200" w:rsidRDefault="00FD7CEE" w:rsidP="00194FA0">
      <w:pPr>
        <w:pStyle w:val="BodyText"/>
      </w:pPr>
      <w:r w:rsidRPr="005D1200">
        <w:t>For banks that are running the system without the financing application installed, the guide explains how to do the following:</w:t>
      </w:r>
    </w:p>
    <w:p w14:paraId="778E28DE" w14:textId="77777777" w:rsidR="00FD7CEE" w:rsidRPr="005D1200" w:rsidRDefault="00FD7CEE" w:rsidP="00ED7118">
      <w:pPr>
        <w:pStyle w:val="BulletLevel1"/>
      </w:pPr>
      <w:r w:rsidRPr="005D1200">
        <w:t>Enter purchase order details against an import letter of credit</w:t>
      </w:r>
    </w:p>
    <w:p w14:paraId="23C2D4F2" w14:textId="77777777" w:rsidR="00FD7CEE" w:rsidRPr="005D1200" w:rsidRDefault="00FD7CEE" w:rsidP="00ED7118">
      <w:pPr>
        <w:pStyle w:val="BulletLevel1"/>
      </w:pPr>
      <w:r w:rsidRPr="005D1200">
        <w:t>Make changes to purchase order details</w:t>
      </w:r>
    </w:p>
    <w:p w14:paraId="04700AFB" w14:textId="77777777" w:rsidR="00FD7CEE" w:rsidRPr="005D1200" w:rsidRDefault="00FD7CEE" w:rsidP="00ED7118">
      <w:pPr>
        <w:pStyle w:val="BulletLevel1"/>
      </w:pPr>
      <w:r w:rsidRPr="005D1200">
        <w:t>Identify those items on a purchase order that are covered by a drawdown</w:t>
      </w:r>
    </w:p>
    <w:p w14:paraId="5961E219" w14:textId="77777777" w:rsidR="00FD7CEE" w:rsidRPr="005D1200" w:rsidRDefault="00FD7CEE" w:rsidP="00194FA0">
      <w:pPr>
        <w:pStyle w:val="BodyText"/>
      </w:pPr>
      <w:r w:rsidRPr="005D1200">
        <w:t>For banks that are running the system without the financing application installed, the guide explains how to do the following:</w:t>
      </w:r>
    </w:p>
    <w:p w14:paraId="1B2BCBA6" w14:textId="77777777" w:rsidR="00FD7CEE" w:rsidRPr="005D1200" w:rsidRDefault="00FD7CEE" w:rsidP="00ED7118">
      <w:pPr>
        <w:pStyle w:val="BulletLevel1"/>
      </w:pPr>
      <w:r w:rsidRPr="005D1200">
        <w:t>Record the repayment from the applicant against a previously entered loan</w:t>
      </w:r>
    </w:p>
    <w:p w14:paraId="7A306EBA" w14:textId="77777777" w:rsidR="00FD7CEE" w:rsidRPr="005D1200" w:rsidRDefault="00FD7CEE" w:rsidP="00ED7118">
      <w:pPr>
        <w:pStyle w:val="BulletLevel1"/>
      </w:pPr>
      <w:r w:rsidRPr="005D1200">
        <w:t>Enter subsequent discounts against payments for import letters of credit</w:t>
      </w:r>
    </w:p>
    <w:p w14:paraId="2F14C417" w14:textId="77777777" w:rsidR="00FD7CEE" w:rsidRPr="005D1200" w:rsidRDefault="00FD7CEE" w:rsidP="00FD7CEE">
      <w:pPr>
        <w:pStyle w:val="Heading2"/>
      </w:pPr>
      <w:bookmarkStart w:id="101" w:name="O_27260"/>
      <w:bookmarkStart w:id="102" w:name="_Toc317690554"/>
      <w:bookmarkStart w:id="103" w:name="_Toc358282257"/>
      <w:bookmarkStart w:id="104" w:name="_Toc392589762"/>
      <w:bookmarkStart w:id="105" w:name="_Toc411430332"/>
      <w:bookmarkStart w:id="106" w:name="_Toc431831614"/>
      <w:bookmarkStart w:id="107" w:name="_Toc133234585"/>
      <w:bookmarkEnd w:id="101"/>
      <w:r w:rsidRPr="005D1200">
        <w:t>Import Standby Letters of Credit User Guide</w:t>
      </w:r>
      <w:bookmarkEnd w:id="102"/>
      <w:bookmarkEnd w:id="103"/>
      <w:bookmarkEnd w:id="104"/>
      <w:bookmarkEnd w:id="105"/>
      <w:bookmarkEnd w:id="106"/>
      <w:bookmarkEnd w:id="107"/>
    </w:p>
    <w:p w14:paraId="4AB37D32" w14:textId="77777777" w:rsidR="00FD7CEE" w:rsidRPr="005D1200" w:rsidRDefault="00FD7CEE" w:rsidP="00194FA0">
      <w:pPr>
        <w:pStyle w:val="BodyText"/>
      </w:pPr>
      <w:r w:rsidRPr="005D1200">
        <w:t xml:space="preserve">The </w:t>
      </w:r>
      <w:r w:rsidRPr="005D1200">
        <w:rPr>
          <w:rStyle w:val="Italic"/>
        </w:rPr>
        <w:t xml:space="preserve">Import Standby Letters of Credit User Guide </w:t>
      </w:r>
      <w:r w:rsidRPr="005D1200">
        <w:t xml:space="preserve">provides an overview of how import standby letters of credit are processed in </w:t>
      </w:r>
      <w:r w:rsidR="00DB5C1B" w:rsidRPr="005D1200">
        <w:t xml:space="preserve">the system </w:t>
      </w:r>
      <w:r w:rsidRPr="005D1200">
        <w:t>and explains how you can:</w:t>
      </w:r>
    </w:p>
    <w:p w14:paraId="62D6D502" w14:textId="77777777" w:rsidR="00FD7CEE" w:rsidRPr="005D1200" w:rsidRDefault="00FD7CEE" w:rsidP="00ED7118">
      <w:pPr>
        <w:pStyle w:val="BulletLevel1"/>
      </w:pPr>
      <w:r w:rsidRPr="005D1200">
        <w:t>As issuing bank, issue an import standby letter of credit and receive acknowledgement</w:t>
      </w:r>
    </w:p>
    <w:p w14:paraId="66B69281" w14:textId="77777777" w:rsidR="00FD7CEE" w:rsidRPr="005D1200" w:rsidRDefault="00FD7CEE" w:rsidP="00ED7118">
      <w:pPr>
        <w:pStyle w:val="BulletLevel1"/>
      </w:pPr>
      <w:r w:rsidRPr="005D1200">
        <w:t>Log the receipt of documents and process notifications of claims received for an import standby letter of credit</w:t>
      </w:r>
    </w:p>
    <w:p w14:paraId="051F4478" w14:textId="77777777" w:rsidR="00FD7CEE" w:rsidRPr="005D1200" w:rsidRDefault="00FD7CEE" w:rsidP="00ED7118">
      <w:pPr>
        <w:pStyle w:val="BulletLevel1"/>
      </w:pPr>
      <w:r w:rsidRPr="005D1200">
        <w:t>Record the repayment of a loan to the applicant</w:t>
      </w:r>
    </w:p>
    <w:p w14:paraId="1B926EC3" w14:textId="77777777" w:rsidR="00FD7CEE" w:rsidRPr="005D1200" w:rsidRDefault="00FD7CEE" w:rsidP="00ED7118">
      <w:pPr>
        <w:pStyle w:val="BulletLevel1"/>
      </w:pPr>
      <w:r w:rsidRPr="005D1200">
        <w:t xml:space="preserve">Renew, </w:t>
      </w:r>
      <w:proofErr w:type="gramStart"/>
      <w:r w:rsidRPr="005D1200">
        <w:t>reduce</w:t>
      </w:r>
      <w:proofErr w:type="gramEnd"/>
      <w:r w:rsidRPr="005D1200">
        <w:t xml:space="preserve"> or increase an import standby letter of credit</w:t>
      </w:r>
    </w:p>
    <w:p w14:paraId="5BAFE709" w14:textId="77777777" w:rsidR="00FD7CEE" w:rsidRPr="005D1200" w:rsidRDefault="00FD7CEE" w:rsidP="00ED7118">
      <w:pPr>
        <w:pStyle w:val="BulletLevel1"/>
      </w:pPr>
      <w:r w:rsidRPr="005D1200">
        <w:t>Cancel an import standby letter of credit and record beneficiary approval for the cancellation</w:t>
      </w:r>
    </w:p>
    <w:p w14:paraId="05E4387E" w14:textId="77777777" w:rsidR="007C2198" w:rsidRPr="005D1200" w:rsidRDefault="007C2198" w:rsidP="007C2198">
      <w:pPr>
        <w:pStyle w:val="Heading2"/>
      </w:pPr>
      <w:bookmarkStart w:id="108" w:name="O_27261"/>
      <w:bookmarkStart w:id="109" w:name="_Toc133234586"/>
      <w:bookmarkStart w:id="110" w:name="_Toc317690555"/>
      <w:bookmarkStart w:id="111" w:name="_Toc358282258"/>
      <w:bookmarkStart w:id="112" w:name="_Toc392589763"/>
      <w:bookmarkStart w:id="113" w:name="_Toc411430333"/>
      <w:bookmarkStart w:id="114" w:name="_Toc431831615"/>
      <w:bookmarkEnd w:id="108"/>
      <w:r>
        <w:t>Issued Undertaking</w:t>
      </w:r>
      <w:r w:rsidRPr="005D1200">
        <w:t xml:space="preserve"> User Guide</w:t>
      </w:r>
      <w:bookmarkEnd w:id="109"/>
    </w:p>
    <w:p w14:paraId="1F57EC47" w14:textId="77777777" w:rsidR="007C2198" w:rsidRPr="005D1200" w:rsidRDefault="007C2198" w:rsidP="007C2198">
      <w:pPr>
        <w:pStyle w:val="BodyText"/>
      </w:pPr>
      <w:r w:rsidRPr="005D1200">
        <w:t xml:space="preserve">The </w:t>
      </w:r>
      <w:r w:rsidRPr="005D1200">
        <w:rPr>
          <w:rStyle w:val="Italic"/>
        </w:rPr>
        <w:t xml:space="preserve">Issued </w:t>
      </w:r>
      <w:r>
        <w:rPr>
          <w:rStyle w:val="Italic"/>
        </w:rPr>
        <w:t xml:space="preserve">Undertaking </w:t>
      </w:r>
      <w:r w:rsidRPr="005D1200">
        <w:rPr>
          <w:rStyle w:val="Italic"/>
        </w:rPr>
        <w:t>User Guide</w:t>
      </w:r>
      <w:r w:rsidRPr="005D1200">
        <w:t xml:space="preserve"> provides an overview of how </w:t>
      </w:r>
      <w:r w:rsidRPr="00CF686F">
        <w:rPr>
          <w:i/>
          <w:iCs/>
        </w:rPr>
        <w:t>undertakings</w:t>
      </w:r>
      <w:r>
        <w:t xml:space="preserve"> are</w:t>
      </w:r>
      <w:r w:rsidRPr="005D1200">
        <w:t xml:space="preserve"> processed in the system and explains how you can:</w:t>
      </w:r>
    </w:p>
    <w:p w14:paraId="0B10239B" w14:textId="1B3A8DF7" w:rsidR="007C2198" w:rsidRDefault="007C2198" w:rsidP="007C2198">
      <w:pPr>
        <w:pStyle w:val="BulletLevel1"/>
      </w:pPr>
      <w:r w:rsidRPr="005D1200">
        <w:t>Issue</w:t>
      </w:r>
      <w:r>
        <w:t xml:space="preserve"> </w:t>
      </w:r>
      <w:r w:rsidRPr="007C2198">
        <w:rPr>
          <w:i/>
          <w:iCs/>
        </w:rPr>
        <w:t xml:space="preserve">direct </w:t>
      </w:r>
      <w:r>
        <w:t xml:space="preserve">and </w:t>
      </w:r>
      <w:r w:rsidRPr="007C2198">
        <w:rPr>
          <w:i/>
          <w:iCs/>
        </w:rPr>
        <w:t>indirect</w:t>
      </w:r>
      <w:r>
        <w:t xml:space="preserve"> standby</w:t>
      </w:r>
      <w:r w:rsidR="00CF686F">
        <w:t xml:space="preserve"> LC</w:t>
      </w:r>
      <w:r>
        <w:t>s, guarantees and dependent undertakings</w:t>
      </w:r>
    </w:p>
    <w:p w14:paraId="0532B38D" w14:textId="77777777" w:rsidR="007C2198" w:rsidRDefault="007C2198" w:rsidP="007C2198">
      <w:pPr>
        <w:pStyle w:val="BulletLevel1"/>
      </w:pPr>
      <w:r>
        <w:t>Process counter undertaking requests received from other banks</w:t>
      </w:r>
      <w:r w:rsidRPr="005D1200">
        <w:t xml:space="preserve"> </w:t>
      </w:r>
    </w:p>
    <w:p w14:paraId="051ECB38" w14:textId="77777777" w:rsidR="007C2198" w:rsidRDefault="007C2198" w:rsidP="007C2198">
      <w:pPr>
        <w:pStyle w:val="BulletLevel1"/>
      </w:pPr>
      <w:r>
        <w:t>R</w:t>
      </w:r>
      <w:r w:rsidRPr="005D1200">
        <w:t>eceive acknowledgement</w:t>
      </w:r>
      <w:r>
        <w:t>s</w:t>
      </w:r>
    </w:p>
    <w:p w14:paraId="484C3379" w14:textId="73D58A37" w:rsidR="007C2198" w:rsidRDefault="007C2198" w:rsidP="007C2198">
      <w:pPr>
        <w:pStyle w:val="BulletLevel1"/>
      </w:pPr>
      <w:r w:rsidRPr="005D1200">
        <w:t>Log the receipt of documents and process notifications of claims received</w:t>
      </w:r>
    </w:p>
    <w:p w14:paraId="10FCFE8E" w14:textId="483DAF97" w:rsidR="00CF686F" w:rsidRPr="005D1200" w:rsidRDefault="007C2198" w:rsidP="00E726CF">
      <w:pPr>
        <w:pStyle w:val="BulletLevel1"/>
      </w:pPr>
      <w:r>
        <w:t>Process claims against a counter undertaking</w:t>
      </w:r>
    </w:p>
    <w:p w14:paraId="2E5F717D" w14:textId="77777777" w:rsidR="007C2198" w:rsidRPr="005D1200" w:rsidRDefault="007C2198" w:rsidP="007C2198">
      <w:pPr>
        <w:pStyle w:val="BulletLevel1"/>
      </w:pPr>
      <w:r w:rsidRPr="005D1200">
        <w:t>Record the repayment of a loan to the applicant</w:t>
      </w:r>
    </w:p>
    <w:p w14:paraId="1E919BA8" w14:textId="77777777" w:rsidR="007C2198" w:rsidRPr="005D1200" w:rsidRDefault="007C2198" w:rsidP="007C2198">
      <w:pPr>
        <w:pStyle w:val="BulletLevel1"/>
      </w:pPr>
      <w:r w:rsidRPr="005D1200">
        <w:t xml:space="preserve">Renew, </w:t>
      </w:r>
      <w:proofErr w:type="gramStart"/>
      <w:r w:rsidRPr="005D1200">
        <w:t>reduce</w:t>
      </w:r>
      <w:proofErr w:type="gramEnd"/>
      <w:r w:rsidRPr="005D1200">
        <w:t xml:space="preserve"> or increase a guarantee issued</w:t>
      </w:r>
    </w:p>
    <w:p w14:paraId="530D4E4D" w14:textId="77777777" w:rsidR="007C2198" w:rsidRPr="005D1200" w:rsidRDefault="007C2198" w:rsidP="007C2198">
      <w:pPr>
        <w:pStyle w:val="BulletLevel1"/>
      </w:pPr>
      <w:r w:rsidRPr="005D1200">
        <w:t>Amend a</w:t>
      </w:r>
      <w:r>
        <w:t>n undertaking</w:t>
      </w:r>
      <w:r w:rsidRPr="007C2198">
        <w:t xml:space="preserve"> </w:t>
      </w:r>
      <w:r w:rsidRPr="005D1200">
        <w:t xml:space="preserve">and record beneficiary approval for the </w:t>
      </w:r>
      <w:r>
        <w:t>amendment</w:t>
      </w:r>
    </w:p>
    <w:p w14:paraId="4081CABF" w14:textId="77777777" w:rsidR="007C2198" w:rsidRPr="005D1200" w:rsidRDefault="007C2198" w:rsidP="007C2198">
      <w:pPr>
        <w:pStyle w:val="BulletLevel1"/>
      </w:pPr>
      <w:r w:rsidRPr="005D1200">
        <w:t>Cancel a</w:t>
      </w:r>
      <w:r>
        <w:t>n undertaking</w:t>
      </w:r>
      <w:r w:rsidRPr="005D1200">
        <w:t xml:space="preserve"> guarantee issued and record beneficiary approval for the cancellation</w:t>
      </w:r>
    </w:p>
    <w:p w14:paraId="063F26F4" w14:textId="2D3FAC43" w:rsidR="00016D2B" w:rsidRPr="005D1200" w:rsidRDefault="00016D2B" w:rsidP="00016D2B">
      <w:pPr>
        <w:pStyle w:val="Heading2"/>
      </w:pPr>
      <w:bookmarkStart w:id="115" w:name="_Toc133234587"/>
      <w:r w:rsidRPr="005D1200">
        <w:t>Licenses User Guide</w:t>
      </w:r>
      <w:bookmarkEnd w:id="115"/>
    </w:p>
    <w:p w14:paraId="3FC61A95" w14:textId="77777777" w:rsidR="00016D2B" w:rsidRPr="005D1200" w:rsidRDefault="00016D2B" w:rsidP="00194FA0">
      <w:pPr>
        <w:pStyle w:val="BodyText"/>
      </w:pPr>
      <w:r w:rsidRPr="005D1200">
        <w:t xml:space="preserve">The </w:t>
      </w:r>
      <w:r w:rsidRPr="005D1200">
        <w:rPr>
          <w:rStyle w:val="Italic"/>
        </w:rPr>
        <w:t xml:space="preserve">Licenses User Guide </w:t>
      </w:r>
      <w:r w:rsidRPr="005D1200">
        <w:t>explains how to use the system to process the licenses which are required in some countries for the importation and exportation of goods. This includes the functionality needed by the bank's trade finance department to maintain the license register, as well as how to link licenses to underlying trade transactions. The Guide provides an overview of the system's licenses functionality and explains how to:</w:t>
      </w:r>
    </w:p>
    <w:p w14:paraId="2DF6ABF5" w14:textId="77777777" w:rsidR="00016D2B" w:rsidRPr="005D1200" w:rsidRDefault="00016D2B" w:rsidP="00ED7118">
      <w:pPr>
        <w:pStyle w:val="BulletLevel1"/>
      </w:pPr>
      <w:r w:rsidRPr="005D1200">
        <w:t>Configure your system to use the licenses functionality</w:t>
      </w:r>
    </w:p>
    <w:p w14:paraId="6B2FAA12" w14:textId="77777777" w:rsidR="00016D2B" w:rsidRPr="005D1200" w:rsidRDefault="00016D2B" w:rsidP="00ED7118">
      <w:pPr>
        <w:pStyle w:val="BulletLevel1"/>
      </w:pPr>
      <w:r w:rsidRPr="005D1200">
        <w:t>Create new licenses on the system, either by entering them from scratch or by copying an existing license to use as the basis for the new one</w:t>
      </w:r>
    </w:p>
    <w:p w14:paraId="1E9C6D1A" w14:textId="77777777" w:rsidR="00016D2B" w:rsidRPr="005D1200" w:rsidRDefault="00016D2B" w:rsidP="00ED7118">
      <w:pPr>
        <w:pStyle w:val="BulletLevel1"/>
      </w:pPr>
      <w:r w:rsidRPr="005D1200">
        <w:t>Link a transaction to a license, including allocating an amount against the transaction and, if necessary, reserving part of the license amount prior to payment</w:t>
      </w:r>
    </w:p>
    <w:p w14:paraId="72123BF5" w14:textId="77777777" w:rsidR="00016D2B" w:rsidRPr="005D1200" w:rsidRDefault="00016D2B" w:rsidP="00ED7118">
      <w:pPr>
        <w:pStyle w:val="BulletLevel1"/>
      </w:pPr>
      <w:r w:rsidRPr="005D1200">
        <w:t xml:space="preserve">Process drawdowns against the license (including how to reinstate any </w:t>
      </w:r>
      <w:proofErr w:type="spellStart"/>
      <w:r w:rsidRPr="005D1200">
        <w:t>unutilised</w:t>
      </w:r>
      <w:proofErr w:type="spellEnd"/>
      <w:r w:rsidRPr="005D1200">
        <w:t xml:space="preserve"> amounts), and how to book off the license</w:t>
      </w:r>
    </w:p>
    <w:p w14:paraId="40932B14" w14:textId="77777777" w:rsidR="0001312D" w:rsidRPr="005D1200" w:rsidRDefault="0001312D" w:rsidP="0001312D">
      <w:pPr>
        <w:pStyle w:val="Heading2"/>
      </w:pPr>
      <w:bookmarkStart w:id="116" w:name="_Toc133234588"/>
      <w:r>
        <w:lastRenderedPageBreak/>
        <w:t xml:space="preserve">Maker Checker </w:t>
      </w:r>
      <w:r w:rsidRPr="005D1200">
        <w:t>User Guide</w:t>
      </w:r>
      <w:bookmarkEnd w:id="116"/>
    </w:p>
    <w:p w14:paraId="68E86884" w14:textId="77777777" w:rsidR="0001312D" w:rsidRPr="005D1200" w:rsidRDefault="0001312D" w:rsidP="00194FA0">
      <w:pPr>
        <w:pStyle w:val="BodyText"/>
      </w:pPr>
      <w:r w:rsidRPr="005D1200">
        <w:t xml:space="preserve">The </w:t>
      </w:r>
      <w:r>
        <w:rPr>
          <w:rStyle w:val="Italic"/>
        </w:rPr>
        <w:t>Maker Checker</w:t>
      </w:r>
      <w:r w:rsidRPr="005D1200">
        <w:rPr>
          <w:rStyle w:val="Italic"/>
        </w:rPr>
        <w:t xml:space="preserve"> User Guide </w:t>
      </w:r>
      <w:r w:rsidRPr="005D1200">
        <w:t xml:space="preserve">explains how the system </w:t>
      </w:r>
      <w:r>
        <w:t>provides the banks the ability to directly enter data safely and in a more secure way into the production system</w:t>
      </w:r>
      <w:r w:rsidR="005D1AD5">
        <w:t>. It explains how you can</w:t>
      </w:r>
      <w:r w:rsidRPr="005D1200">
        <w:t>:</w:t>
      </w:r>
    </w:p>
    <w:p w14:paraId="36FE9062" w14:textId="77777777" w:rsidR="0001312D" w:rsidRDefault="005D1AD5" w:rsidP="00ED7118">
      <w:pPr>
        <w:pStyle w:val="BulletLevel1"/>
      </w:pPr>
      <w:r>
        <w:t xml:space="preserve">Invoke </w:t>
      </w:r>
      <w:r w:rsidR="00843EDF">
        <w:t xml:space="preserve">Maker Checker </w:t>
      </w:r>
      <w:r>
        <w:t>and define the number of approvers</w:t>
      </w:r>
    </w:p>
    <w:p w14:paraId="5EF5BFD0" w14:textId="77777777" w:rsidR="00843EDF" w:rsidRPr="005D1200" w:rsidRDefault="00843EDF" w:rsidP="00ED7118">
      <w:pPr>
        <w:pStyle w:val="BulletLevel1"/>
      </w:pPr>
      <w:r>
        <w:t xml:space="preserve">Maintain and </w:t>
      </w:r>
      <w:proofErr w:type="spellStart"/>
      <w:r>
        <w:t>authorise</w:t>
      </w:r>
      <w:proofErr w:type="spellEnd"/>
      <w:r>
        <w:t xml:space="preserve"> changes to data before they are entered into the production system</w:t>
      </w:r>
    </w:p>
    <w:p w14:paraId="14CC81F4" w14:textId="77777777" w:rsidR="00E6486D" w:rsidRPr="00E6486D" w:rsidRDefault="00E6486D" w:rsidP="00194FA0">
      <w:pPr>
        <w:pStyle w:val="BodyText"/>
      </w:pPr>
      <w:bookmarkStart w:id="117" w:name="O_27262"/>
      <w:bookmarkStart w:id="118" w:name="_Toc317690556"/>
      <w:bookmarkStart w:id="119" w:name="_Toc358282259"/>
      <w:bookmarkStart w:id="120" w:name="_Toc392589764"/>
      <w:bookmarkStart w:id="121" w:name="_Toc411430334"/>
      <w:bookmarkStart w:id="122" w:name="_Toc431831616"/>
      <w:bookmarkEnd w:id="110"/>
      <w:bookmarkEnd w:id="111"/>
      <w:bookmarkEnd w:id="112"/>
      <w:bookmarkEnd w:id="113"/>
      <w:bookmarkEnd w:id="114"/>
      <w:bookmarkEnd w:id="117"/>
    </w:p>
    <w:p w14:paraId="04A23CFE" w14:textId="77777777" w:rsidR="00FD7CEE" w:rsidRPr="005D1200" w:rsidRDefault="00FD7CEE" w:rsidP="00FD7CEE">
      <w:pPr>
        <w:pStyle w:val="Heading2"/>
      </w:pPr>
      <w:bookmarkStart w:id="123" w:name="_Toc133234589"/>
      <w:r w:rsidRPr="005D1200">
        <w:t>Participated Deals User Guide</w:t>
      </w:r>
      <w:bookmarkEnd w:id="118"/>
      <w:bookmarkEnd w:id="119"/>
      <w:bookmarkEnd w:id="120"/>
      <w:bookmarkEnd w:id="121"/>
      <w:bookmarkEnd w:id="122"/>
      <w:bookmarkEnd w:id="123"/>
    </w:p>
    <w:p w14:paraId="5F0A9D76" w14:textId="77777777" w:rsidR="00FD7CEE" w:rsidRPr="005D1200" w:rsidRDefault="00FD7CEE" w:rsidP="00194FA0">
      <w:pPr>
        <w:pStyle w:val="BodyText"/>
      </w:pPr>
      <w:r w:rsidRPr="005D1200">
        <w:t xml:space="preserve">The </w:t>
      </w:r>
      <w:r w:rsidRPr="005D1200">
        <w:rPr>
          <w:rStyle w:val="Italic"/>
        </w:rPr>
        <w:t>Participated Deals User Guide</w:t>
      </w:r>
      <w:r w:rsidRPr="005D1200">
        <w:t xml:space="preserve"> explains how to use </w:t>
      </w:r>
      <w:r w:rsidR="00DB5C1B" w:rsidRPr="005D1200">
        <w:t xml:space="preserve">the system </w:t>
      </w:r>
      <w:r w:rsidRPr="005D1200">
        <w:t>to process participation deals. It explains how you can:</w:t>
      </w:r>
    </w:p>
    <w:p w14:paraId="354792C2" w14:textId="77777777" w:rsidR="00FD7CEE" w:rsidRPr="005D1200" w:rsidRDefault="00FD7CEE" w:rsidP="00ED7118">
      <w:pPr>
        <w:pStyle w:val="BulletLevel1"/>
      </w:pPr>
      <w:r w:rsidRPr="005D1200">
        <w:t>Create a participation deal, either directly or from an event in the transaction being participated</w:t>
      </w:r>
    </w:p>
    <w:p w14:paraId="15D5DC9E" w14:textId="77777777" w:rsidR="00FD7CEE" w:rsidRPr="005D1200" w:rsidRDefault="00FD7CEE" w:rsidP="00ED7118">
      <w:pPr>
        <w:pStyle w:val="BulletLevel1"/>
      </w:pPr>
      <w:r w:rsidRPr="005D1200">
        <w:t>Participate an existing transaction</w:t>
      </w:r>
    </w:p>
    <w:p w14:paraId="487D5F75" w14:textId="77777777" w:rsidR="00FD7CEE" w:rsidRPr="005D1200" w:rsidRDefault="00FD7CEE" w:rsidP="00ED7118">
      <w:pPr>
        <w:pStyle w:val="BulletLevel1"/>
      </w:pPr>
      <w:r w:rsidRPr="005D1200">
        <w:t>Make changes or cancel a participation deal</w:t>
      </w:r>
    </w:p>
    <w:p w14:paraId="0CC3DEFA" w14:textId="77777777" w:rsidR="00FD7CEE" w:rsidRPr="005D1200" w:rsidRDefault="00FD7CEE" w:rsidP="00ED7118">
      <w:pPr>
        <w:pStyle w:val="BulletLevel1"/>
      </w:pPr>
      <w:r w:rsidRPr="005D1200">
        <w:t>Manage shared liability</w:t>
      </w:r>
    </w:p>
    <w:p w14:paraId="3D433BB6" w14:textId="1F0CF7D8" w:rsidR="00CF686F" w:rsidRPr="005D1200" w:rsidRDefault="00CF686F" w:rsidP="00CF686F">
      <w:pPr>
        <w:pStyle w:val="Heading2"/>
      </w:pPr>
      <w:bookmarkStart w:id="124" w:name="O_27263"/>
      <w:bookmarkStart w:id="125" w:name="O_27264"/>
      <w:bookmarkStart w:id="126" w:name="_Toc133234590"/>
      <w:bookmarkStart w:id="127" w:name="_Toc317690558"/>
      <w:bookmarkStart w:id="128" w:name="_Toc358282261"/>
      <w:bookmarkStart w:id="129" w:name="_Toc392589766"/>
      <w:bookmarkStart w:id="130" w:name="_Toc411430336"/>
      <w:bookmarkStart w:id="131" w:name="_Toc431831618"/>
      <w:bookmarkEnd w:id="124"/>
      <w:bookmarkEnd w:id="125"/>
      <w:r>
        <w:t>Received Undertaking</w:t>
      </w:r>
      <w:r w:rsidRPr="005D1200">
        <w:t xml:space="preserve"> User Guide</w:t>
      </w:r>
      <w:bookmarkEnd w:id="126"/>
    </w:p>
    <w:p w14:paraId="57568E6E" w14:textId="49076624" w:rsidR="00CF686F" w:rsidRPr="005D1200" w:rsidRDefault="00CF686F" w:rsidP="00CF686F">
      <w:pPr>
        <w:pStyle w:val="BodyText"/>
      </w:pPr>
      <w:r w:rsidRPr="005D1200">
        <w:t>The</w:t>
      </w:r>
      <w:r w:rsidRPr="005D1200">
        <w:rPr>
          <w:rStyle w:val="Italic"/>
        </w:rPr>
        <w:t xml:space="preserve"> Received </w:t>
      </w:r>
      <w:r>
        <w:rPr>
          <w:rStyle w:val="Italic"/>
        </w:rPr>
        <w:t xml:space="preserve">Undertaking </w:t>
      </w:r>
      <w:r w:rsidRPr="005D1200">
        <w:rPr>
          <w:rStyle w:val="Italic"/>
        </w:rPr>
        <w:t>User Guide</w:t>
      </w:r>
      <w:r w:rsidRPr="005D1200">
        <w:t xml:space="preserve"> provides an overview of how </w:t>
      </w:r>
      <w:r>
        <w:t>details of received undertakings a</w:t>
      </w:r>
      <w:r w:rsidRPr="005D1200">
        <w:t>re processed in the system and explains how you can:</w:t>
      </w:r>
    </w:p>
    <w:p w14:paraId="31187EA5" w14:textId="77777777" w:rsidR="00CF686F" w:rsidRDefault="00CF686F" w:rsidP="00E726CF">
      <w:pPr>
        <w:pStyle w:val="BulletLevel1"/>
      </w:pPr>
      <w:r w:rsidRPr="005D1200">
        <w:t>Advise a received</w:t>
      </w:r>
      <w:r>
        <w:t xml:space="preserve"> undertaking - standby LCs, guarantees and dependent undertakings</w:t>
      </w:r>
      <w:r w:rsidRPr="005D1200">
        <w:t xml:space="preserve"> </w:t>
      </w:r>
    </w:p>
    <w:p w14:paraId="3E33C701" w14:textId="4E8430FE" w:rsidR="00CF686F" w:rsidRPr="005D1200" w:rsidRDefault="00CF686F" w:rsidP="00E726CF">
      <w:pPr>
        <w:pStyle w:val="BulletLevel1"/>
      </w:pPr>
      <w:r w:rsidRPr="005D1200">
        <w:t xml:space="preserve">Record the presentation of documents and make payment against a received </w:t>
      </w:r>
      <w:r>
        <w:t xml:space="preserve">undertaking </w:t>
      </w:r>
      <w:r w:rsidRPr="005D1200">
        <w:t>including the assignment of proceeds to second beneficiaries</w:t>
      </w:r>
    </w:p>
    <w:p w14:paraId="63663CF7" w14:textId="77777777" w:rsidR="00CF686F" w:rsidRPr="005D1200" w:rsidRDefault="00CF686F" w:rsidP="00CF686F">
      <w:pPr>
        <w:pStyle w:val="BulletLevel1"/>
      </w:pPr>
      <w:r w:rsidRPr="005D1200">
        <w:t>Record the repayment of a loan to the applicant</w:t>
      </w:r>
    </w:p>
    <w:p w14:paraId="643DB422" w14:textId="0B62A192" w:rsidR="00CF686F" w:rsidRPr="005D1200" w:rsidRDefault="00CF686F" w:rsidP="00CF686F">
      <w:pPr>
        <w:pStyle w:val="BulletLevel1"/>
      </w:pPr>
      <w:r w:rsidRPr="005D1200">
        <w:t xml:space="preserve">Renew, </w:t>
      </w:r>
      <w:proofErr w:type="gramStart"/>
      <w:r w:rsidRPr="005D1200">
        <w:t>reduce</w:t>
      </w:r>
      <w:proofErr w:type="gramEnd"/>
      <w:r w:rsidRPr="005D1200">
        <w:t xml:space="preserve"> or increase </w:t>
      </w:r>
      <w:r>
        <w:t xml:space="preserve">the amount of </w:t>
      </w:r>
      <w:r w:rsidRPr="005D1200">
        <w:t>a</w:t>
      </w:r>
      <w:r>
        <w:t>n</w:t>
      </w:r>
      <w:r w:rsidRPr="005D1200">
        <w:t xml:space="preserve"> </w:t>
      </w:r>
      <w:r>
        <w:t>undertaking</w:t>
      </w:r>
    </w:p>
    <w:p w14:paraId="59813299" w14:textId="4C551EB2" w:rsidR="00CF686F" w:rsidRDefault="00CF686F" w:rsidP="00E726CF">
      <w:pPr>
        <w:pStyle w:val="BulletLevel1"/>
      </w:pPr>
      <w:r w:rsidRPr="005D1200">
        <w:t>Amend a</w:t>
      </w:r>
      <w:r>
        <w:t xml:space="preserve">n undertaking </w:t>
      </w:r>
      <w:r w:rsidRPr="005D1200">
        <w:t xml:space="preserve">and record beneficiary approval for the </w:t>
      </w:r>
      <w:r>
        <w:t>amendment</w:t>
      </w:r>
    </w:p>
    <w:p w14:paraId="2B25CD17" w14:textId="4DB63699" w:rsidR="00CF686F" w:rsidRPr="005D1200" w:rsidRDefault="00CF686F" w:rsidP="00E726CF">
      <w:pPr>
        <w:pStyle w:val="BulletLevel1"/>
      </w:pPr>
      <w:r w:rsidRPr="005D1200">
        <w:t>Cancel a</w:t>
      </w:r>
      <w:r>
        <w:t>n undertaking</w:t>
      </w:r>
      <w:r w:rsidRPr="005D1200">
        <w:t xml:space="preserve"> and record beneficiary approval for the cancellation</w:t>
      </w:r>
    </w:p>
    <w:p w14:paraId="305ED516" w14:textId="42D6FB84" w:rsidR="00FD7CEE" w:rsidRPr="005D1200" w:rsidRDefault="00FD7CEE" w:rsidP="00FD7CEE">
      <w:pPr>
        <w:pStyle w:val="Heading2"/>
      </w:pPr>
      <w:bookmarkStart w:id="132" w:name="_Toc133234591"/>
      <w:r w:rsidRPr="005D1200">
        <w:t>Reimbursement Authorities User Guide</w:t>
      </w:r>
      <w:bookmarkEnd w:id="127"/>
      <w:bookmarkEnd w:id="128"/>
      <w:bookmarkEnd w:id="129"/>
      <w:bookmarkEnd w:id="130"/>
      <w:bookmarkEnd w:id="131"/>
      <w:bookmarkEnd w:id="132"/>
    </w:p>
    <w:p w14:paraId="4121712D" w14:textId="77777777" w:rsidR="00FD7CEE" w:rsidRPr="005D1200" w:rsidRDefault="00FD7CEE" w:rsidP="00194FA0">
      <w:pPr>
        <w:pStyle w:val="BodyText"/>
      </w:pPr>
      <w:r w:rsidRPr="005D1200">
        <w:t xml:space="preserve">The </w:t>
      </w:r>
      <w:r w:rsidRPr="005D1200">
        <w:rPr>
          <w:rStyle w:val="Italic"/>
        </w:rPr>
        <w:t xml:space="preserve">Reimbursement Authorities User Guide </w:t>
      </w:r>
      <w:r w:rsidRPr="005D1200">
        <w:t xml:space="preserve">provides an overview of how reimbursements are processed in </w:t>
      </w:r>
      <w:r w:rsidR="007B68B1" w:rsidRPr="005D1200">
        <w:t xml:space="preserve">the system </w:t>
      </w:r>
      <w:r w:rsidRPr="005D1200">
        <w:t>and describes how you can:</w:t>
      </w:r>
    </w:p>
    <w:p w14:paraId="3AFFB06D" w14:textId="77777777" w:rsidR="00FD7CEE" w:rsidRPr="005D1200" w:rsidRDefault="00FD7CEE" w:rsidP="00ED7118">
      <w:pPr>
        <w:pStyle w:val="BulletLevel1"/>
      </w:pPr>
      <w:r w:rsidRPr="005D1200">
        <w:t xml:space="preserve">Record a reimbursement </w:t>
      </w:r>
      <w:proofErr w:type="spellStart"/>
      <w:r w:rsidRPr="005D1200">
        <w:t>authorisation</w:t>
      </w:r>
      <w:proofErr w:type="spellEnd"/>
    </w:p>
    <w:p w14:paraId="7E2020B5" w14:textId="77777777" w:rsidR="00FD7CEE" w:rsidRPr="005D1200" w:rsidRDefault="00FD7CEE" w:rsidP="00ED7118">
      <w:pPr>
        <w:pStyle w:val="BulletLevel1"/>
      </w:pPr>
      <w:r w:rsidRPr="005D1200">
        <w:t xml:space="preserve">Record repayments of loans made against reimbursement </w:t>
      </w:r>
      <w:proofErr w:type="spellStart"/>
      <w:r w:rsidRPr="005D1200">
        <w:t>authorisations</w:t>
      </w:r>
      <w:proofErr w:type="spellEnd"/>
    </w:p>
    <w:p w14:paraId="3193BB29" w14:textId="77777777" w:rsidR="00FD7CEE" w:rsidRPr="005D1200" w:rsidRDefault="00FD7CEE" w:rsidP="00ED7118">
      <w:pPr>
        <w:pStyle w:val="BulletLevel1"/>
      </w:pPr>
      <w:r w:rsidRPr="005D1200">
        <w:t xml:space="preserve">Make amendments to a reimbursement </w:t>
      </w:r>
      <w:proofErr w:type="spellStart"/>
      <w:r w:rsidRPr="005D1200">
        <w:t>authorisation</w:t>
      </w:r>
      <w:proofErr w:type="spellEnd"/>
      <w:r w:rsidRPr="005D1200">
        <w:t xml:space="preserve">, including stopping a reimbursement </w:t>
      </w:r>
      <w:proofErr w:type="spellStart"/>
      <w:r w:rsidRPr="005D1200">
        <w:t>authorisation</w:t>
      </w:r>
      <w:proofErr w:type="spellEnd"/>
    </w:p>
    <w:p w14:paraId="0B7FF408" w14:textId="77777777" w:rsidR="00FD7CEE" w:rsidRPr="005D1200" w:rsidRDefault="00FD7CEE" w:rsidP="00ED7118">
      <w:pPr>
        <w:pStyle w:val="BulletLevel1"/>
      </w:pPr>
      <w:r w:rsidRPr="005D1200">
        <w:t xml:space="preserve">Cancel a reimbursement </w:t>
      </w:r>
      <w:proofErr w:type="spellStart"/>
      <w:r w:rsidRPr="005D1200">
        <w:t>authorisation</w:t>
      </w:r>
      <w:proofErr w:type="spellEnd"/>
    </w:p>
    <w:p w14:paraId="46C18C1B" w14:textId="77777777" w:rsidR="00FD7CEE" w:rsidRPr="005D1200" w:rsidRDefault="00FD7CEE" w:rsidP="00194FA0">
      <w:pPr>
        <w:pStyle w:val="BodyText"/>
      </w:pPr>
      <w:r w:rsidRPr="005D1200">
        <w:t>It also explains the effect of payment actions on the processing of charges during a reimbursement payment event.</w:t>
      </w:r>
    </w:p>
    <w:p w14:paraId="0A28C04D" w14:textId="77777777" w:rsidR="00FD7CEE" w:rsidRPr="005D1200" w:rsidRDefault="00FD7CEE" w:rsidP="00194FA0">
      <w:pPr>
        <w:pStyle w:val="BodyText"/>
      </w:pPr>
      <w:r w:rsidRPr="005D1200">
        <w:t>For banks that are running the system without the financing application installed, the guide also explains how to do the following:</w:t>
      </w:r>
    </w:p>
    <w:p w14:paraId="5866114E" w14:textId="77777777" w:rsidR="00FD7CEE" w:rsidRPr="005D1200" w:rsidRDefault="00FD7CEE" w:rsidP="00ED7118">
      <w:pPr>
        <w:pStyle w:val="BulletLevel1"/>
      </w:pPr>
      <w:r w:rsidRPr="005D1200">
        <w:t xml:space="preserve">Log the receipt of claims against a reimbursement </w:t>
      </w:r>
      <w:proofErr w:type="spellStart"/>
      <w:r w:rsidRPr="005D1200">
        <w:t>authorisation</w:t>
      </w:r>
      <w:proofErr w:type="spellEnd"/>
      <w:r w:rsidRPr="005D1200">
        <w:t xml:space="preserve"> and pay a claim under a reimbursement, or complete a claim left unpaid pending enquiries</w:t>
      </w:r>
    </w:p>
    <w:p w14:paraId="5EB2B42D" w14:textId="77777777" w:rsidR="00FD7CEE" w:rsidRPr="005D1200" w:rsidRDefault="00FD7CEE" w:rsidP="00ED7118">
      <w:pPr>
        <w:pStyle w:val="BulletLevel1"/>
      </w:pPr>
      <w:r w:rsidRPr="005D1200">
        <w:t xml:space="preserve">Enter details of loans, additional </w:t>
      </w:r>
      <w:proofErr w:type="gramStart"/>
      <w:r w:rsidRPr="005D1200">
        <w:t>amounts</w:t>
      </w:r>
      <w:proofErr w:type="gramEnd"/>
      <w:r w:rsidRPr="005D1200">
        <w:t xml:space="preserve"> and discounts against payments</w:t>
      </w:r>
    </w:p>
    <w:p w14:paraId="08B71032" w14:textId="77777777" w:rsidR="00FD7CEE" w:rsidRPr="005D1200" w:rsidRDefault="00FD7CEE" w:rsidP="00FD7CEE">
      <w:pPr>
        <w:pStyle w:val="Heading2"/>
      </w:pPr>
      <w:bookmarkStart w:id="133" w:name="O_27265"/>
      <w:bookmarkStart w:id="134" w:name="_Toc317690559"/>
      <w:bookmarkStart w:id="135" w:name="_Toc358282262"/>
      <w:bookmarkStart w:id="136" w:name="_Toc392589767"/>
      <w:bookmarkStart w:id="137" w:name="_Toc411430337"/>
      <w:bookmarkStart w:id="138" w:name="_Toc431831619"/>
      <w:bookmarkStart w:id="139" w:name="_Toc133234592"/>
      <w:bookmarkEnd w:id="133"/>
      <w:r w:rsidRPr="005D1200">
        <w:t>Shipping Guarantees User Guide</w:t>
      </w:r>
      <w:bookmarkEnd w:id="134"/>
      <w:bookmarkEnd w:id="135"/>
      <w:bookmarkEnd w:id="136"/>
      <w:bookmarkEnd w:id="137"/>
      <w:bookmarkEnd w:id="138"/>
      <w:bookmarkEnd w:id="139"/>
    </w:p>
    <w:p w14:paraId="71F50C94" w14:textId="77777777" w:rsidR="00FD7CEE" w:rsidRPr="005D1200" w:rsidRDefault="00FD7CEE" w:rsidP="00194FA0">
      <w:pPr>
        <w:pStyle w:val="BodyText"/>
      </w:pPr>
      <w:r w:rsidRPr="005D1200">
        <w:t xml:space="preserve">The </w:t>
      </w:r>
      <w:r w:rsidRPr="005D1200">
        <w:rPr>
          <w:rStyle w:val="Italic"/>
        </w:rPr>
        <w:t xml:space="preserve">Shipping Guarantees User Guide </w:t>
      </w:r>
      <w:r w:rsidRPr="005D1200">
        <w:t xml:space="preserve">explains how to use </w:t>
      </w:r>
      <w:r w:rsidR="007B68B1" w:rsidRPr="005D1200">
        <w:t xml:space="preserve">the system </w:t>
      </w:r>
      <w:r w:rsidRPr="005D1200">
        <w:t>to process shipping guarantees. It explains:</w:t>
      </w:r>
    </w:p>
    <w:p w14:paraId="60F06F5E" w14:textId="77777777" w:rsidR="00FD7CEE" w:rsidRPr="005D1200" w:rsidRDefault="00FD7CEE" w:rsidP="00ED7118">
      <w:pPr>
        <w:pStyle w:val="BulletLevel1"/>
      </w:pPr>
      <w:r w:rsidRPr="005D1200">
        <w:t xml:space="preserve">How </w:t>
      </w:r>
      <w:r w:rsidR="007B68B1" w:rsidRPr="005D1200">
        <w:t xml:space="preserve">the system </w:t>
      </w:r>
      <w:r w:rsidRPr="005D1200">
        <w:t>handles shipping guarantees</w:t>
      </w:r>
    </w:p>
    <w:p w14:paraId="02ED4EAE" w14:textId="77777777" w:rsidR="00FD7CEE" w:rsidRPr="005D1200" w:rsidRDefault="00FD7CEE" w:rsidP="00ED7118">
      <w:pPr>
        <w:pStyle w:val="BulletLevel1"/>
      </w:pPr>
      <w:r w:rsidRPr="005D1200">
        <w:lastRenderedPageBreak/>
        <w:t xml:space="preserve">How to use </w:t>
      </w:r>
      <w:r w:rsidR="007B68B1" w:rsidRPr="005D1200">
        <w:t xml:space="preserve">the system </w:t>
      </w:r>
      <w:r w:rsidRPr="005D1200">
        <w:t>to record details of a shipping guarantee, and to link a shipping guarantee to a transaction</w:t>
      </w:r>
    </w:p>
    <w:p w14:paraId="64F02168" w14:textId="77777777" w:rsidR="00FD7CEE" w:rsidRPr="005D1200" w:rsidRDefault="00FD7CEE" w:rsidP="00ED7118">
      <w:pPr>
        <w:pStyle w:val="BulletLevel1"/>
      </w:pPr>
      <w:r w:rsidRPr="005D1200">
        <w:t>How to record the delivery of the document of title to the shipping company and process the return of the shipping guarantee from the shipping company</w:t>
      </w:r>
    </w:p>
    <w:p w14:paraId="6B3E7576" w14:textId="77777777" w:rsidR="00FD7CEE" w:rsidRPr="005D1200" w:rsidRDefault="00FD7CEE" w:rsidP="00ED7118">
      <w:pPr>
        <w:pStyle w:val="BulletLevel1"/>
      </w:pPr>
      <w:r w:rsidRPr="005D1200">
        <w:t>How to handle claims made against a shipping guarantee</w:t>
      </w:r>
    </w:p>
    <w:p w14:paraId="562D292D" w14:textId="77777777" w:rsidR="00FD7CEE" w:rsidRPr="005D1200" w:rsidRDefault="00FD7CEE" w:rsidP="00ED7118">
      <w:pPr>
        <w:pStyle w:val="BulletLevel1"/>
      </w:pPr>
      <w:r w:rsidRPr="005D1200">
        <w:t>How to amend a shipping guarantee</w:t>
      </w:r>
    </w:p>
    <w:p w14:paraId="1D918030" w14:textId="77777777" w:rsidR="00FD7CEE" w:rsidRPr="005D1200" w:rsidRDefault="00FD7CEE" w:rsidP="00FD7CEE">
      <w:pPr>
        <w:pStyle w:val="Heading2"/>
      </w:pPr>
      <w:bookmarkStart w:id="140" w:name="O_27266"/>
      <w:bookmarkStart w:id="141" w:name="_Toc317690560"/>
      <w:bookmarkStart w:id="142" w:name="_Toc358282263"/>
      <w:bookmarkStart w:id="143" w:name="_Toc392589768"/>
      <w:bookmarkStart w:id="144" w:name="_Toc411430338"/>
      <w:bookmarkStart w:id="145" w:name="_Toc431831620"/>
      <w:bookmarkStart w:id="146" w:name="_Toc133234593"/>
      <w:bookmarkEnd w:id="140"/>
      <w:r w:rsidRPr="005D1200">
        <w:t>SLA Dashboard User Guide</w:t>
      </w:r>
      <w:bookmarkEnd w:id="141"/>
      <w:bookmarkEnd w:id="142"/>
      <w:bookmarkEnd w:id="143"/>
      <w:bookmarkEnd w:id="144"/>
      <w:bookmarkEnd w:id="145"/>
      <w:bookmarkEnd w:id="146"/>
    </w:p>
    <w:p w14:paraId="71EF66EF" w14:textId="77777777" w:rsidR="00FD7CEE" w:rsidRPr="005D1200" w:rsidRDefault="00FD7CEE" w:rsidP="00194FA0">
      <w:pPr>
        <w:pStyle w:val="BodyText"/>
      </w:pPr>
      <w:r w:rsidRPr="005D1200">
        <w:t xml:space="preserve">The </w:t>
      </w:r>
      <w:r w:rsidRPr="005D1200">
        <w:rPr>
          <w:rStyle w:val="Italic"/>
        </w:rPr>
        <w:t>SLA Dashboard User Guide</w:t>
      </w:r>
      <w:r w:rsidRPr="005D1200">
        <w:t xml:space="preserve"> provides information on </w:t>
      </w:r>
      <w:r w:rsidR="007B68B1" w:rsidRPr="005D1200">
        <w:t>the system</w:t>
      </w:r>
      <w:r w:rsidRPr="005D1200">
        <w:t>'s Dashboard window. It explains:</w:t>
      </w:r>
    </w:p>
    <w:p w14:paraId="084CD331" w14:textId="77777777" w:rsidR="00FD7CEE" w:rsidRPr="005D1200" w:rsidRDefault="00FD7CEE" w:rsidP="00ED7118">
      <w:pPr>
        <w:pStyle w:val="BulletLevel1"/>
      </w:pPr>
      <w:r w:rsidRPr="005D1200">
        <w:t>How to use the Dashboard window to continue work on transactions</w:t>
      </w:r>
    </w:p>
    <w:p w14:paraId="064EB5BA" w14:textId="77777777" w:rsidR="00FD7CEE" w:rsidRPr="005D1200" w:rsidRDefault="00FD7CEE" w:rsidP="00ED7118">
      <w:pPr>
        <w:pStyle w:val="BulletLevel1"/>
      </w:pPr>
      <w:r w:rsidRPr="005D1200">
        <w:t>What the various graphs and charts in the Dashboard window show</w:t>
      </w:r>
    </w:p>
    <w:p w14:paraId="149E5985" w14:textId="77777777" w:rsidR="00FD7CEE" w:rsidRPr="005D1200" w:rsidRDefault="00FD7CEE" w:rsidP="00ED7118">
      <w:pPr>
        <w:pStyle w:val="BulletLevel1"/>
      </w:pPr>
      <w:r w:rsidRPr="005D1200">
        <w:t>How to configure the Dashboard window</w:t>
      </w:r>
    </w:p>
    <w:p w14:paraId="19DCF898" w14:textId="77777777" w:rsidR="00FD7CEE" w:rsidRPr="005D1200" w:rsidRDefault="00FD7CEE" w:rsidP="00ED7118">
      <w:pPr>
        <w:pStyle w:val="BulletLevel1"/>
      </w:pPr>
      <w:r w:rsidRPr="005D1200">
        <w:t>Using the Dashboard window in conjunction with working profiles</w:t>
      </w:r>
    </w:p>
    <w:p w14:paraId="4D399850" w14:textId="77777777" w:rsidR="00FD7CEE" w:rsidRPr="005D1200" w:rsidRDefault="00FD7CEE" w:rsidP="00ED7118">
      <w:pPr>
        <w:pStyle w:val="BulletLevel1"/>
      </w:pPr>
      <w:r w:rsidRPr="005D1200">
        <w:t xml:space="preserve">The relationship between transaction processing using the Dashboard window and standard </w:t>
      </w:r>
      <w:r w:rsidR="007B68B1" w:rsidRPr="005D1200">
        <w:t xml:space="preserve">the system </w:t>
      </w:r>
      <w:r w:rsidRPr="005D1200">
        <w:t>transaction processing</w:t>
      </w:r>
    </w:p>
    <w:p w14:paraId="35951EA3" w14:textId="77777777" w:rsidR="00FD7CEE" w:rsidRPr="005D1200" w:rsidRDefault="00FD7CEE" w:rsidP="00FD7CEE">
      <w:pPr>
        <w:pStyle w:val="Heading2"/>
      </w:pPr>
      <w:bookmarkStart w:id="147" w:name="O_27267"/>
      <w:bookmarkStart w:id="148" w:name="O_27268"/>
      <w:bookmarkStart w:id="149" w:name="_Toc317690562"/>
      <w:bookmarkStart w:id="150" w:name="_Toc358282265"/>
      <w:bookmarkStart w:id="151" w:name="_Toc392589769"/>
      <w:bookmarkStart w:id="152" w:name="_Toc411430339"/>
      <w:bookmarkStart w:id="153" w:name="_Toc431831621"/>
      <w:bookmarkStart w:id="154" w:name="_Toc133234594"/>
      <w:bookmarkEnd w:id="147"/>
      <w:bookmarkEnd w:id="148"/>
      <w:r w:rsidRPr="005D1200">
        <w:t>Supply Chain Finance User Guide</w:t>
      </w:r>
      <w:bookmarkEnd w:id="149"/>
      <w:bookmarkEnd w:id="150"/>
      <w:bookmarkEnd w:id="151"/>
      <w:bookmarkEnd w:id="152"/>
      <w:bookmarkEnd w:id="153"/>
      <w:bookmarkEnd w:id="154"/>
    </w:p>
    <w:p w14:paraId="34C52A6F" w14:textId="77777777" w:rsidR="00FD7CEE" w:rsidRPr="005D1200" w:rsidRDefault="00FD7CEE" w:rsidP="00194FA0">
      <w:pPr>
        <w:pStyle w:val="BodyText"/>
      </w:pPr>
      <w:r w:rsidRPr="005D1200">
        <w:t xml:space="preserve">The </w:t>
      </w:r>
      <w:r w:rsidRPr="005D1200">
        <w:rPr>
          <w:rStyle w:val="Italic"/>
        </w:rPr>
        <w:t xml:space="preserve">Supply Chain Finance User Guide </w:t>
      </w:r>
      <w:r w:rsidRPr="005D1200">
        <w:t xml:space="preserve">provides an overview of how </w:t>
      </w:r>
      <w:r w:rsidR="007B68B1" w:rsidRPr="005D1200">
        <w:t xml:space="preserve">the system </w:t>
      </w:r>
      <w:r w:rsidRPr="005D1200">
        <w:t xml:space="preserve">handles invoices under Buyer and Seller Centric finance and Pool based factoring </w:t>
      </w:r>
      <w:proofErr w:type="spellStart"/>
      <w:r w:rsidRPr="005D1200">
        <w:t>Programmes</w:t>
      </w:r>
      <w:proofErr w:type="spellEnd"/>
      <w:r w:rsidRPr="005D1200">
        <w:t>. It explains how you can:</w:t>
      </w:r>
    </w:p>
    <w:p w14:paraId="0AF9A84A" w14:textId="77777777" w:rsidR="00FD7CEE" w:rsidRPr="005D1200" w:rsidRDefault="00FD7CEE" w:rsidP="00ED7118">
      <w:pPr>
        <w:pStyle w:val="BulletLevel1"/>
      </w:pPr>
      <w:r w:rsidRPr="005D1200">
        <w:t xml:space="preserve">Set up Buyer and Seller Centric </w:t>
      </w:r>
      <w:proofErr w:type="spellStart"/>
      <w:r w:rsidRPr="005D1200">
        <w:t>Programmes</w:t>
      </w:r>
      <w:proofErr w:type="spellEnd"/>
    </w:p>
    <w:p w14:paraId="26B9C8B2" w14:textId="77777777" w:rsidR="00FD7CEE" w:rsidRPr="005D1200" w:rsidRDefault="00FD7CEE" w:rsidP="00ED7118">
      <w:pPr>
        <w:pStyle w:val="BulletLevel1"/>
      </w:pPr>
      <w:r w:rsidRPr="005D1200">
        <w:t>Set up Pool based factoring facilities for customers</w:t>
      </w:r>
    </w:p>
    <w:p w14:paraId="405515C7" w14:textId="77777777" w:rsidR="00FD7CEE" w:rsidRPr="005D1200" w:rsidRDefault="00FD7CEE" w:rsidP="00ED7118">
      <w:pPr>
        <w:pStyle w:val="BulletLevel1"/>
      </w:pPr>
      <w:r w:rsidRPr="005D1200">
        <w:t>Review those Pool based factoring facilities</w:t>
      </w:r>
    </w:p>
    <w:p w14:paraId="1B314737" w14:textId="77777777" w:rsidR="00FD7CEE" w:rsidRPr="005D1200" w:rsidRDefault="00FD7CEE" w:rsidP="00ED7118">
      <w:pPr>
        <w:pStyle w:val="BulletLevel1"/>
      </w:pPr>
      <w:r w:rsidRPr="005D1200">
        <w:t xml:space="preserve">Record a single invoice or multiple invoices under a Buyer or Seller Centric </w:t>
      </w:r>
      <w:proofErr w:type="spellStart"/>
      <w:r w:rsidRPr="005D1200">
        <w:t>Programmes</w:t>
      </w:r>
      <w:proofErr w:type="spellEnd"/>
    </w:p>
    <w:p w14:paraId="4C85CD3D" w14:textId="77777777" w:rsidR="00FD7CEE" w:rsidRPr="005D1200" w:rsidRDefault="00FD7CEE" w:rsidP="00ED7118">
      <w:pPr>
        <w:pStyle w:val="BulletLevel1"/>
      </w:pPr>
      <w:r w:rsidRPr="005D1200">
        <w:t xml:space="preserve">Finance a single or multiple invoices under Buyer or Seller Centric </w:t>
      </w:r>
      <w:proofErr w:type="spellStart"/>
      <w:r w:rsidRPr="005D1200">
        <w:t>Programmes</w:t>
      </w:r>
      <w:proofErr w:type="spellEnd"/>
    </w:p>
    <w:p w14:paraId="441F8935" w14:textId="77777777" w:rsidR="00FD7CEE" w:rsidRPr="005D1200" w:rsidRDefault="00FD7CEE" w:rsidP="00ED7118">
      <w:pPr>
        <w:pStyle w:val="BulletLevel1"/>
      </w:pPr>
      <w:r w:rsidRPr="005D1200">
        <w:t>Repay a finance deal partially, or in full</w:t>
      </w:r>
    </w:p>
    <w:p w14:paraId="08DF8D40" w14:textId="77777777" w:rsidR="00FD7CEE" w:rsidRPr="005D1200" w:rsidRDefault="000C6283" w:rsidP="00ED7118">
      <w:pPr>
        <w:pStyle w:val="BulletLevel1"/>
      </w:pPr>
      <w:r w:rsidRPr="005D1200">
        <w:t>Settle  invoices</w:t>
      </w:r>
    </w:p>
    <w:p w14:paraId="033A7F4F" w14:textId="77777777" w:rsidR="00FD7CEE" w:rsidRPr="005D1200" w:rsidRDefault="00FD7CEE" w:rsidP="00ED7118">
      <w:pPr>
        <w:pStyle w:val="BulletLevel1"/>
      </w:pPr>
      <w:r w:rsidRPr="005D1200">
        <w:t>Link (or unlink) a single credit note to one or more invoices</w:t>
      </w:r>
    </w:p>
    <w:p w14:paraId="7632AFDF" w14:textId="77777777" w:rsidR="00FD7CEE" w:rsidRPr="005D1200" w:rsidRDefault="00FD7CEE" w:rsidP="00ED7118">
      <w:pPr>
        <w:pStyle w:val="BulletLevel1"/>
      </w:pPr>
      <w:r w:rsidRPr="005D1200">
        <w:t xml:space="preserve">Link (or unlink) multiple credit notes to a single invoice </w:t>
      </w:r>
    </w:p>
    <w:p w14:paraId="1191E45F" w14:textId="77777777" w:rsidR="00FD7CEE" w:rsidRPr="005D1200" w:rsidRDefault="00FD7CEE" w:rsidP="00ED7118">
      <w:pPr>
        <w:pStyle w:val="BulletLevel1"/>
      </w:pPr>
      <w:r w:rsidRPr="005D1200">
        <w:t>Handle drawdown requests and drawdowns</w:t>
      </w:r>
    </w:p>
    <w:p w14:paraId="24F2B95A" w14:textId="77777777" w:rsidR="00FD7CEE" w:rsidRPr="005D1200" w:rsidRDefault="00FD7CEE" w:rsidP="00ED7118">
      <w:pPr>
        <w:pStyle w:val="BulletLevel1"/>
      </w:pPr>
      <w:r w:rsidRPr="005D1200">
        <w:t>Process Pool based factoring facility charges</w:t>
      </w:r>
    </w:p>
    <w:p w14:paraId="0EBD64F3" w14:textId="77777777" w:rsidR="00FD7CEE" w:rsidRPr="005D1200" w:rsidRDefault="00FD7CEE" w:rsidP="00FD7CEE">
      <w:pPr>
        <w:pStyle w:val="Heading2"/>
      </w:pPr>
      <w:bookmarkStart w:id="155" w:name="_Toc317690561"/>
      <w:bookmarkStart w:id="156" w:name="_Toc358282264"/>
      <w:bookmarkStart w:id="157" w:name="_Toc392589770"/>
      <w:bookmarkStart w:id="158" w:name="_Toc411430340"/>
      <w:bookmarkStart w:id="159" w:name="_Toc431831622"/>
      <w:bookmarkStart w:id="160" w:name="_Toc133234595"/>
      <w:r w:rsidRPr="005D1200">
        <w:t>Transfer Letters of Credit</w:t>
      </w:r>
      <w:bookmarkEnd w:id="155"/>
      <w:bookmarkEnd w:id="156"/>
      <w:bookmarkEnd w:id="157"/>
      <w:bookmarkEnd w:id="158"/>
      <w:bookmarkEnd w:id="159"/>
      <w:r w:rsidR="009202AD">
        <w:t xml:space="preserve"> User Guide</w:t>
      </w:r>
      <w:bookmarkEnd w:id="160"/>
    </w:p>
    <w:p w14:paraId="12D67B0C" w14:textId="77777777" w:rsidR="00FD7CEE" w:rsidRPr="005D1200" w:rsidRDefault="00FD7CEE" w:rsidP="00194FA0">
      <w:pPr>
        <w:pStyle w:val="BodyText"/>
      </w:pPr>
      <w:r w:rsidRPr="005D1200">
        <w:t xml:space="preserve">The </w:t>
      </w:r>
      <w:r w:rsidRPr="005D1200">
        <w:rPr>
          <w:rStyle w:val="Italic"/>
        </w:rPr>
        <w:t>Transfer Letters of Credit User Guide</w:t>
      </w:r>
      <w:r w:rsidRPr="005D1200">
        <w:t xml:space="preserve"> provides an overview of how transfer letters of credit are processed in </w:t>
      </w:r>
      <w:r w:rsidR="007B68B1" w:rsidRPr="005D1200">
        <w:t>the system</w:t>
      </w:r>
      <w:r w:rsidRPr="005D1200">
        <w:t>, and explains how you can:</w:t>
      </w:r>
    </w:p>
    <w:p w14:paraId="493B3AC0" w14:textId="77777777" w:rsidR="00FD7CEE" w:rsidRPr="005D1200" w:rsidRDefault="00FD7CEE" w:rsidP="00ED7118">
      <w:pPr>
        <w:pStyle w:val="BulletLevel1"/>
      </w:pPr>
      <w:r w:rsidRPr="005D1200">
        <w:t>Create a transferable letter of credit (import or export)</w:t>
      </w:r>
    </w:p>
    <w:p w14:paraId="0049A4DB" w14:textId="77777777" w:rsidR="00FD7CEE" w:rsidRPr="005D1200" w:rsidRDefault="00FD7CEE" w:rsidP="00ED7118">
      <w:pPr>
        <w:pStyle w:val="BulletLevel1"/>
      </w:pPr>
      <w:r w:rsidRPr="005D1200">
        <w:t xml:space="preserve">Create, pay, </w:t>
      </w:r>
      <w:proofErr w:type="gramStart"/>
      <w:r w:rsidRPr="005D1200">
        <w:t>amend</w:t>
      </w:r>
      <w:proofErr w:type="gramEnd"/>
      <w:r w:rsidRPr="005D1200">
        <w:t xml:space="preserve"> and cancel transfer letters of credit</w:t>
      </w:r>
    </w:p>
    <w:p w14:paraId="24461584" w14:textId="6A523426" w:rsidR="00FD7CEE" w:rsidRPr="005D1200" w:rsidRDefault="00B461A1" w:rsidP="00FD7CEE">
      <w:pPr>
        <w:pStyle w:val="Heading1"/>
      </w:pPr>
      <w:bookmarkStart w:id="161" w:name="_Toc317690563"/>
      <w:bookmarkStart w:id="162" w:name="_Toc358282266"/>
      <w:bookmarkStart w:id="163" w:name="_Toc392589771"/>
      <w:bookmarkStart w:id="164" w:name="_Toc411430341"/>
      <w:bookmarkStart w:id="165" w:name="_Toc431831623"/>
      <w:bookmarkStart w:id="166" w:name="_Ref57041282"/>
      <w:bookmarkStart w:id="167" w:name="_Toc133234596"/>
      <w:r>
        <w:lastRenderedPageBreak/>
        <w:t>Trade Innovation</w:t>
      </w:r>
      <w:r w:rsidR="00FD7CEE" w:rsidRPr="005D1200">
        <w:t xml:space="preserve"> System Documentation</w:t>
      </w:r>
      <w:bookmarkEnd w:id="161"/>
      <w:bookmarkEnd w:id="162"/>
      <w:bookmarkEnd w:id="163"/>
      <w:bookmarkEnd w:id="164"/>
      <w:bookmarkEnd w:id="165"/>
      <w:bookmarkEnd w:id="166"/>
      <w:bookmarkEnd w:id="167"/>
    </w:p>
    <w:p w14:paraId="2FB42606" w14:textId="77777777" w:rsidR="00FD7CEE" w:rsidRPr="005D1200" w:rsidRDefault="00FD7CEE" w:rsidP="00194FA0">
      <w:pPr>
        <w:pStyle w:val="BodyText"/>
      </w:pPr>
      <w:r w:rsidRPr="005D1200">
        <w:t>The following manuals have been issued to describe the system.</w:t>
      </w:r>
    </w:p>
    <w:p w14:paraId="2D237777" w14:textId="77777777" w:rsidR="00FD7CEE" w:rsidRPr="005D1200" w:rsidRDefault="00FD7CEE" w:rsidP="00FD7CEE">
      <w:pPr>
        <w:pStyle w:val="Heading2"/>
      </w:pPr>
      <w:bookmarkStart w:id="168" w:name="O_27270"/>
      <w:bookmarkStart w:id="169" w:name="_Toc317690564"/>
      <w:bookmarkStart w:id="170" w:name="_Toc358282267"/>
      <w:bookmarkStart w:id="171" w:name="_Toc392589772"/>
      <w:bookmarkStart w:id="172" w:name="_Toc411430342"/>
      <w:bookmarkStart w:id="173" w:name="_Toc431831624"/>
      <w:bookmarkStart w:id="174" w:name="_Toc133234597"/>
      <w:bookmarkEnd w:id="168"/>
      <w:r w:rsidRPr="005D1200">
        <w:t>Security Guide</w:t>
      </w:r>
      <w:bookmarkEnd w:id="169"/>
      <w:bookmarkEnd w:id="170"/>
      <w:bookmarkEnd w:id="171"/>
      <w:bookmarkEnd w:id="172"/>
      <w:bookmarkEnd w:id="173"/>
      <w:bookmarkEnd w:id="174"/>
    </w:p>
    <w:p w14:paraId="44AAEE6A" w14:textId="77777777" w:rsidR="00FD7CEE" w:rsidRPr="005D1200" w:rsidRDefault="00FD7CEE" w:rsidP="00194FA0">
      <w:pPr>
        <w:pStyle w:val="BodyText"/>
      </w:pPr>
      <w:r w:rsidRPr="005D1200">
        <w:t xml:space="preserve">The </w:t>
      </w:r>
      <w:r w:rsidRPr="005D1200">
        <w:rPr>
          <w:rStyle w:val="Italic"/>
        </w:rPr>
        <w:t>Security Guide</w:t>
      </w:r>
      <w:r w:rsidRPr="005D1200">
        <w:t xml:space="preserve"> is intended for the bank security officer responsible for registering users and controlling their access to </w:t>
      </w:r>
      <w:r w:rsidR="007B68B1" w:rsidRPr="005D1200">
        <w:t>the system</w:t>
      </w:r>
      <w:r w:rsidRPr="005D1200">
        <w:t>. The guide provides an overview of the system's architecture and functionality, and explains how to:</w:t>
      </w:r>
    </w:p>
    <w:p w14:paraId="6C893EB5" w14:textId="77777777" w:rsidR="00FD7CEE" w:rsidRPr="005D1200" w:rsidRDefault="00FD7CEE" w:rsidP="00ED7118">
      <w:pPr>
        <w:pStyle w:val="BulletLevel1"/>
      </w:pPr>
      <w:r w:rsidRPr="005D1200">
        <w:t>Log on and change password, and how to set up and maintain the system security parameters</w:t>
      </w:r>
    </w:p>
    <w:p w14:paraId="68379CAA" w14:textId="77777777" w:rsidR="00FD7CEE" w:rsidRPr="005D1200" w:rsidRDefault="00FD7CEE" w:rsidP="00ED7118">
      <w:pPr>
        <w:pStyle w:val="BulletLevel1"/>
      </w:pPr>
      <w:r w:rsidRPr="005D1200">
        <w:t>Set up user profiles and register, manage and monitor users</w:t>
      </w:r>
    </w:p>
    <w:p w14:paraId="388209CA" w14:textId="77777777" w:rsidR="00FD7CEE" w:rsidRPr="005D1200" w:rsidRDefault="00FD7CEE" w:rsidP="00ED7118">
      <w:pPr>
        <w:pStyle w:val="BulletLevel1"/>
      </w:pPr>
      <w:r w:rsidRPr="005D1200">
        <w:t xml:space="preserve">Set the capabilities that need to be set up to allow users to perform </w:t>
      </w:r>
      <w:proofErr w:type="gramStart"/>
      <w:r w:rsidRPr="005D1200">
        <w:t>particular tasks</w:t>
      </w:r>
      <w:proofErr w:type="gramEnd"/>
    </w:p>
    <w:p w14:paraId="6FBE50AA" w14:textId="77777777" w:rsidR="00FD7CEE" w:rsidRPr="005D1200" w:rsidRDefault="00FD7CEE" w:rsidP="00ED7118">
      <w:pPr>
        <w:pStyle w:val="BulletLevel1"/>
      </w:pPr>
      <w:r w:rsidRPr="005D1200">
        <w:t>It also lists and explains the error messages produced by the system</w:t>
      </w:r>
    </w:p>
    <w:p w14:paraId="73297221" w14:textId="77777777" w:rsidR="00FD7CEE" w:rsidRPr="005D1200" w:rsidRDefault="00FD7CEE" w:rsidP="00FD7CEE">
      <w:pPr>
        <w:pStyle w:val="Heading1"/>
      </w:pPr>
      <w:bookmarkStart w:id="175" w:name="_Toc317690565"/>
      <w:bookmarkStart w:id="176" w:name="_Toc358282268"/>
      <w:bookmarkStart w:id="177" w:name="_Toc392589773"/>
      <w:bookmarkStart w:id="178" w:name="_Toc411430343"/>
      <w:bookmarkStart w:id="179" w:name="_Toc431831625"/>
      <w:bookmarkStart w:id="180" w:name="_Ref57041287"/>
      <w:bookmarkStart w:id="181" w:name="_Toc133234598"/>
      <w:r w:rsidRPr="005D1200">
        <w:lastRenderedPageBreak/>
        <w:t>Set-up and Maintenance</w:t>
      </w:r>
      <w:bookmarkEnd w:id="175"/>
      <w:bookmarkEnd w:id="176"/>
      <w:bookmarkEnd w:id="177"/>
      <w:bookmarkEnd w:id="178"/>
      <w:bookmarkEnd w:id="179"/>
      <w:bookmarkEnd w:id="180"/>
      <w:bookmarkEnd w:id="181"/>
    </w:p>
    <w:p w14:paraId="180C5D3E" w14:textId="77777777" w:rsidR="00FD7CEE" w:rsidRPr="005D1200" w:rsidRDefault="00FD7CEE" w:rsidP="00194FA0">
      <w:pPr>
        <w:pStyle w:val="BodyText"/>
      </w:pPr>
      <w:r w:rsidRPr="005D1200">
        <w:t xml:space="preserve">The following guides have been issued to describe the set-up and maintenance of </w:t>
      </w:r>
      <w:r w:rsidR="007B68B1" w:rsidRPr="005D1200">
        <w:t>the system</w:t>
      </w:r>
      <w:r w:rsidRPr="005D1200">
        <w:t>.</w:t>
      </w:r>
    </w:p>
    <w:p w14:paraId="2D61D3BD" w14:textId="77777777" w:rsidR="00151131" w:rsidRPr="005D1200" w:rsidRDefault="00151131" w:rsidP="00151131">
      <w:pPr>
        <w:pStyle w:val="Heading2"/>
      </w:pPr>
      <w:bookmarkStart w:id="182" w:name="O_27272"/>
      <w:bookmarkStart w:id="183" w:name="_Toc317690569"/>
      <w:bookmarkStart w:id="184" w:name="_Toc358282272"/>
      <w:bookmarkStart w:id="185" w:name="_Toc392589778"/>
      <w:bookmarkStart w:id="186" w:name="_Toc411430348"/>
      <w:bookmarkStart w:id="187" w:name="_Toc431831630"/>
      <w:bookmarkStart w:id="188" w:name="_Toc133234599"/>
      <w:bookmarkStart w:id="189" w:name="_Toc317690566"/>
      <w:bookmarkStart w:id="190" w:name="_Toc358282269"/>
      <w:bookmarkStart w:id="191" w:name="_Toc392589774"/>
      <w:bookmarkStart w:id="192" w:name="_Toc411430344"/>
      <w:bookmarkStart w:id="193" w:name="_Toc431831626"/>
      <w:bookmarkEnd w:id="182"/>
      <w:r w:rsidRPr="005D1200">
        <w:t>Designing Customer Documents</w:t>
      </w:r>
      <w:bookmarkEnd w:id="183"/>
      <w:bookmarkEnd w:id="184"/>
      <w:bookmarkEnd w:id="185"/>
      <w:bookmarkEnd w:id="186"/>
      <w:bookmarkEnd w:id="187"/>
      <w:bookmarkEnd w:id="188"/>
    </w:p>
    <w:p w14:paraId="1D04C6B0" w14:textId="6E23D468" w:rsidR="00151131" w:rsidRPr="005D1200" w:rsidRDefault="00151131" w:rsidP="00194FA0">
      <w:pPr>
        <w:pStyle w:val="BodyText"/>
      </w:pPr>
      <w:r w:rsidRPr="005D1200">
        <w:t xml:space="preserve">The </w:t>
      </w:r>
      <w:r w:rsidRPr="005B7499">
        <w:rPr>
          <w:rStyle w:val="Italic"/>
        </w:rPr>
        <w:t>Documents</w:t>
      </w:r>
      <w:r w:rsidR="005B7499" w:rsidRPr="005B7499">
        <w:t xml:space="preserve"> </w:t>
      </w:r>
      <w:r w:rsidR="005B7499" w:rsidRPr="005B7499">
        <w:rPr>
          <w:i/>
          <w:iCs/>
        </w:rPr>
        <w:t>Template Utility</w:t>
      </w:r>
      <w:r w:rsidR="005B7499">
        <w:t xml:space="preserve"> </w:t>
      </w:r>
      <w:r w:rsidRPr="005D1200">
        <w:t>guide is intended to be read by those responsible for setting up and maintaining the templates used by the system to produce customer documents for transmission by mail or fax. It provides instructions on:</w:t>
      </w:r>
    </w:p>
    <w:p w14:paraId="5B471D49" w14:textId="77777777" w:rsidR="00151131" w:rsidRPr="005D1200" w:rsidRDefault="00151131" w:rsidP="00ED7118">
      <w:pPr>
        <w:pStyle w:val="BulletLevel1"/>
      </w:pPr>
      <w:r w:rsidRPr="005D1200">
        <w:t>Setting up templates in Word</w:t>
      </w:r>
    </w:p>
    <w:p w14:paraId="523B6112" w14:textId="77777777" w:rsidR="00151131" w:rsidRPr="005D1200" w:rsidRDefault="00151131" w:rsidP="00ED7118">
      <w:pPr>
        <w:pStyle w:val="BulletLevel1"/>
      </w:pPr>
      <w:r w:rsidRPr="005D1200">
        <w:t>Using the customer document utility to convert the .dot files into .</w:t>
      </w:r>
      <w:proofErr w:type="spellStart"/>
      <w:r w:rsidRPr="005D1200">
        <w:t>xhtml</w:t>
      </w:r>
      <w:proofErr w:type="spellEnd"/>
      <w:r w:rsidRPr="005D1200">
        <w:t xml:space="preserve"> format, and then upload them into the system and link them to the document types that will use them</w:t>
      </w:r>
    </w:p>
    <w:p w14:paraId="4B07CA6D" w14:textId="77777777" w:rsidR="00151131" w:rsidRPr="005D1200" w:rsidRDefault="00151131" w:rsidP="00ED7118">
      <w:pPr>
        <w:pStyle w:val="BulletLevel1"/>
      </w:pPr>
      <w:r w:rsidRPr="005D1200">
        <w:t>Managing Word .dot templates after the initial creation and take-on of your customer document template set</w:t>
      </w:r>
    </w:p>
    <w:p w14:paraId="04ED9E1A" w14:textId="77777777" w:rsidR="00FD7CEE" w:rsidRPr="005D1200" w:rsidRDefault="00FD7CEE" w:rsidP="00FD7CEE">
      <w:pPr>
        <w:pStyle w:val="Heading2"/>
      </w:pPr>
      <w:bookmarkStart w:id="194" w:name="_Toc133234600"/>
      <w:r w:rsidRPr="005D1200">
        <w:t>Report Tailoring User Guide</w:t>
      </w:r>
      <w:bookmarkEnd w:id="189"/>
      <w:bookmarkEnd w:id="190"/>
      <w:bookmarkEnd w:id="191"/>
      <w:bookmarkEnd w:id="192"/>
      <w:bookmarkEnd w:id="193"/>
      <w:bookmarkEnd w:id="194"/>
    </w:p>
    <w:p w14:paraId="2AD71181" w14:textId="77777777" w:rsidR="00FD7CEE" w:rsidRPr="005D1200" w:rsidRDefault="00FD7CEE" w:rsidP="00194FA0">
      <w:pPr>
        <w:pStyle w:val="BodyText"/>
      </w:pPr>
      <w:r w:rsidRPr="005D1200">
        <w:t xml:space="preserve">The </w:t>
      </w:r>
      <w:r w:rsidRPr="005D1200">
        <w:rPr>
          <w:rStyle w:val="Italic"/>
        </w:rPr>
        <w:t>Report Tailoring User Guide</w:t>
      </w:r>
      <w:r w:rsidRPr="005D1200">
        <w:t xml:space="preserve"> explains how to create </w:t>
      </w:r>
      <w:r w:rsidR="007B68B1" w:rsidRPr="005D1200">
        <w:t xml:space="preserve">the system </w:t>
      </w:r>
      <w:r w:rsidRPr="005D1200">
        <w:t>reports using Crystal Reports. It covers:</w:t>
      </w:r>
    </w:p>
    <w:p w14:paraId="17C75556" w14:textId="77777777" w:rsidR="00FD7CEE" w:rsidRPr="005D1200" w:rsidRDefault="00FD7CEE" w:rsidP="00ED7118">
      <w:pPr>
        <w:pStyle w:val="BulletLevel1"/>
      </w:pPr>
      <w:r w:rsidRPr="005D1200">
        <w:t xml:space="preserve">How to use Crystal Reports to design </w:t>
      </w:r>
      <w:r w:rsidR="007B68B1" w:rsidRPr="005D1200">
        <w:t xml:space="preserve">the system </w:t>
      </w:r>
      <w:r w:rsidRPr="005D1200">
        <w:t xml:space="preserve">reports, and to incorporate them into </w:t>
      </w:r>
      <w:r w:rsidR="007B68B1" w:rsidRPr="005D1200">
        <w:t>the system</w:t>
      </w:r>
    </w:p>
    <w:p w14:paraId="5521850E" w14:textId="77777777" w:rsidR="00FD7CEE" w:rsidRPr="005D1200" w:rsidRDefault="00FD7CEE" w:rsidP="00ED7118">
      <w:pPr>
        <w:pStyle w:val="BulletLevel1"/>
      </w:pPr>
      <w:r w:rsidRPr="005D1200">
        <w:t xml:space="preserve">Setting up record selection criteria, using special facilities provided by </w:t>
      </w:r>
      <w:r w:rsidR="007B68B1" w:rsidRPr="005D1200">
        <w:t>the system</w:t>
      </w:r>
    </w:p>
    <w:p w14:paraId="01FA4880" w14:textId="77777777" w:rsidR="00FD7CEE" w:rsidRPr="005D1200" w:rsidRDefault="00FD7CEE" w:rsidP="00ED7118">
      <w:pPr>
        <w:pStyle w:val="BulletLevel1"/>
      </w:pPr>
      <w:r w:rsidRPr="005D1200">
        <w:t xml:space="preserve">How to create reports using </w:t>
      </w:r>
      <w:r w:rsidR="007B68B1" w:rsidRPr="005D1200">
        <w:t>the system</w:t>
      </w:r>
      <w:r w:rsidRPr="005D1200">
        <w:t>'s user-definable codes and codes for statutory reporting</w:t>
      </w:r>
    </w:p>
    <w:p w14:paraId="79BC04E1" w14:textId="77777777" w:rsidR="00FD7CEE" w:rsidRPr="005D1200" w:rsidRDefault="00FD7CEE" w:rsidP="00ED7118">
      <w:pPr>
        <w:pStyle w:val="BulletLevel1"/>
      </w:pPr>
      <w:r w:rsidRPr="005D1200">
        <w:t xml:space="preserve">It also provides a list of Crystal Reports engine error codes and their meanings, and describes what you must do to ensure that your existing reports still work with the latest release of </w:t>
      </w:r>
      <w:r w:rsidR="007B68B1" w:rsidRPr="005D1200">
        <w:t>the system</w:t>
      </w:r>
    </w:p>
    <w:p w14:paraId="3D14164A" w14:textId="77777777" w:rsidR="00151131" w:rsidRPr="005D1200" w:rsidRDefault="00151131" w:rsidP="00151131">
      <w:pPr>
        <w:pStyle w:val="Heading2"/>
      </w:pPr>
      <w:bookmarkStart w:id="195" w:name="O_27273"/>
      <w:bookmarkStart w:id="196" w:name="_Toc317690568"/>
      <w:bookmarkStart w:id="197" w:name="_Toc358282271"/>
      <w:bookmarkStart w:id="198" w:name="_Toc392589777"/>
      <w:bookmarkStart w:id="199" w:name="_Toc411430347"/>
      <w:bookmarkStart w:id="200" w:name="_Toc431831629"/>
      <w:bookmarkStart w:id="201" w:name="_Toc133234601"/>
      <w:bookmarkStart w:id="202" w:name="_Toc317690567"/>
      <w:bookmarkStart w:id="203" w:name="_Toc358282270"/>
      <w:bookmarkStart w:id="204" w:name="_Toc392589775"/>
      <w:bookmarkStart w:id="205" w:name="_Toc411430345"/>
      <w:bookmarkStart w:id="206" w:name="_Toc431831627"/>
      <w:bookmarkEnd w:id="195"/>
      <w:r w:rsidRPr="005D1200">
        <w:t>Static Data Maintenance User Guide</w:t>
      </w:r>
      <w:bookmarkEnd w:id="196"/>
      <w:bookmarkEnd w:id="197"/>
      <w:bookmarkEnd w:id="198"/>
      <w:bookmarkEnd w:id="199"/>
      <w:bookmarkEnd w:id="200"/>
      <w:bookmarkEnd w:id="201"/>
    </w:p>
    <w:p w14:paraId="46A7EAAD" w14:textId="77777777" w:rsidR="00151131" w:rsidRPr="005D1200" w:rsidRDefault="00151131" w:rsidP="00194FA0">
      <w:pPr>
        <w:pStyle w:val="BodyText"/>
      </w:pPr>
      <w:r w:rsidRPr="005D1200">
        <w:t xml:space="preserve">The </w:t>
      </w:r>
      <w:r w:rsidRPr="005D1200">
        <w:rPr>
          <w:rStyle w:val="Italic"/>
        </w:rPr>
        <w:t>Static Data Maintenance User Guide</w:t>
      </w:r>
      <w:r w:rsidRPr="005D1200">
        <w:t xml:space="preserve"> is intended for staff responsible for setting up and maintaining static data. It includes:</w:t>
      </w:r>
    </w:p>
    <w:p w14:paraId="32E2C7DD" w14:textId="77777777" w:rsidR="00151131" w:rsidRPr="005D1200" w:rsidRDefault="00151131" w:rsidP="00ED7118">
      <w:pPr>
        <w:pStyle w:val="BulletLevel1"/>
      </w:pPr>
      <w:r w:rsidRPr="005D1200">
        <w:t>An overview of how the type of system you run affects what static data is used by the system</w:t>
      </w:r>
    </w:p>
    <w:p w14:paraId="411A3B08" w14:textId="77777777" w:rsidR="00151131" w:rsidRPr="005D1200" w:rsidRDefault="00151131" w:rsidP="00ED7118">
      <w:pPr>
        <w:pStyle w:val="BulletLevel1"/>
      </w:pPr>
      <w:r w:rsidRPr="005D1200">
        <w:t>Instructions on how to log on to the system and run the static data application</w:t>
      </w:r>
    </w:p>
    <w:p w14:paraId="26578244" w14:textId="77777777" w:rsidR="00151131" w:rsidRPr="005D1200" w:rsidRDefault="00151131" w:rsidP="00ED7118">
      <w:pPr>
        <w:pStyle w:val="BulletLevel1"/>
      </w:pPr>
      <w:r w:rsidRPr="005D1200">
        <w:t>An explanation of how to set and maintain the static data used by the system</w:t>
      </w:r>
    </w:p>
    <w:p w14:paraId="062D34D0" w14:textId="77777777" w:rsidR="00E6486D" w:rsidRPr="00E6486D" w:rsidRDefault="00E6486D" w:rsidP="00194FA0">
      <w:pPr>
        <w:pStyle w:val="BodyText"/>
      </w:pPr>
      <w:r w:rsidRPr="00E6486D">
        <w:br w:type="page"/>
      </w:r>
    </w:p>
    <w:p w14:paraId="0F4FB554" w14:textId="77777777" w:rsidR="00FD7CEE" w:rsidRPr="005D1200" w:rsidRDefault="00FD7CEE" w:rsidP="00FD7CEE">
      <w:pPr>
        <w:pStyle w:val="Heading2"/>
      </w:pPr>
      <w:bookmarkStart w:id="207" w:name="_Toc133234602"/>
      <w:r w:rsidRPr="005D1200">
        <w:lastRenderedPageBreak/>
        <w:t>System Tailoring User Guide</w:t>
      </w:r>
      <w:bookmarkEnd w:id="202"/>
      <w:bookmarkEnd w:id="203"/>
      <w:bookmarkEnd w:id="204"/>
      <w:bookmarkEnd w:id="205"/>
      <w:bookmarkEnd w:id="206"/>
      <w:bookmarkEnd w:id="207"/>
    </w:p>
    <w:p w14:paraId="7FEC1FF8" w14:textId="77777777" w:rsidR="00FD7CEE" w:rsidRPr="005D1200" w:rsidRDefault="00FD7CEE" w:rsidP="00194FA0">
      <w:pPr>
        <w:pStyle w:val="BodyText"/>
      </w:pPr>
      <w:r w:rsidRPr="005D1200">
        <w:t xml:space="preserve">The </w:t>
      </w:r>
      <w:r w:rsidRPr="005D1200">
        <w:rPr>
          <w:rStyle w:val="Italic"/>
        </w:rPr>
        <w:t xml:space="preserve">System Tailoring User Guide </w:t>
      </w:r>
      <w:r w:rsidRPr="005D1200">
        <w:t xml:space="preserve">provides an overview of the system tailoring process, explaining what aspects of the system can be tailored. It describes the structure of products and events used by </w:t>
      </w:r>
      <w:r w:rsidR="007B68B1" w:rsidRPr="005D1200">
        <w:t xml:space="preserve">the system </w:t>
      </w:r>
      <w:r w:rsidRPr="005D1200">
        <w:t>and explains how to:</w:t>
      </w:r>
    </w:p>
    <w:p w14:paraId="20935FBC" w14:textId="77777777" w:rsidR="00FD7CEE" w:rsidRPr="005D1200" w:rsidRDefault="00FD7CEE" w:rsidP="00ED7118">
      <w:pPr>
        <w:pStyle w:val="BulletLevel1"/>
      </w:pPr>
      <w:r w:rsidRPr="005D1200">
        <w:t xml:space="preserve">Log on to </w:t>
      </w:r>
      <w:r w:rsidR="007B68B1" w:rsidRPr="005D1200">
        <w:t xml:space="preserve">the system </w:t>
      </w:r>
      <w:r w:rsidRPr="005D1200">
        <w:t>and run applications</w:t>
      </w:r>
    </w:p>
    <w:p w14:paraId="50CC85D7" w14:textId="77777777" w:rsidR="00FD7CEE" w:rsidRPr="005D1200" w:rsidRDefault="00FD7CEE" w:rsidP="00ED7118">
      <w:pPr>
        <w:pStyle w:val="BulletLevel1"/>
      </w:pPr>
      <w:r w:rsidRPr="005D1200">
        <w:t>View which events each product includes, set the initial step for an event, set up reference definitions and allocate blocks of reference numbers to a particular customer</w:t>
      </w:r>
    </w:p>
    <w:p w14:paraId="51375B14" w14:textId="77777777" w:rsidR="00FD7CEE" w:rsidRPr="005D1200" w:rsidRDefault="00FD7CEE" w:rsidP="00ED7118">
      <w:pPr>
        <w:pStyle w:val="BulletLevel1"/>
      </w:pPr>
      <w:r w:rsidRPr="005D1200">
        <w:t>Set the parameters that determine default processing for each product</w:t>
      </w:r>
    </w:p>
    <w:p w14:paraId="53ADDD2A" w14:textId="77777777" w:rsidR="00FD7CEE" w:rsidRPr="005D1200" w:rsidRDefault="00FD7CEE" w:rsidP="00ED7118">
      <w:pPr>
        <w:pStyle w:val="BulletLevel1"/>
      </w:pPr>
      <w:r w:rsidRPr="005D1200">
        <w:t xml:space="preserve">Configure events, including setting the names of events, dependencies between them, and the review and </w:t>
      </w:r>
      <w:proofErr w:type="spellStart"/>
      <w:r w:rsidRPr="005D1200">
        <w:t>authorisation</w:t>
      </w:r>
      <w:proofErr w:type="spellEnd"/>
      <w:r w:rsidRPr="005D1200">
        <w:t xml:space="preserve"> procedure for each event</w:t>
      </w:r>
    </w:p>
    <w:p w14:paraId="500A785D" w14:textId="77777777" w:rsidR="00FD7CEE" w:rsidRPr="005D1200" w:rsidRDefault="00FD7CEE" w:rsidP="00ED7118">
      <w:pPr>
        <w:pStyle w:val="BulletLevel1"/>
      </w:pPr>
      <w:r w:rsidRPr="005D1200">
        <w:t>Group products and transactions for analysis and reporting and retrieval during transaction processing</w:t>
      </w:r>
    </w:p>
    <w:p w14:paraId="3CB85509" w14:textId="77777777" w:rsidR="00FD7CEE" w:rsidRPr="005D1200" w:rsidRDefault="00FD7CEE" w:rsidP="00ED7118">
      <w:pPr>
        <w:pStyle w:val="BulletLevel1"/>
      </w:pPr>
      <w:r w:rsidRPr="005D1200">
        <w:t>Set parameters that apply to the entire system</w:t>
      </w:r>
    </w:p>
    <w:p w14:paraId="06A31E87" w14:textId="77777777" w:rsidR="00FD7CEE" w:rsidRPr="005D1200" w:rsidRDefault="00FD7CEE" w:rsidP="00ED7118">
      <w:pPr>
        <w:pStyle w:val="BulletLevel1"/>
      </w:pPr>
      <w:r w:rsidRPr="005D1200">
        <w:t>Define party roles</w:t>
      </w:r>
    </w:p>
    <w:p w14:paraId="3AD6D5DE" w14:textId="77777777" w:rsidR="00FD7CEE" w:rsidRPr="005D1200" w:rsidRDefault="00FD7CEE" w:rsidP="00ED7118">
      <w:pPr>
        <w:pStyle w:val="BulletLevel1"/>
      </w:pPr>
      <w:r w:rsidRPr="005D1200">
        <w:t>Set up charges and charge schedules. It provides a breakdown of how charges are calculated and explains how to define how the income from charges should be booked</w:t>
      </w:r>
    </w:p>
    <w:p w14:paraId="5ED781A9" w14:textId="77777777" w:rsidR="00FD7CEE" w:rsidRPr="005D1200" w:rsidRDefault="00FD7CEE" w:rsidP="00ED7118">
      <w:pPr>
        <w:pStyle w:val="BulletLevel1"/>
      </w:pPr>
      <w:r w:rsidRPr="005D1200">
        <w:t>Set up interest schedules for financing transactions</w:t>
      </w:r>
    </w:p>
    <w:p w14:paraId="0C960C56" w14:textId="77777777" w:rsidR="00FD7CEE" w:rsidRPr="005D1200" w:rsidRDefault="00FD7CEE" w:rsidP="00ED7118">
      <w:pPr>
        <w:pStyle w:val="BulletLevel1"/>
      </w:pPr>
      <w:r w:rsidRPr="005D1200">
        <w:t>Set up posting definitions and link them to events</w:t>
      </w:r>
    </w:p>
    <w:p w14:paraId="7363EDD8" w14:textId="77777777" w:rsidR="00FD7CEE" w:rsidRPr="005D1200" w:rsidRDefault="00FD7CEE" w:rsidP="00ED7118">
      <w:pPr>
        <w:pStyle w:val="BulletLevel1"/>
      </w:pPr>
      <w:r w:rsidRPr="005D1200">
        <w:t>Generate documents and create templates, linking them to events and to funds movements</w:t>
      </w:r>
    </w:p>
    <w:p w14:paraId="5BA876EC" w14:textId="77777777" w:rsidR="00FD7CEE" w:rsidRPr="005D1200" w:rsidRDefault="00FD7CEE" w:rsidP="00ED7118">
      <w:pPr>
        <w:pStyle w:val="BulletLevel1"/>
      </w:pPr>
      <w:r w:rsidRPr="005D1200">
        <w:t>Create clauses and link them to events</w:t>
      </w:r>
    </w:p>
    <w:p w14:paraId="68E71486" w14:textId="77777777" w:rsidR="00FD7CEE" w:rsidRPr="005D1200" w:rsidRDefault="00FD7CEE" w:rsidP="00ED7118">
      <w:pPr>
        <w:pStyle w:val="BulletLevel1"/>
      </w:pPr>
      <w:r w:rsidRPr="005D1200">
        <w:t>Create tracers and tracer schedules</w:t>
      </w:r>
    </w:p>
    <w:p w14:paraId="040B3BE4" w14:textId="77777777" w:rsidR="00FD7CEE" w:rsidRPr="005D1200" w:rsidRDefault="00FD7CEE" w:rsidP="00ED7118">
      <w:pPr>
        <w:pStyle w:val="BulletLevel1"/>
      </w:pPr>
      <w:r w:rsidRPr="005D1200">
        <w:t>Use the Rules facility</w:t>
      </w:r>
    </w:p>
    <w:p w14:paraId="3E0539D3" w14:textId="77777777" w:rsidR="00FD7CEE" w:rsidRPr="005D1200" w:rsidRDefault="00FD7CEE" w:rsidP="00FD7CEE">
      <w:pPr>
        <w:pStyle w:val="Heading2"/>
      </w:pPr>
      <w:bookmarkStart w:id="208" w:name="_Toc392589776"/>
      <w:bookmarkStart w:id="209" w:name="_Toc411430346"/>
      <w:bookmarkStart w:id="210" w:name="_Toc431831628"/>
      <w:bookmarkStart w:id="211" w:name="_Toc133234603"/>
      <w:r w:rsidRPr="005D1200">
        <w:t>Workflow Tailoring User Guide</w:t>
      </w:r>
      <w:bookmarkEnd w:id="208"/>
      <w:bookmarkEnd w:id="209"/>
      <w:bookmarkEnd w:id="210"/>
      <w:bookmarkEnd w:id="211"/>
    </w:p>
    <w:p w14:paraId="69881CA1" w14:textId="77777777" w:rsidR="00FD7CEE" w:rsidRPr="005D1200" w:rsidRDefault="00FD7CEE" w:rsidP="00FD7CEE">
      <w:pPr>
        <w:rPr>
          <w:highlight w:val="yellow"/>
        </w:rPr>
      </w:pPr>
      <w:r w:rsidRPr="005D1200">
        <w:t xml:space="preserve">The </w:t>
      </w:r>
      <w:r w:rsidRPr="005D1200">
        <w:rPr>
          <w:i/>
        </w:rPr>
        <w:t>Workflow Tailoring User Guide</w:t>
      </w:r>
      <w:r w:rsidRPr="005D1200">
        <w:t xml:space="preserve"> is intended for system administrators responsible for setting up and maintaining the parameters that govern how </w:t>
      </w:r>
      <w:r w:rsidR="007B68B1" w:rsidRPr="005D1200">
        <w:t xml:space="preserve">the system </w:t>
      </w:r>
      <w:r w:rsidRPr="005D1200">
        <w:t>behaves. It covers:</w:t>
      </w:r>
    </w:p>
    <w:p w14:paraId="25BF498C" w14:textId="77777777" w:rsidR="00FD7CEE" w:rsidRPr="005D1200" w:rsidRDefault="00FD7CEE" w:rsidP="00ED7118">
      <w:pPr>
        <w:pStyle w:val="BulletLevel1"/>
      </w:pPr>
      <w:r w:rsidRPr="005D1200">
        <w:t>An overview of the advanced workflow system tailoring process</w:t>
      </w:r>
    </w:p>
    <w:p w14:paraId="36753968" w14:textId="77777777" w:rsidR="00FD7CEE" w:rsidRPr="005D1200" w:rsidRDefault="00FD7CEE" w:rsidP="00ED7118">
      <w:pPr>
        <w:pStyle w:val="BulletLevel1"/>
      </w:pPr>
      <w:r w:rsidRPr="005D1200">
        <w:t xml:space="preserve">Instructions on how to log on to </w:t>
      </w:r>
      <w:r w:rsidR="007B68B1" w:rsidRPr="005D1200">
        <w:t>the system</w:t>
      </w:r>
      <w:r w:rsidRPr="005D1200">
        <w:t>, run applications, and exit from the system</w:t>
      </w:r>
    </w:p>
    <w:p w14:paraId="4A281170" w14:textId="77777777" w:rsidR="00FD7CEE" w:rsidRPr="005D1200" w:rsidRDefault="00FD7CEE" w:rsidP="00ED7118">
      <w:pPr>
        <w:pStyle w:val="BulletLevel1"/>
      </w:pPr>
      <w:r w:rsidRPr="005D1200">
        <w:t>Explains on how to create and maintain workflow orchestration steps and templates</w:t>
      </w:r>
    </w:p>
    <w:p w14:paraId="7E31DA8A" w14:textId="77777777" w:rsidR="00FD7CEE" w:rsidRPr="005D1200" w:rsidRDefault="00FD7CEE" w:rsidP="00ED7118">
      <w:pPr>
        <w:pStyle w:val="BulletLevel1"/>
      </w:pPr>
      <w:r w:rsidRPr="005D1200">
        <w:t>Explains on how to create and map orchestration parameter sets</w:t>
      </w:r>
    </w:p>
    <w:p w14:paraId="5999CCB4" w14:textId="77777777" w:rsidR="00FD7CEE" w:rsidRPr="005D1200" w:rsidRDefault="00FD7CEE" w:rsidP="00ED7118">
      <w:pPr>
        <w:pStyle w:val="BulletLevel1"/>
      </w:pPr>
      <w:r w:rsidRPr="005D1200">
        <w:t>Describes and explains how to define step level documents</w:t>
      </w:r>
    </w:p>
    <w:p w14:paraId="7C4EF6DE" w14:textId="77777777" w:rsidR="00FD7CEE" w:rsidRPr="005D1200" w:rsidRDefault="00FD7CEE" w:rsidP="00ED7118">
      <w:pPr>
        <w:pStyle w:val="BulletLevel1"/>
      </w:pPr>
      <w:r w:rsidRPr="005D1200">
        <w:t>Explains on how to map exchange and external review step services to external systems</w:t>
      </w:r>
    </w:p>
    <w:p w14:paraId="7C61AEE9" w14:textId="77777777" w:rsidR="00FD7CEE" w:rsidRPr="005D1200" w:rsidRDefault="00FD7CEE" w:rsidP="00FD7CEE">
      <w:pPr>
        <w:pStyle w:val="Heading1"/>
      </w:pPr>
      <w:bookmarkStart w:id="212" w:name="O_27274"/>
      <w:bookmarkStart w:id="213" w:name="O_54565"/>
      <w:bookmarkStart w:id="214" w:name="_Toc317690570"/>
      <w:bookmarkStart w:id="215" w:name="_Toc358282273"/>
      <w:bookmarkStart w:id="216" w:name="_Toc392589779"/>
      <w:bookmarkStart w:id="217" w:name="_Toc411430349"/>
      <w:bookmarkStart w:id="218" w:name="_Toc431831631"/>
      <w:bookmarkStart w:id="219" w:name="_Ref57041295"/>
      <w:bookmarkStart w:id="220" w:name="_Toc133234604"/>
      <w:bookmarkEnd w:id="212"/>
      <w:bookmarkEnd w:id="213"/>
      <w:r w:rsidRPr="005D1200">
        <w:lastRenderedPageBreak/>
        <w:t>Business Reference and Daily Operations Documentation</w:t>
      </w:r>
      <w:bookmarkEnd w:id="214"/>
      <w:bookmarkEnd w:id="215"/>
      <w:bookmarkEnd w:id="216"/>
      <w:bookmarkEnd w:id="217"/>
      <w:bookmarkEnd w:id="218"/>
      <w:bookmarkEnd w:id="219"/>
      <w:bookmarkEnd w:id="220"/>
    </w:p>
    <w:p w14:paraId="4A80220C" w14:textId="77777777" w:rsidR="00FD7CEE" w:rsidRPr="005D1200" w:rsidRDefault="00FD7CEE" w:rsidP="00194FA0">
      <w:pPr>
        <w:pStyle w:val="BodyText"/>
      </w:pPr>
      <w:r w:rsidRPr="005D1200">
        <w:t>This section describes the manuals that are provided to cover daily operations and business reference.</w:t>
      </w:r>
    </w:p>
    <w:p w14:paraId="30A6F483" w14:textId="77777777" w:rsidR="00FD7CEE" w:rsidRPr="005D1200" w:rsidRDefault="00FD7CEE" w:rsidP="00FD7CEE">
      <w:pPr>
        <w:pStyle w:val="Heading2"/>
      </w:pPr>
      <w:bookmarkStart w:id="221" w:name="O_27276"/>
      <w:bookmarkStart w:id="222" w:name="O_27277"/>
      <w:bookmarkStart w:id="223" w:name="_Toc317690572"/>
      <w:bookmarkStart w:id="224" w:name="_Toc358282275"/>
      <w:bookmarkStart w:id="225" w:name="_Toc392589781"/>
      <w:bookmarkStart w:id="226" w:name="_Toc411430351"/>
      <w:bookmarkStart w:id="227" w:name="_Toc431831633"/>
      <w:bookmarkStart w:id="228" w:name="_Toc133234605"/>
      <w:bookmarkEnd w:id="221"/>
      <w:bookmarkEnd w:id="222"/>
      <w:r w:rsidRPr="005D1200">
        <w:t>Business Operations Guide</w:t>
      </w:r>
      <w:bookmarkEnd w:id="223"/>
      <w:bookmarkEnd w:id="224"/>
      <w:bookmarkEnd w:id="225"/>
      <w:bookmarkEnd w:id="226"/>
      <w:bookmarkEnd w:id="227"/>
      <w:bookmarkEnd w:id="228"/>
    </w:p>
    <w:p w14:paraId="0FFF0A61" w14:textId="77777777" w:rsidR="00FD7CEE" w:rsidRPr="005D1200" w:rsidRDefault="00FD7CEE" w:rsidP="00194FA0">
      <w:pPr>
        <w:pStyle w:val="BodyText"/>
      </w:pPr>
      <w:r w:rsidRPr="005D1200">
        <w:t xml:space="preserve">The </w:t>
      </w:r>
      <w:r w:rsidRPr="005D1200">
        <w:rPr>
          <w:rStyle w:val="Italic"/>
        </w:rPr>
        <w:t>Business Operations Guide</w:t>
      </w:r>
      <w:r w:rsidRPr="005D1200">
        <w:t xml:space="preserve"> provides an overview of daily operations for system administrators. The guide covers:</w:t>
      </w:r>
    </w:p>
    <w:p w14:paraId="463DD4F9" w14:textId="77777777" w:rsidR="00FD7CEE" w:rsidRPr="005D1200" w:rsidRDefault="00FD7CEE" w:rsidP="00ED7118">
      <w:pPr>
        <w:pStyle w:val="BulletLevel1"/>
      </w:pPr>
      <w:r w:rsidRPr="005D1200">
        <w:t xml:space="preserve">How daily batch processing is handled in </w:t>
      </w:r>
      <w:r w:rsidR="007B68B1" w:rsidRPr="005D1200">
        <w:t>the system</w:t>
      </w:r>
      <w:r w:rsidRPr="005D1200">
        <w:t>, and how to configure batch routines</w:t>
      </w:r>
    </w:p>
    <w:p w14:paraId="4D2034F7" w14:textId="77777777" w:rsidR="00FD7CEE" w:rsidRPr="005D1200" w:rsidRDefault="00FD7CEE" w:rsidP="00ED7118">
      <w:pPr>
        <w:pStyle w:val="BulletLevel1"/>
      </w:pPr>
      <w:r w:rsidRPr="005D1200">
        <w:t>How to use the system tailoring and Message Manager applications to view and process inward SWIFT messages</w:t>
      </w:r>
    </w:p>
    <w:p w14:paraId="679CBFC5" w14:textId="77777777" w:rsidR="00FD7CEE" w:rsidRPr="005D1200" w:rsidRDefault="00FD7CEE" w:rsidP="00ED7118">
      <w:pPr>
        <w:pStyle w:val="BulletLevel1"/>
      </w:pPr>
      <w:r w:rsidRPr="005D1200">
        <w:t xml:space="preserve">How to view and transmit outward SWIFT messages generated by </w:t>
      </w:r>
      <w:r w:rsidR="007B68B1" w:rsidRPr="005D1200">
        <w:t xml:space="preserve">the system </w:t>
      </w:r>
      <w:r w:rsidRPr="005D1200">
        <w:t>and incorporate them into the work-flow</w:t>
      </w:r>
    </w:p>
    <w:p w14:paraId="0375D2D2" w14:textId="77777777" w:rsidR="00FD7CEE" w:rsidRPr="005D1200" w:rsidRDefault="00FD7CEE" w:rsidP="00ED7118">
      <w:pPr>
        <w:pStyle w:val="BulletLevel1"/>
      </w:pPr>
      <w:r w:rsidRPr="005D1200">
        <w:t>How to view and handle inward and outward electronic messages</w:t>
      </w:r>
    </w:p>
    <w:p w14:paraId="5A256521" w14:textId="77777777" w:rsidR="00FD7CEE" w:rsidRPr="005D1200" w:rsidRDefault="00FD7CEE" w:rsidP="00ED7118">
      <w:pPr>
        <w:pStyle w:val="BulletLevel1"/>
      </w:pPr>
      <w:r w:rsidRPr="005D1200">
        <w:t>How to use the Message Manager application to process requests received via the customer gateway interface service</w:t>
      </w:r>
    </w:p>
    <w:p w14:paraId="67A58E95" w14:textId="77777777" w:rsidR="00FD7CEE" w:rsidRPr="005D1200" w:rsidRDefault="00FD7CEE" w:rsidP="00ED7118">
      <w:pPr>
        <w:pStyle w:val="BulletLevel1"/>
      </w:pPr>
      <w:r w:rsidRPr="005D1200">
        <w:t>How to enter foreign exchange rates during business hours and how they are applied to transactions awaiting foreign exchange rate fixing</w:t>
      </w:r>
      <w:r w:rsidR="00AC732D">
        <w:t>.</w:t>
      </w:r>
    </w:p>
    <w:p w14:paraId="555BE409" w14:textId="77777777" w:rsidR="00FD7CEE" w:rsidRPr="005D1200" w:rsidRDefault="00FD7CEE" w:rsidP="00194FA0">
      <w:pPr>
        <w:pStyle w:val="BodyText"/>
      </w:pPr>
      <w:r w:rsidRPr="005D1200">
        <w:t xml:space="preserve">It also lists of all SWIFT message types supported by </w:t>
      </w:r>
      <w:r w:rsidR="007B68B1" w:rsidRPr="005D1200">
        <w:t>the system</w:t>
      </w:r>
      <w:r w:rsidRPr="005D1200">
        <w:t>.</w:t>
      </w:r>
    </w:p>
    <w:p w14:paraId="41481B6A" w14:textId="77777777" w:rsidR="00062544" w:rsidRPr="005D1200" w:rsidRDefault="00062544" w:rsidP="00062544">
      <w:pPr>
        <w:pStyle w:val="Heading2"/>
      </w:pPr>
      <w:bookmarkStart w:id="229" w:name="O_27278"/>
      <w:bookmarkStart w:id="230" w:name="_Toc133234606"/>
      <w:bookmarkStart w:id="231" w:name="_Toc317690571"/>
      <w:bookmarkStart w:id="232" w:name="_Toc358282274"/>
      <w:bookmarkStart w:id="233" w:name="_Toc392589780"/>
      <w:bookmarkStart w:id="234" w:name="_Toc411430350"/>
      <w:bookmarkStart w:id="235" w:name="_Toc431831632"/>
      <w:bookmarkStart w:id="236" w:name="_Toc317690573"/>
      <w:bookmarkStart w:id="237" w:name="_Toc358282276"/>
      <w:bookmarkStart w:id="238" w:name="_Toc392589782"/>
      <w:bookmarkStart w:id="239" w:name="_Toc411430352"/>
      <w:bookmarkStart w:id="240" w:name="_Toc431831634"/>
      <w:bookmarkEnd w:id="229"/>
      <w:r w:rsidRPr="005D1200">
        <w:t>Business Reference Guide</w:t>
      </w:r>
      <w:bookmarkEnd w:id="230"/>
    </w:p>
    <w:p w14:paraId="06508BCD" w14:textId="77777777" w:rsidR="00062544" w:rsidRPr="005D1200" w:rsidRDefault="00062544" w:rsidP="00194FA0">
      <w:pPr>
        <w:pStyle w:val="BodyText"/>
      </w:pPr>
      <w:r w:rsidRPr="005D1200">
        <w:t xml:space="preserve">The </w:t>
      </w:r>
      <w:r w:rsidRPr="005D1200">
        <w:rPr>
          <w:rStyle w:val="Italic"/>
        </w:rPr>
        <w:t>Business Reference Guide</w:t>
      </w:r>
      <w:r w:rsidRPr="005D1200">
        <w:t xml:space="preserve"> is intended to be read by bank staff responsible for setting up and maintaining the parameters that govern how the system operates </w:t>
      </w:r>
      <w:proofErr w:type="gramStart"/>
      <w:r w:rsidRPr="005D1200">
        <w:t>with regard to</w:t>
      </w:r>
      <w:proofErr w:type="gramEnd"/>
      <w:r w:rsidRPr="005D1200">
        <w:t xml:space="preserve"> accounting. It:</w:t>
      </w:r>
    </w:p>
    <w:p w14:paraId="5B0FE63A" w14:textId="77777777" w:rsidR="00062544" w:rsidRPr="005D1200" w:rsidRDefault="00062544" w:rsidP="00ED7118">
      <w:pPr>
        <w:pStyle w:val="BulletLevel1"/>
      </w:pPr>
      <w:r w:rsidRPr="005D1200">
        <w:t>Outlines the accounting and interest concepts governing charges and postings within the system, and identifies the prerequisite static data required to support charges and postings</w:t>
      </w:r>
    </w:p>
    <w:p w14:paraId="0C00261A" w14:textId="77777777" w:rsidR="00062544" w:rsidRPr="005D1200" w:rsidRDefault="00062544" w:rsidP="00ED7118">
      <w:pPr>
        <w:pStyle w:val="BulletLevel1"/>
      </w:pPr>
      <w:r w:rsidRPr="005D1200">
        <w:t>Describes the principles governing the application of interest rates to financing transactions</w:t>
      </w:r>
    </w:p>
    <w:p w14:paraId="7CC25D8D" w14:textId="77777777" w:rsidR="00062544" w:rsidRPr="005D1200" w:rsidRDefault="00062544" w:rsidP="00ED7118">
      <w:pPr>
        <w:pStyle w:val="BulletLevel1"/>
      </w:pPr>
      <w:r w:rsidRPr="005D1200">
        <w:t>Provides examples of each of the different kinds of posting that can be included in an event's posting set</w:t>
      </w:r>
      <w:r>
        <w:t>.</w:t>
      </w:r>
    </w:p>
    <w:p w14:paraId="478BED92" w14:textId="77777777" w:rsidR="00AC732D" w:rsidRPr="005D1200" w:rsidRDefault="00AC732D" w:rsidP="00AC732D">
      <w:pPr>
        <w:pStyle w:val="Heading2"/>
      </w:pPr>
      <w:bookmarkStart w:id="241" w:name="_Toc392589784"/>
      <w:bookmarkStart w:id="242" w:name="_Toc411430354"/>
      <w:bookmarkStart w:id="243" w:name="_Toc431831637"/>
      <w:bookmarkStart w:id="244" w:name="_Toc133234607"/>
      <w:bookmarkStart w:id="245" w:name="_Toc317690574"/>
      <w:bookmarkStart w:id="246" w:name="_Toc358282277"/>
      <w:bookmarkStart w:id="247" w:name="_Toc392589783"/>
      <w:bookmarkStart w:id="248" w:name="_Toc411430353"/>
      <w:bookmarkStart w:id="249" w:name="_Toc431831635"/>
      <w:bookmarkEnd w:id="231"/>
      <w:bookmarkEnd w:id="232"/>
      <w:bookmarkEnd w:id="233"/>
      <w:bookmarkEnd w:id="234"/>
      <w:bookmarkEnd w:id="235"/>
      <w:r w:rsidRPr="005D1200">
        <w:t>Global Processing Implementation Guide</w:t>
      </w:r>
      <w:bookmarkEnd w:id="241"/>
      <w:bookmarkEnd w:id="242"/>
      <w:bookmarkEnd w:id="243"/>
      <w:bookmarkEnd w:id="244"/>
    </w:p>
    <w:p w14:paraId="5E25E3E9" w14:textId="77777777" w:rsidR="00AC732D" w:rsidRPr="005D1200" w:rsidRDefault="00AC732D" w:rsidP="00194FA0">
      <w:pPr>
        <w:pStyle w:val="BodyText"/>
      </w:pPr>
      <w:r w:rsidRPr="005D1200">
        <w:t xml:space="preserve">The </w:t>
      </w:r>
      <w:r w:rsidRPr="005D1200">
        <w:rPr>
          <w:i/>
        </w:rPr>
        <w:t>Global Processing Implementation Guide</w:t>
      </w:r>
      <w:r w:rsidRPr="005D1200">
        <w:t xml:space="preserve"> provides an introduction to the design and principles behind the system’s global processing functionality. It is intended to provide guidance for </w:t>
      </w:r>
      <w:r w:rsidR="003C5987">
        <w:t>Finastra</w:t>
      </w:r>
      <w:r w:rsidRPr="005D1200">
        <w:t xml:space="preserve"> consultants and banks on how to implement global processing.</w:t>
      </w:r>
    </w:p>
    <w:p w14:paraId="6EA554BB" w14:textId="77777777" w:rsidR="00AC732D" w:rsidRPr="005D1200" w:rsidRDefault="00AC732D" w:rsidP="00ED7118">
      <w:pPr>
        <w:pStyle w:val="BulletLevel1"/>
      </w:pPr>
      <w:r w:rsidRPr="005D1200">
        <w:t>Provides an introduction to global processing functionality and introduces some of the technology used</w:t>
      </w:r>
    </w:p>
    <w:p w14:paraId="57B08A23" w14:textId="77777777" w:rsidR="00AC732D" w:rsidRPr="005D1200" w:rsidRDefault="00AC732D" w:rsidP="00ED7118">
      <w:pPr>
        <w:pStyle w:val="BulletLevel1"/>
      </w:pPr>
      <w:r w:rsidRPr="005D1200">
        <w:t>Discusses how a bank should go about implementing global processing including design considerations, decisions the bank will need to make, and outlines the steps in configuring the system to perform global processing</w:t>
      </w:r>
    </w:p>
    <w:p w14:paraId="2AB03277" w14:textId="77777777" w:rsidR="00AC732D" w:rsidRPr="005D1200" w:rsidRDefault="00AC732D" w:rsidP="00ED7118">
      <w:pPr>
        <w:pStyle w:val="BulletLevel1"/>
      </w:pPr>
      <w:r w:rsidRPr="005D1200">
        <w:t>Explains the parameters that need to be set up to support global processing</w:t>
      </w:r>
    </w:p>
    <w:p w14:paraId="448CB93A" w14:textId="77777777" w:rsidR="00AC732D" w:rsidRPr="005D1200" w:rsidRDefault="00AC732D" w:rsidP="00ED7118">
      <w:pPr>
        <w:pStyle w:val="BulletLevel1"/>
      </w:pPr>
      <w:r w:rsidRPr="005D1200">
        <w:t xml:space="preserve">Explains how the Dashboard allows users to monitor </w:t>
      </w:r>
      <w:proofErr w:type="gramStart"/>
      <w:r w:rsidRPr="005D1200">
        <w:t>workloads;</w:t>
      </w:r>
      <w:proofErr w:type="gramEnd"/>
      <w:r w:rsidRPr="005D1200">
        <w:t xml:space="preserve"> for supervisors, workloads of their teams</w:t>
      </w:r>
    </w:p>
    <w:p w14:paraId="65AAB02C" w14:textId="6EA78B24" w:rsidR="00AC732D" w:rsidRPr="005D1200" w:rsidRDefault="00AC732D" w:rsidP="00ED7118">
      <w:pPr>
        <w:pStyle w:val="BulletLevel1"/>
        <w:rPr>
          <w:i/>
        </w:rPr>
      </w:pPr>
      <w:r w:rsidRPr="005D1200">
        <w:t xml:space="preserve">Provides examples of using the system’s global processing functionality with three different banking models, examples showing how transaction branch and enquiry branch affect what transactions a user can access within a team hierarchy, and a list of special terms used in </w:t>
      </w:r>
      <w:r w:rsidRPr="005D1200">
        <w:rPr>
          <w:i/>
        </w:rPr>
        <w:t xml:space="preserve">SDK – Workflow Implementation Guide – </w:t>
      </w:r>
      <w:r w:rsidR="00B461A1">
        <w:rPr>
          <w:i/>
        </w:rPr>
        <w:t>Trade Innovation</w:t>
      </w:r>
      <w:r w:rsidRPr="005D1200">
        <w:rPr>
          <w:i/>
        </w:rPr>
        <w:t>.</w:t>
      </w:r>
    </w:p>
    <w:p w14:paraId="60357A79" w14:textId="3104CE19" w:rsidR="00AC732D" w:rsidRPr="005D1200" w:rsidRDefault="00AC732D" w:rsidP="00AC732D">
      <w:pPr>
        <w:pStyle w:val="Heading2"/>
      </w:pPr>
      <w:bookmarkStart w:id="250" w:name="_Toc133234608"/>
      <w:r w:rsidRPr="005D1200">
        <w:t>Letters of Credit - SWIFT Message Mapping Guide</w:t>
      </w:r>
      <w:bookmarkEnd w:id="245"/>
      <w:bookmarkEnd w:id="246"/>
      <w:bookmarkEnd w:id="247"/>
      <w:bookmarkEnd w:id="248"/>
      <w:bookmarkEnd w:id="249"/>
      <w:bookmarkEnd w:id="250"/>
    </w:p>
    <w:p w14:paraId="7EA862C6" w14:textId="77777777" w:rsidR="00AC732D" w:rsidRPr="005D1200" w:rsidRDefault="00AC732D" w:rsidP="00194FA0">
      <w:pPr>
        <w:pStyle w:val="BodyText"/>
      </w:pPr>
      <w:r w:rsidRPr="005D1200">
        <w:t xml:space="preserve">The </w:t>
      </w:r>
      <w:r w:rsidRPr="005D1200">
        <w:rPr>
          <w:rStyle w:val="Italic"/>
        </w:rPr>
        <w:t>SWIFT Message Mapping Guide</w:t>
      </w:r>
      <w:r w:rsidRPr="005D1200">
        <w:t xml:space="preserve"> provides information on how the system maps information from letter of credit events to SWIFT messages and vice versa.</w:t>
      </w:r>
    </w:p>
    <w:p w14:paraId="1CE23893" w14:textId="77777777" w:rsidR="00AC732D" w:rsidRPr="005D1200" w:rsidRDefault="00AC732D" w:rsidP="00194FA0">
      <w:pPr>
        <w:pStyle w:val="BodyText"/>
      </w:pPr>
      <w:r w:rsidRPr="005D1200">
        <w:t>The document also lists all SWIFT message types supported by the system and, for letters of credit, the events that each can create.</w:t>
      </w:r>
    </w:p>
    <w:p w14:paraId="2DA10F95" w14:textId="77777777" w:rsidR="00AC732D" w:rsidRPr="005D1200" w:rsidRDefault="00AC732D" w:rsidP="00AC732D">
      <w:pPr>
        <w:pStyle w:val="Heading2"/>
      </w:pPr>
      <w:bookmarkStart w:id="251" w:name="_Toc431831636"/>
      <w:bookmarkStart w:id="252" w:name="_Toc133234609"/>
      <w:r w:rsidRPr="005D1200">
        <w:lastRenderedPageBreak/>
        <w:t>MT798 SCORE – Message Mapping Guide</w:t>
      </w:r>
      <w:bookmarkEnd w:id="251"/>
      <w:bookmarkEnd w:id="252"/>
    </w:p>
    <w:p w14:paraId="16DF991A" w14:textId="77777777" w:rsidR="00AC732D" w:rsidRPr="005D1200" w:rsidRDefault="00AC732D" w:rsidP="00194FA0">
      <w:pPr>
        <w:pStyle w:val="BodyText"/>
      </w:pPr>
      <w:r w:rsidRPr="005D1200">
        <w:t xml:space="preserve">The </w:t>
      </w:r>
      <w:r w:rsidRPr="00BC79E2">
        <w:rPr>
          <w:rStyle w:val="Italic"/>
        </w:rPr>
        <w:t>MT798 SCORE Message Mapping Guide</w:t>
      </w:r>
      <w:r w:rsidRPr="005D1200">
        <w:t xml:space="preserve"> provides information on:</w:t>
      </w:r>
    </w:p>
    <w:p w14:paraId="1B014959" w14:textId="77777777" w:rsidR="00AC732D" w:rsidRPr="005D1200" w:rsidRDefault="00AC732D" w:rsidP="00ED7118">
      <w:pPr>
        <w:pStyle w:val="BulletLevel1"/>
      </w:pPr>
      <w:r w:rsidRPr="005D1200">
        <w:t>How the system sends and receives MT798 messages for communication with corporate customers</w:t>
      </w:r>
    </w:p>
    <w:p w14:paraId="1B679913" w14:textId="77777777" w:rsidR="00AC732D" w:rsidRPr="005D1200" w:rsidRDefault="00AC732D" w:rsidP="00ED7118">
      <w:pPr>
        <w:pStyle w:val="BulletLevel1"/>
      </w:pPr>
      <w:r w:rsidRPr="005D1200">
        <w:t>The mappings for each of the index and other messages for letters of credit, standbys and guarantees</w:t>
      </w:r>
      <w:r w:rsidR="00151131">
        <w:t>.</w:t>
      </w:r>
    </w:p>
    <w:p w14:paraId="70683B27" w14:textId="77777777" w:rsidR="00FD7CEE" w:rsidRPr="005D1200" w:rsidRDefault="00FD7CEE" w:rsidP="00FD7CEE">
      <w:pPr>
        <w:pStyle w:val="Heading2"/>
      </w:pPr>
      <w:bookmarkStart w:id="253" w:name="_Toc133234610"/>
      <w:r w:rsidRPr="005D1200">
        <w:t>Reports</w:t>
      </w:r>
      <w:bookmarkEnd w:id="236"/>
      <w:bookmarkEnd w:id="237"/>
      <w:bookmarkEnd w:id="238"/>
      <w:bookmarkEnd w:id="239"/>
      <w:bookmarkEnd w:id="240"/>
      <w:bookmarkEnd w:id="253"/>
    </w:p>
    <w:p w14:paraId="69B22B6B" w14:textId="77777777" w:rsidR="00FD7CEE" w:rsidRPr="005D1200" w:rsidRDefault="00FD7CEE" w:rsidP="00194FA0">
      <w:pPr>
        <w:pStyle w:val="BodyText"/>
      </w:pPr>
      <w:r w:rsidRPr="005D1200">
        <w:t xml:space="preserve">The </w:t>
      </w:r>
      <w:r w:rsidRPr="005D1200">
        <w:rPr>
          <w:rStyle w:val="Italic"/>
        </w:rPr>
        <w:t>Reports</w:t>
      </w:r>
      <w:r w:rsidRPr="005D1200">
        <w:t xml:space="preserve"> manual lists and describes each of the reports delivered with </w:t>
      </w:r>
      <w:r w:rsidR="007B68B1" w:rsidRPr="005D1200">
        <w:t>the system</w:t>
      </w:r>
      <w:r w:rsidRPr="005D1200">
        <w:t>.</w:t>
      </w:r>
    </w:p>
    <w:p w14:paraId="7338A992" w14:textId="77777777" w:rsidR="00FD7CEE" w:rsidRPr="005D1200" w:rsidRDefault="00FD7CEE" w:rsidP="00194FA0">
      <w:pPr>
        <w:pStyle w:val="BodyText"/>
      </w:pPr>
      <w:r w:rsidRPr="005D1200">
        <w:t>It also provides instructions on running reports.</w:t>
      </w:r>
    </w:p>
    <w:p w14:paraId="5FCE2FFC" w14:textId="77777777" w:rsidR="00FD7CEE" w:rsidRPr="005D1200" w:rsidRDefault="00FD7CEE" w:rsidP="00FD7CEE">
      <w:pPr>
        <w:pStyle w:val="Heading2"/>
      </w:pPr>
      <w:bookmarkStart w:id="254" w:name="O_27279"/>
      <w:bookmarkStart w:id="255" w:name="_Toc392589785"/>
      <w:bookmarkStart w:id="256" w:name="_Toc411430355"/>
      <w:bookmarkStart w:id="257" w:name="_Toc431831638"/>
      <w:bookmarkStart w:id="258" w:name="_Toc133234611"/>
      <w:bookmarkEnd w:id="254"/>
      <w:r w:rsidRPr="005D1200">
        <w:t>SDK Workflow Implementation Guide</w:t>
      </w:r>
      <w:bookmarkEnd w:id="255"/>
      <w:bookmarkEnd w:id="256"/>
      <w:bookmarkEnd w:id="257"/>
      <w:bookmarkEnd w:id="258"/>
    </w:p>
    <w:p w14:paraId="0413D0C2" w14:textId="77777777" w:rsidR="00FD7CEE" w:rsidRPr="005D1200" w:rsidRDefault="00FD7CEE" w:rsidP="00FD7CEE">
      <w:r w:rsidRPr="005D1200">
        <w:t xml:space="preserve">The </w:t>
      </w:r>
      <w:r w:rsidRPr="005D1200">
        <w:rPr>
          <w:i/>
        </w:rPr>
        <w:t>SDK – Workflow Implementation Guide</w:t>
      </w:r>
      <w:r w:rsidRPr="005D1200">
        <w:t xml:space="preserve"> provides an introduction to the capabilities of advanced workflow which is a key component of the SDK – Advanced package. It covers the following:</w:t>
      </w:r>
    </w:p>
    <w:p w14:paraId="073C5FC6" w14:textId="77777777" w:rsidR="00FD7CEE" w:rsidRPr="005D1200" w:rsidRDefault="00FD7CEE" w:rsidP="00ED7118">
      <w:pPr>
        <w:pStyle w:val="BulletLevel1"/>
      </w:pPr>
      <w:r w:rsidRPr="005D1200">
        <w:t>Provides an introduction to the principles of advanced workflow</w:t>
      </w:r>
    </w:p>
    <w:p w14:paraId="3232D25F" w14:textId="77777777" w:rsidR="00FD7CEE" w:rsidRPr="005D1200" w:rsidRDefault="00FD7CEE" w:rsidP="00ED7118">
      <w:pPr>
        <w:pStyle w:val="BulletLevel1"/>
      </w:pPr>
      <w:r w:rsidRPr="005D1200">
        <w:t>Provides an overview of advanced workflow</w:t>
      </w:r>
    </w:p>
    <w:p w14:paraId="62BD5D21" w14:textId="77777777" w:rsidR="00FD7CEE" w:rsidRPr="005D1200" w:rsidRDefault="00FD7CEE" w:rsidP="00ED7118">
      <w:pPr>
        <w:pStyle w:val="BulletLevel1"/>
      </w:pPr>
      <w:r w:rsidRPr="005D1200">
        <w:t>Discusses how a bank should go about implementing advanced workflow</w:t>
      </w:r>
    </w:p>
    <w:p w14:paraId="15AA93EE" w14:textId="77777777" w:rsidR="00FD7CEE" w:rsidRPr="005D1200" w:rsidRDefault="00FD7CEE" w:rsidP="00ED7118">
      <w:pPr>
        <w:pStyle w:val="BulletLevel1"/>
      </w:pPr>
      <w:r w:rsidRPr="005D1200">
        <w:t>Explains the configuration options that need to be set up to support advanced workflow processing. It explains each set and the dependencies between them</w:t>
      </w:r>
    </w:p>
    <w:p w14:paraId="4BF9DC3D" w14:textId="77777777" w:rsidR="00FD7CEE" w:rsidRPr="005D1200" w:rsidRDefault="00FD7CEE" w:rsidP="00ED7118">
      <w:pPr>
        <w:pStyle w:val="BulletLevel1"/>
      </w:pPr>
      <w:r w:rsidRPr="005D1200">
        <w:t>Explains how the dashboard allows users to monitor their workflows and, if supervisor, the workloads of their teams, It explains how an external dashboard can be maintained</w:t>
      </w:r>
    </w:p>
    <w:p w14:paraId="4B82F4A3" w14:textId="10AE344D" w:rsidR="00FD7CEE" w:rsidRDefault="00FD7CEE" w:rsidP="00ED7118">
      <w:pPr>
        <w:pStyle w:val="BulletLevel1"/>
      </w:pPr>
      <w:r w:rsidRPr="005D1200">
        <w:t>Provides an example of many of the other software development kit (SDK) components in action, a list of associated documentation, and a list of special terms used</w:t>
      </w:r>
    </w:p>
    <w:p w14:paraId="7A12C840" w14:textId="77777777" w:rsidR="009F059E" w:rsidRPr="005D1200" w:rsidRDefault="009F059E" w:rsidP="009F059E">
      <w:pPr>
        <w:pStyle w:val="Heading2"/>
      </w:pPr>
      <w:bookmarkStart w:id="259" w:name="_Toc133234612"/>
      <w:r>
        <w:t>Undertakings</w:t>
      </w:r>
      <w:r w:rsidRPr="005D1200">
        <w:t xml:space="preserve"> - SWIFT Message Mapping Guide</w:t>
      </w:r>
      <w:bookmarkEnd w:id="259"/>
    </w:p>
    <w:p w14:paraId="3D992B26" w14:textId="6532861F" w:rsidR="009F059E" w:rsidRPr="005D1200" w:rsidRDefault="009F059E" w:rsidP="009F059E">
      <w:pPr>
        <w:pStyle w:val="BodyText"/>
      </w:pPr>
      <w:r w:rsidRPr="005D1200">
        <w:t xml:space="preserve">The </w:t>
      </w:r>
      <w:r w:rsidRPr="005D1200">
        <w:rPr>
          <w:rStyle w:val="Italic"/>
        </w:rPr>
        <w:t>SWIFT Message Mapping Guide</w:t>
      </w:r>
      <w:r w:rsidRPr="005D1200">
        <w:t xml:space="preserve"> provides information on how the system maps information</w:t>
      </w:r>
      <w:r>
        <w:t xml:space="preserve"> to and from the SWIFT MT76n series of </w:t>
      </w:r>
      <w:r w:rsidRPr="005D1200">
        <w:t>messages.</w:t>
      </w:r>
    </w:p>
    <w:p w14:paraId="381919DC" w14:textId="77777777" w:rsidR="009F059E" w:rsidRPr="005D1200" w:rsidRDefault="009F059E" w:rsidP="009F059E">
      <w:pPr>
        <w:pStyle w:val="BodyText"/>
      </w:pPr>
      <w:r w:rsidRPr="005D1200">
        <w:t xml:space="preserve">The document </w:t>
      </w:r>
      <w:r>
        <w:t>lists the</w:t>
      </w:r>
      <w:r w:rsidRPr="005D1200">
        <w:t xml:space="preserve"> SWIFT </w:t>
      </w:r>
      <w:r>
        <w:t xml:space="preserve">MT76n </w:t>
      </w:r>
      <w:r w:rsidRPr="005D1200">
        <w:t xml:space="preserve">message types supported by the system </w:t>
      </w:r>
      <w:r>
        <w:t xml:space="preserve">and </w:t>
      </w:r>
      <w:r w:rsidRPr="005D1200">
        <w:t>the events that each can create.</w:t>
      </w:r>
    </w:p>
    <w:p w14:paraId="0619208E" w14:textId="77777777" w:rsidR="009F059E" w:rsidRPr="005D1200" w:rsidRDefault="009F059E" w:rsidP="009F059E">
      <w:pPr>
        <w:pStyle w:val="BulletLevel1"/>
        <w:numPr>
          <w:ilvl w:val="0"/>
          <w:numId w:val="0"/>
        </w:numPr>
        <w:ind w:left="360" w:hanging="360"/>
      </w:pPr>
    </w:p>
    <w:p w14:paraId="79F0014E" w14:textId="77777777" w:rsidR="00FD7CEE" w:rsidRPr="005D1200" w:rsidRDefault="00FD7CEE" w:rsidP="00FD7CEE">
      <w:pPr>
        <w:pStyle w:val="Heading1"/>
      </w:pPr>
      <w:bookmarkStart w:id="260" w:name="_Toc317690575"/>
      <w:bookmarkStart w:id="261" w:name="_Toc358282278"/>
      <w:bookmarkStart w:id="262" w:name="_Toc392589786"/>
      <w:bookmarkStart w:id="263" w:name="_Toc411430356"/>
      <w:bookmarkStart w:id="264" w:name="_Toc431831639"/>
      <w:bookmarkStart w:id="265" w:name="_Ref57041304"/>
      <w:bookmarkStart w:id="266" w:name="_Toc133234613"/>
      <w:r w:rsidRPr="005D1200">
        <w:lastRenderedPageBreak/>
        <w:t>Technical Documents</w:t>
      </w:r>
      <w:bookmarkEnd w:id="260"/>
      <w:bookmarkEnd w:id="261"/>
      <w:bookmarkEnd w:id="262"/>
      <w:bookmarkEnd w:id="263"/>
      <w:bookmarkEnd w:id="264"/>
      <w:bookmarkEnd w:id="265"/>
      <w:bookmarkEnd w:id="266"/>
    </w:p>
    <w:p w14:paraId="076F035A" w14:textId="77777777" w:rsidR="00FD7CEE" w:rsidRDefault="00FD7CEE" w:rsidP="00194FA0">
      <w:pPr>
        <w:pStyle w:val="BodyText"/>
      </w:pPr>
      <w:r w:rsidRPr="005D1200">
        <w:t xml:space="preserve">The following guides provide technical information on various aspects of </w:t>
      </w:r>
      <w:r w:rsidR="000B7588" w:rsidRPr="005D1200">
        <w:t xml:space="preserve">the system’s </w:t>
      </w:r>
      <w:r w:rsidRPr="005D1200">
        <w:t>functionality.</w:t>
      </w:r>
    </w:p>
    <w:p w14:paraId="48E04A78" w14:textId="77777777" w:rsidR="005A1C4C" w:rsidRPr="005D1200" w:rsidRDefault="005A1C4C" w:rsidP="005A1C4C">
      <w:pPr>
        <w:pStyle w:val="Heading2"/>
      </w:pPr>
      <w:bookmarkStart w:id="267" w:name="O_27281"/>
      <w:bookmarkStart w:id="268" w:name="_Toc133234614"/>
      <w:bookmarkStart w:id="269" w:name="_Toc317690578"/>
      <w:bookmarkStart w:id="270" w:name="_Toc358282281"/>
      <w:bookmarkStart w:id="271" w:name="_Toc392589794"/>
      <w:bookmarkStart w:id="272" w:name="_Toc411430364"/>
      <w:bookmarkStart w:id="273" w:name="_Toc431831647"/>
      <w:bookmarkStart w:id="274" w:name="_Toc317690577"/>
      <w:bookmarkStart w:id="275" w:name="_Toc358282280"/>
      <w:bookmarkStart w:id="276" w:name="_Toc392589793"/>
      <w:bookmarkStart w:id="277" w:name="_Toc411430363"/>
      <w:bookmarkStart w:id="278" w:name="_Toc431831646"/>
      <w:bookmarkEnd w:id="267"/>
      <w:r>
        <w:t>Database Management and Upgrade Guide</w:t>
      </w:r>
      <w:bookmarkEnd w:id="268"/>
    </w:p>
    <w:p w14:paraId="5F95AEF7" w14:textId="77777777" w:rsidR="00195EF4" w:rsidRDefault="0050321E" w:rsidP="00194FA0">
      <w:pPr>
        <w:pStyle w:val="BodyText"/>
      </w:pPr>
      <w:r w:rsidRPr="00FF0DFC">
        <w:t xml:space="preserve">The </w:t>
      </w:r>
      <w:r w:rsidRPr="00FF0DFC">
        <w:rPr>
          <w:rStyle w:val="Italic"/>
        </w:rPr>
        <w:t>Database Management and Upgrade Guide</w:t>
      </w:r>
      <w:r w:rsidRPr="00FF0DFC">
        <w:t xml:space="preserve"> provides instructions </w:t>
      </w:r>
      <w:r w:rsidR="00195EF4">
        <w:t>on how to upgrade from earlier versions of Trade Innovation.</w:t>
      </w:r>
    </w:p>
    <w:p w14:paraId="0C661D9D" w14:textId="77777777" w:rsidR="00A53C45" w:rsidRDefault="00195EF4" w:rsidP="00194FA0">
      <w:pPr>
        <w:pStyle w:val="BodyText"/>
      </w:pPr>
      <w:r>
        <w:t>It describes how to</w:t>
      </w:r>
      <w:r w:rsidR="00A53C45">
        <w:t>:</w:t>
      </w:r>
    </w:p>
    <w:p w14:paraId="448AC862" w14:textId="5967B7A0" w:rsidR="00A53C45" w:rsidRDefault="00A53C45" w:rsidP="00E726CF">
      <w:pPr>
        <w:pStyle w:val="BulletLevel1"/>
      </w:pPr>
      <w:r>
        <w:t xml:space="preserve">create and upgrade the required </w:t>
      </w:r>
      <w:r w:rsidR="00B461A1">
        <w:t>Trade Innovation</w:t>
      </w:r>
      <w:r>
        <w:t xml:space="preserve"> schemas</w:t>
      </w:r>
    </w:p>
    <w:p w14:paraId="1B3621DC" w14:textId="77777777" w:rsidR="00D517EE" w:rsidRDefault="00D517EE" w:rsidP="00E726CF">
      <w:pPr>
        <w:pStyle w:val="BulletLevel1"/>
      </w:pPr>
      <w:r>
        <w:t>take on historical data where an interface to a new system is introduced</w:t>
      </w:r>
    </w:p>
    <w:p w14:paraId="06BDA8A0" w14:textId="77777777" w:rsidR="00362DDD" w:rsidRDefault="00362DDD" w:rsidP="00E726CF">
      <w:pPr>
        <w:pStyle w:val="BulletLevel1"/>
      </w:pPr>
      <w:r>
        <w:t>identify the start point of any upgrade</w:t>
      </w:r>
    </w:p>
    <w:p w14:paraId="34FAC257" w14:textId="77777777" w:rsidR="008202FE" w:rsidRDefault="003F3BC3" w:rsidP="00E726CF">
      <w:pPr>
        <w:pStyle w:val="BulletLevel1"/>
      </w:pPr>
      <w:r>
        <w:t>v</w:t>
      </w:r>
      <w:r w:rsidR="008202FE">
        <w:t>erify data and address issues prior to upgrade</w:t>
      </w:r>
    </w:p>
    <w:p w14:paraId="12FE50A3" w14:textId="77777777" w:rsidR="008202FE" w:rsidRDefault="003F3BC3" w:rsidP="00E726CF">
      <w:pPr>
        <w:pStyle w:val="BulletLevel1"/>
      </w:pPr>
      <w:r>
        <w:t>d</w:t>
      </w:r>
      <w:r w:rsidR="008202FE">
        <w:t>efine property values</w:t>
      </w:r>
    </w:p>
    <w:p w14:paraId="41682633" w14:textId="77777777" w:rsidR="00AE1881" w:rsidRDefault="003F3BC3" w:rsidP="00E726CF">
      <w:pPr>
        <w:pStyle w:val="BulletLevel1"/>
      </w:pPr>
      <w:r>
        <w:t>r</w:t>
      </w:r>
      <w:r w:rsidR="00AE1881">
        <w:t>un the DB Maintain Ut</w:t>
      </w:r>
      <w:r w:rsidR="00F905C3">
        <w:t>i</w:t>
      </w:r>
      <w:r w:rsidR="00AE1881">
        <w:t>lity</w:t>
      </w:r>
    </w:p>
    <w:p w14:paraId="538E5A14" w14:textId="77777777" w:rsidR="005A1C4C" w:rsidRPr="005D1200" w:rsidRDefault="003F3BC3" w:rsidP="00E726CF">
      <w:pPr>
        <w:pStyle w:val="BulletLevel1"/>
      </w:pPr>
      <w:r>
        <w:t>s</w:t>
      </w:r>
      <w:r w:rsidR="00AE1881">
        <w:t>tart the application and run any Config. operations</w:t>
      </w:r>
    </w:p>
    <w:p w14:paraId="022B9B2A" w14:textId="1065C0A6" w:rsidR="00E726CF" w:rsidRDefault="00E726CF" w:rsidP="00A71A8C">
      <w:pPr>
        <w:pStyle w:val="Heading2"/>
      </w:pPr>
      <w:bookmarkStart w:id="279" w:name="_Toc133234615"/>
      <w:r w:rsidRPr="00E726CF">
        <w:t>Deployment Guide - JBoss EAP</w:t>
      </w:r>
      <w:bookmarkEnd w:id="279"/>
    </w:p>
    <w:p w14:paraId="2A9C5428" w14:textId="7AFC4F6A" w:rsidR="00DF2DAD" w:rsidRPr="00DF2DAD" w:rsidRDefault="00DF2DAD" w:rsidP="00DF2DAD">
      <w:pPr>
        <w:pStyle w:val="BodyText"/>
      </w:pPr>
      <w:r w:rsidRPr="00DF2DAD">
        <w:t>Th</w:t>
      </w:r>
      <w:r>
        <w:t xml:space="preserve">e </w:t>
      </w:r>
      <w:r w:rsidRPr="00DF2DAD">
        <w:rPr>
          <w:i/>
          <w:iCs/>
        </w:rPr>
        <w:t>Deployment Guide - JBoss EAP</w:t>
      </w:r>
      <w:r w:rsidRPr="00DF2DAD">
        <w:t xml:space="preserve"> explains how to install, </w:t>
      </w:r>
      <w:proofErr w:type="gramStart"/>
      <w:r w:rsidRPr="00DF2DAD">
        <w:t>configure</w:t>
      </w:r>
      <w:proofErr w:type="gramEnd"/>
      <w:r w:rsidRPr="00DF2DAD">
        <w:t xml:space="preserve"> and deploy the Finastra Trade Innovation product using JBoss EAP as the application server.</w:t>
      </w:r>
    </w:p>
    <w:p w14:paraId="7B6160FA" w14:textId="543D52D8" w:rsidR="000E74EF" w:rsidRDefault="000E74EF" w:rsidP="00A71A8C">
      <w:pPr>
        <w:pStyle w:val="Heading2"/>
      </w:pPr>
      <w:bookmarkStart w:id="280" w:name="_Toc133234616"/>
      <w:r w:rsidRPr="000E74EF">
        <w:t xml:space="preserve">Deployment Guide </w:t>
      </w:r>
      <w:r>
        <w:t>–</w:t>
      </w:r>
      <w:r w:rsidRPr="000E74EF">
        <w:t xml:space="preserve"> WebLogic</w:t>
      </w:r>
      <w:bookmarkEnd w:id="280"/>
    </w:p>
    <w:p w14:paraId="1200A6BB" w14:textId="3C7F81A1" w:rsidR="000E74EF" w:rsidRDefault="000E74EF" w:rsidP="000E74EF">
      <w:pPr>
        <w:pStyle w:val="BodyText"/>
      </w:pPr>
      <w:r w:rsidRPr="000E74EF">
        <w:t>Th</w:t>
      </w:r>
      <w:r>
        <w:t xml:space="preserve">e </w:t>
      </w:r>
      <w:r w:rsidRPr="000E74EF">
        <w:rPr>
          <w:i/>
          <w:iCs/>
        </w:rPr>
        <w:t>Deployment Guide – WebLogic</w:t>
      </w:r>
      <w:r w:rsidRPr="000E74EF">
        <w:t xml:space="preserve"> explains how to install, </w:t>
      </w:r>
      <w:proofErr w:type="gramStart"/>
      <w:r w:rsidRPr="000E74EF">
        <w:t>configure</w:t>
      </w:r>
      <w:proofErr w:type="gramEnd"/>
      <w:r w:rsidRPr="000E74EF">
        <w:t xml:space="preserve"> and deploy the Finastra Trade Innovation product using WebLogic as the application server.</w:t>
      </w:r>
    </w:p>
    <w:p w14:paraId="776A9828" w14:textId="6B218059" w:rsidR="002C6BA0" w:rsidRDefault="002C6BA0" w:rsidP="002C6BA0">
      <w:pPr>
        <w:pStyle w:val="Heading2"/>
      </w:pPr>
      <w:bookmarkStart w:id="281" w:name="_Toc133234617"/>
      <w:r w:rsidRPr="002C6BA0">
        <w:t xml:space="preserve">Deployment Guide </w:t>
      </w:r>
      <w:r>
        <w:t>–</w:t>
      </w:r>
      <w:r w:rsidRPr="002C6BA0">
        <w:t xml:space="preserve"> WebSphere</w:t>
      </w:r>
      <w:bookmarkEnd w:id="281"/>
    </w:p>
    <w:p w14:paraId="7AF1AB1C" w14:textId="029CDB87" w:rsidR="002C6BA0" w:rsidRPr="002C6BA0" w:rsidRDefault="002C6BA0" w:rsidP="002C6BA0">
      <w:pPr>
        <w:pStyle w:val="BodyText"/>
      </w:pPr>
      <w:r w:rsidRPr="002C6BA0">
        <w:t>Th</w:t>
      </w:r>
      <w:r>
        <w:t xml:space="preserve">e </w:t>
      </w:r>
      <w:r w:rsidRPr="002C6BA0">
        <w:rPr>
          <w:i/>
          <w:iCs/>
        </w:rPr>
        <w:t>Deployment Guide – WebSphere</w:t>
      </w:r>
      <w:r w:rsidRPr="002C6BA0">
        <w:t xml:space="preserve"> explains how to install, </w:t>
      </w:r>
      <w:proofErr w:type="gramStart"/>
      <w:r w:rsidRPr="002C6BA0">
        <w:t>configure</w:t>
      </w:r>
      <w:proofErr w:type="gramEnd"/>
      <w:r w:rsidRPr="002C6BA0">
        <w:t xml:space="preserve"> and deploy the Finastra Trade Innovation product using WebSphere as the application server</w:t>
      </w:r>
      <w:r>
        <w:t>.</w:t>
      </w:r>
    </w:p>
    <w:p w14:paraId="17228C28" w14:textId="6F5DC527" w:rsidR="00A71A8C" w:rsidRPr="005D1200" w:rsidRDefault="00A71A8C" w:rsidP="00A71A8C">
      <w:pPr>
        <w:pStyle w:val="Heading2"/>
      </w:pPr>
      <w:bookmarkStart w:id="282" w:name="_Toc133234618"/>
      <w:r w:rsidRPr="005D1200">
        <w:t>Installation Guide</w:t>
      </w:r>
      <w:bookmarkEnd w:id="269"/>
      <w:bookmarkEnd w:id="270"/>
      <w:bookmarkEnd w:id="271"/>
      <w:bookmarkEnd w:id="272"/>
      <w:bookmarkEnd w:id="273"/>
      <w:bookmarkEnd w:id="282"/>
    </w:p>
    <w:p w14:paraId="23679AAC" w14:textId="3009CB02" w:rsidR="00A71A8C" w:rsidRDefault="00A71A8C" w:rsidP="00194FA0">
      <w:pPr>
        <w:pStyle w:val="BodyText"/>
      </w:pPr>
      <w:r w:rsidRPr="005D1200">
        <w:t xml:space="preserve">The </w:t>
      </w:r>
      <w:r w:rsidRPr="005D1200">
        <w:rPr>
          <w:rStyle w:val="Italic"/>
        </w:rPr>
        <w:t>Installation Guide</w:t>
      </w:r>
      <w:r w:rsidRPr="005D1200">
        <w:t xml:space="preserve"> provides instructions on installing the system.</w:t>
      </w:r>
    </w:p>
    <w:p w14:paraId="02BDDCA7" w14:textId="5B065B54" w:rsidR="00390F0A" w:rsidRDefault="00390F0A" w:rsidP="00390F0A">
      <w:pPr>
        <w:pStyle w:val="Heading2"/>
      </w:pPr>
      <w:bookmarkStart w:id="283" w:name="_Toc133234619"/>
      <w:r w:rsidRPr="00390F0A">
        <w:t>Legacy Upgrade Guide</w:t>
      </w:r>
      <w:bookmarkEnd w:id="283"/>
    </w:p>
    <w:p w14:paraId="1DEA86DA" w14:textId="569E7BF2" w:rsidR="00390F0A" w:rsidRPr="00390F0A" w:rsidRDefault="00390F0A" w:rsidP="00390F0A">
      <w:pPr>
        <w:pStyle w:val="BodyText"/>
      </w:pPr>
      <w:r w:rsidRPr="00390F0A">
        <w:t>Th</w:t>
      </w:r>
      <w:r>
        <w:t xml:space="preserve">e </w:t>
      </w:r>
      <w:r w:rsidRPr="00390F0A">
        <w:rPr>
          <w:i/>
          <w:iCs/>
        </w:rPr>
        <w:t xml:space="preserve">Legacy Upgrade Guide </w:t>
      </w:r>
      <w:r w:rsidRPr="00390F0A">
        <w:t>covers the details to perform a legacy upgrade for Trade Innovation</w:t>
      </w:r>
      <w:r w:rsidR="000C7D51">
        <w:t>.</w:t>
      </w:r>
    </w:p>
    <w:p w14:paraId="58A57E8B" w14:textId="77777777" w:rsidR="00CF46FA" w:rsidRPr="005D1200" w:rsidRDefault="00CF46FA" w:rsidP="00760813">
      <w:pPr>
        <w:pStyle w:val="Heading2"/>
      </w:pPr>
      <w:bookmarkStart w:id="284" w:name="O_27283"/>
      <w:bookmarkStart w:id="285" w:name="O_46752"/>
      <w:bookmarkStart w:id="286" w:name="_Toc431831649"/>
      <w:bookmarkStart w:id="287" w:name="_Toc133234620"/>
      <w:bookmarkEnd w:id="274"/>
      <w:bookmarkEnd w:id="275"/>
      <w:bookmarkEnd w:id="276"/>
      <w:bookmarkEnd w:id="277"/>
      <w:bookmarkEnd w:id="278"/>
      <w:bookmarkEnd w:id="284"/>
      <w:bookmarkEnd w:id="285"/>
      <w:r w:rsidRPr="005D1200">
        <w:t>MT798 SCORE I</w:t>
      </w:r>
      <w:r w:rsidR="000A1E70" w:rsidRPr="005D1200">
        <w:t>mplementation</w:t>
      </w:r>
      <w:r w:rsidRPr="005D1200">
        <w:t xml:space="preserve"> Guide</w:t>
      </w:r>
      <w:bookmarkEnd w:id="286"/>
      <w:bookmarkEnd w:id="287"/>
    </w:p>
    <w:p w14:paraId="5FF46DF7" w14:textId="7390DD45" w:rsidR="00CF46FA" w:rsidRDefault="00CF46FA" w:rsidP="00760813">
      <w:r w:rsidRPr="005D1200">
        <w:t xml:space="preserve">The </w:t>
      </w:r>
      <w:r w:rsidRPr="00BC79E2">
        <w:rPr>
          <w:rStyle w:val="Italic"/>
        </w:rPr>
        <w:t xml:space="preserve">MT798 SCORE </w:t>
      </w:r>
      <w:r w:rsidR="000A1E70" w:rsidRPr="00BC79E2">
        <w:rPr>
          <w:rStyle w:val="Italic"/>
        </w:rPr>
        <w:t>Implementation</w:t>
      </w:r>
      <w:r w:rsidRPr="00BC79E2">
        <w:rPr>
          <w:rStyle w:val="Italic"/>
        </w:rPr>
        <w:t xml:space="preserve"> Guide</w:t>
      </w:r>
      <w:r w:rsidRPr="005D1200">
        <w:t xml:space="preserve"> provides information on installing and configuring </w:t>
      </w:r>
      <w:r w:rsidR="006A6F12" w:rsidRPr="006A6F12">
        <w:t>Financial Messaging</w:t>
      </w:r>
      <w:r w:rsidRPr="005D1200">
        <w:t xml:space="preserve"> and </w:t>
      </w:r>
      <w:r w:rsidR="00B461A1">
        <w:t>Trade Innovation</w:t>
      </w:r>
      <w:r w:rsidRPr="005D1200">
        <w:t xml:space="preserve"> </w:t>
      </w:r>
      <w:proofErr w:type="gramStart"/>
      <w:r w:rsidRPr="005D1200">
        <w:t>in order to</w:t>
      </w:r>
      <w:proofErr w:type="gramEnd"/>
      <w:r w:rsidRPr="005D1200">
        <w:t xml:space="preserve"> send and receive MT798 messages with corporate customers.</w:t>
      </w:r>
    </w:p>
    <w:p w14:paraId="3F2B83E8" w14:textId="77777777" w:rsidR="00A71A8C" w:rsidRPr="005D1200" w:rsidRDefault="00A71A8C" w:rsidP="00A71A8C">
      <w:pPr>
        <w:pStyle w:val="Heading2"/>
      </w:pPr>
      <w:bookmarkStart w:id="288" w:name="_Toc317690576"/>
      <w:bookmarkStart w:id="289" w:name="_Toc358282279"/>
      <w:bookmarkStart w:id="290" w:name="_Toc392589787"/>
      <w:bookmarkStart w:id="291" w:name="_Toc411430357"/>
      <w:bookmarkStart w:id="292" w:name="_Toc431831640"/>
      <w:bookmarkStart w:id="293" w:name="_Toc133234621"/>
      <w:r w:rsidRPr="005D1200">
        <w:t>SDK - Application Extension Guide</w:t>
      </w:r>
      <w:bookmarkEnd w:id="288"/>
      <w:bookmarkEnd w:id="289"/>
      <w:bookmarkEnd w:id="290"/>
      <w:bookmarkEnd w:id="291"/>
      <w:bookmarkEnd w:id="292"/>
      <w:bookmarkEnd w:id="293"/>
    </w:p>
    <w:p w14:paraId="037039B2" w14:textId="77777777" w:rsidR="00A71A8C" w:rsidRPr="005D1200" w:rsidRDefault="00A71A8C" w:rsidP="00194FA0">
      <w:pPr>
        <w:pStyle w:val="BodyText"/>
      </w:pPr>
      <w:r w:rsidRPr="005D1200">
        <w:t xml:space="preserve">The </w:t>
      </w:r>
      <w:r w:rsidRPr="005D1200">
        <w:rPr>
          <w:rStyle w:val="Italic"/>
        </w:rPr>
        <w:t>SDK - Application Extension Guide</w:t>
      </w:r>
      <w:r w:rsidRPr="005D1200">
        <w:t xml:space="preserve"> describes how to add extra data fields to the system by using Customisation facilities.</w:t>
      </w:r>
    </w:p>
    <w:p w14:paraId="0362100C" w14:textId="77777777" w:rsidR="00A71A8C" w:rsidRPr="005D1200" w:rsidRDefault="00A71A8C" w:rsidP="00194FA0">
      <w:pPr>
        <w:pStyle w:val="BodyText"/>
      </w:pPr>
      <w:r w:rsidRPr="005D1200">
        <w:t>There are also a few chapters covering some smaller extension points where Java programming skills alone are necessary.</w:t>
      </w:r>
    </w:p>
    <w:p w14:paraId="640E608B"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w:t>
      </w:r>
    </w:p>
    <w:p w14:paraId="169A9994" w14:textId="77777777" w:rsidR="00A71A8C" w:rsidRPr="005D1200" w:rsidRDefault="00A71A8C" w:rsidP="00194FA0">
      <w:pPr>
        <w:pStyle w:val="BodyText"/>
      </w:pPr>
      <w:r w:rsidRPr="005D1200">
        <w:lastRenderedPageBreak/>
        <w:t>It covers:</w:t>
      </w:r>
    </w:p>
    <w:p w14:paraId="44027784" w14:textId="77777777" w:rsidR="00A71A8C" w:rsidRPr="005D1200" w:rsidRDefault="00A71A8C" w:rsidP="00ED7118">
      <w:pPr>
        <w:pStyle w:val="BulletLevel1"/>
      </w:pPr>
      <w:r w:rsidRPr="005D1200">
        <w:t>An introduction to the customisation functionality and the elements and technology involved. It also introduces some terminology used throughout the guide</w:t>
      </w:r>
    </w:p>
    <w:p w14:paraId="2DAFD800" w14:textId="77777777" w:rsidR="00A71A8C" w:rsidRPr="005D1200" w:rsidRDefault="00A71A8C" w:rsidP="00ED7118">
      <w:pPr>
        <w:pStyle w:val="BulletLevel1"/>
      </w:pPr>
      <w:proofErr w:type="spellStart"/>
      <w:r w:rsidRPr="005D1200">
        <w:t>Summarises</w:t>
      </w:r>
      <w:proofErr w:type="spellEnd"/>
      <w:r w:rsidRPr="005D1200">
        <w:t xml:space="preserve"> the runtime features of the system where extensions can be made</w:t>
      </w:r>
    </w:p>
    <w:p w14:paraId="4DFE31B2" w14:textId="77777777" w:rsidR="00A71A8C" w:rsidRPr="005D1200" w:rsidRDefault="00A71A8C" w:rsidP="00ED7118">
      <w:pPr>
        <w:pStyle w:val="BulletLevel1"/>
      </w:pPr>
      <w:r w:rsidRPr="005D1200">
        <w:t>Explains how to create a customisation project</w:t>
      </w:r>
    </w:p>
    <w:p w14:paraId="2BC54E42" w14:textId="77777777" w:rsidR="00A71A8C" w:rsidRPr="005D1200" w:rsidRDefault="00A71A8C" w:rsidP="00ED7118">
      <w:pPr>
        <w:pStyle w:val="BulletLevel1"/>
      </w:pPr>
      <w:r w:rsidRPr="005D1200">
        <w:t>Explains how to use the customisation editor</w:t>
      </w:r>
    </w:p>
    <w:p w14:paraId="4B581696" w14:textId="77777777" w:rsidR="00A71A8C" w:rsidRPr="005D1200" w:rsidRDefault="00A71A8C" w:rsidP="00ED7118">
      <w:pPr>
        <w:pStyle w:val="BulletLevel1"/>
      </w:pPr>
      <w:r w:rsidRPr="005D1200">
        <w:t>Explains how to enhance the default customisation with hand-written code</w:t>
      </w:r>
    </w:p>
    <w:p w14:paraId="0D6765D1" w14:textId="77777777" w:rsidR="00A71A8C" w:rsidRPr="005D1200" w:rsidRDefault="00A71A8C" w:rsidP="00ED7118">
      <w:pPr>
        <w:pStyle w:val="BulletLevel1"/>
      </w:pPr>
      <w:r w:rsidRPr="005D1200">
        <w:t xml:space="preserve">Explains the steps needed to build and deploy </w:t>
      </w:r>
      <w:proofErr w:type="spellStart"/>
      <w:r w:rsidRPr="005D1200">
        <w:t>customised</w:t>
      </w:r>
      <w:proofErr w:type="spellEnd"/>
      <w:r w:rsidRPr="005D1200">
        <w:t xml:space="preserve"> code</w:t>
      </w:r>
    </w:p>
    <w:p w14:paraId="52B9B6ED" w14:textId="77777777" w:rsidR="00A71A8C" w:rsidRPr="005D1200" w:rsidRDefault="00A71A8C" w:rsidP="00ED7118">
      <w:pPr>
        <w:pStyle w:val="BulletLevel1"/>
      </w:pPr>
      <w:r w:rsidRPr="005D1200">
        <w:t>Explains how to define an end of day user control action</w:t>
      </w:r>
    </w:p>
    <w:p w14:paraId="39AB7E2F" w14:textId="77777777" w:rsidR="00A71A8C" w:rsidRPr="005D1200" w:rsidRDefault="00A71A8C" w:rsidP="00ED7118">
      <w:pPr>
        <w:pStyle w:val="BulletLevel1"/>
      </w:pPr>
      <w:r w:rsidRPr="005D1200">
        <w:t>Explains how to create a plug-in to translate an amount into words for a particular language</w:t>
      </w:r>
    </w:p>
    <w:p w14:paraId="0314B3FC" w14:textId="77777777" w:rsidR="00A71A8C" w:rsidRPr="005D1200" w:rsidRDefault="00A71A8C" w:rsidP="00ED7118">
      <w:pPr>
        <w:pStyle w:val="BulletLevel1"/>
      </w:pPr>
      <w:r w:rsidRPr="005D1200">
        <w:t>Explains the approach on how to create a plug-in to interface to a FAX-sending system</w:t>
      </w:r>
    </w:p>
    <w:p w14:paraId="4C497508" w14:textId="77777777" w:rsidR="00A71A8C" w:rsidRPr="005D1200" w:rsidRDefault="00A71A8C" w:rsidP="00ED7118">
      <w:pPr>
        <w:pStyle w:val="BulletLevel1"/>
      </w:pPr>
      <w:r w:rsidRPr="005D1200">
        <w:t>Explains the approach on how to override managing document windows</w:t>
      </w:r>
    </w:p>
    <w:p w14:paraId="391B8D60" w14:textId="77777777" w:rsidR="00A71A8C" w:rsidRPr="005D1200" w:rsidRDefault="00A71A8C" w:rsidP="00ED7118">
      <w:pPr>
        <w:pStyle w:val="BulletLevel1"/>
      </w:pPr>
      <w:r w:rsidRPr="005D1200">
        <w:t>Provides instructions on upgrading a customisation project from an earlier version of the system</w:t>
      </w:r>
    </w:p>
    <w:p w14:paraId="710B61B5" w14:textId="77777777" w:rsidR="00A71A8C" w:rsidRPr="005D1200" w:rsidRDefault="00A71A8C" w:rsidP="00A71A8C">
      <w:pPr>
        <w:pStyle w:val="Heading2"/>
      </w:pPr>
      <w:bookmarkStart w:id="294" w:name="O_27282"/>
      <w:bookmarkStart w:id="295" w:name="_Toc392589788"/>
      <w:bookmarkStart w:id="296" w:name="_Toc411430358"/>
      <w:bookmarkStart w:id="297" w:name="_Toc431831641"/>
      <w:bookmarkStart w:id="298" w:name="_Toc133234622"/>
      <w:bookmarkEnd w:id="294"/>
      <w:r w:rsidRPr="005D1200">
        <w:t>SDK – Common Facilities Guide</w:t>
      </w:r>
      <w:bookmarkEnd w:id="295"/>
      <w:bookmarkEnd w:id="296"/>
      <w:bookmarkEnd w:id="297"/>
      <w:bookmarkEnd w:id="298"/>
    </w:p>
    <w:p w14:paraId="5CB041AE" w14:textId="77777777" w:rsidR="00A71A8C" w:rsidRPr="005D1200" w:rsidRDefault="00A71A8C" w:rsidP="00194FA0">
      <w:pPr>
        <w:pStyle w:val="BodyText"/>
      </w:pPr>
      <w:r w:rsidRPr="005D1200">
        <w:t xml:space="preserve">The </w:t>
      </w:r>
      <w:r w:rsidRPr="005D1200">
        <w:rPr>
          <w:rStyle w:val="Italic"/>
        </w:rPr>
        <w:t>SDK - Common Facilities Guide</w:t>
      </w:r>
      <w:r w:rsidRPr="005D1200">
        <w:t xml:space="preserve"> provide an overview of the SDK, </w:t>
      </w:r>
      <w:proofErr w:type="gramStart"/>
      <w:r w:rsidRPr="005D1200">
        <w:t>tools</w:t>
      </w:r>
      <w:proofErr w:type="gramEnd"/>
      <w:r w:rsidRPr="005D1200">
        <w:t xml:space="preserve"> and programming environment.</w:t>
      </w:r>
    </w:p>
    <w:p w14:paraId="70D4A3D3"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 It covers:</w:t>
      </w:r>
    </w:p>
    <w:p w14:paraId="289DB9E8" w14:textId="77777777" w:rsidR="00A71A8C" w:rsidRPr="005D1200" w:rsidRDefault="00A71A8C" w:rsidP="00ED7118">
      <w:pPr>
        <w:pStyle w:val="BulletLevel1"/>
      </w:pPr>
      <w:r w:rsidRPr="005D1200">
        <w:t>Details on how the SDK is delivered, and the guides that cover the facilities available</w:t>
      </w:r>
    </w:p>
    <w:p w14:paraId="45F1D49E" w14:textId="77777777" w:rsidR="00A71A8C" w:rsidRPr="005D1200" w:rsidRDefault="00A71A8C" w:rsidP="00ED7118">
      <w:pPr>
        <w:pStyle w:val="BulletLevel1"/>
      </w:pPr>
      <w:r w:rsidRPr="005D1200">
        <w:t>Details on the use of eclipse to provide some of our tools</w:t>
      </w:r>
    </w:p>
    <w:p w14:paraId="69769B58" w14:textId="77777777" w:rsidR="00A71A8C" w:rsidRPr="005D1200" w:rsidRDefault="00A71A8C" w:rsidP="00ED7118">
      <w:pPr>
        <w:pStyle w:val="BulletLevel1"/>
      </w:pPr>
      <w:r w:rsidRPr="005D1200">
        <w:t>Details on the software distribution and how components can be added to the assembly process</w:t>
      </w:r>
    </w:p>
    <w:p w14:paraId="06327908" w14:textId="77777777" w:rsidR="00A71A8C" w:rsidRPr="005D1200" w:rsidRDefault="00A71A8C" w:rsidP="00ED7118">
      <w:pPr>
        <w:pStyle w:val="BulletLevel1"/>
      </w:pPr>
      <w:r w:rsidRPr="005D1200">
        <w:t>Details on the programming environment available to developers using the SDK</w:t>
      </w:r>
    </w:p>
    <w:p w14:paraId="5959D742" w14:textId="77777777" w:rsidR="00A71A8C" w:rsidRDefault="00A71A8C" w:rsidP="00ED7118">
      <w:pPr>
        <w:pStyle w:val="BulletLevel1"/>
      </w:pPr>
      <w:r w:rsidRPr="005D1200">
        <w:t>Details on the supplied ANT tasks available as part of the assembly process</w:t>
      </w:r>
    </w:p>
    <w:p w14:paraId="66A3F762" w14:textId="77777777" w:rsidR="00A71A8C" w:rsidRPr="005D1200" w:rsidRDefault="00A71A8C" w:rsidP="00A71A8C">
      <w:pPr>
        <w:pStyle w:val="Heading2"/>
      </w:pPr>
      <w:bookmarkStart w:id="299" w:name="_Toc392589789"/>
      <w:bookmarkStart w:id="300" w:name="_Toc411430359"/>
      <w:bookmarkStart w:id="301" w:name="_Toc431831642"/>
      <w:bookmarkStart w:id="302" w:name="_Toc133234623"/>
      <w:r w:rsidRPr="005D1200">
        <w:t>SDK – Data Management Guide</w:t>
      </w:r>
      <w:bookmarkEnd w:id="299"/>
      <w:bookmarkEnd w:id="300"/>
      <w:bookmarkEnd w:id="301"/>
      <w:bookmarkEnd w:id="302"/>
    </w:p>
    <w:p w14:paraId="3B5666D5" w14:textId="77777777" w:rsidR="00A71A8C" w:rsidRPr="005D1200" w:rsidRDefault="00A71A8C" w:rsidP="00194FA0">
      <w:pPr>
        <w:pStyle w:val="BodyText"/>
      </w:pPr>
      <w:r w:rsidRPr="005D1200">
        <w:t xml:space="preserve">The </w:t>
      </w:r>
      <w:r w:rsidRPr="005D1200">
        <w:rPr>
          <w:rStyle w:val="Italic"/>
        </w:rPr>
        <w:t>SDK - Data Management Guide</w:t>
      </w:r>
      <w:r w:rsidRPr="005D1200">
        <w:t xml:space="preserve"> is intended to be read by users who need to understand the structure of the TI data model for creating new reports or setting up a non-operational/staging database </w:t>
      </w:r>
      <w:proofErr w:type="gramStart"/>
      <w:r w:rsidRPr="005D1200">
        <w:t>as a means to</w:t>
      </w:r>
      <w:proofErr w:type="gramEnd"/>
      <w:r w:rsidRPr="005D1200">
        <w:t xml:space="preserve"> feed information into a data warehouse. It assumes a familiarity with database design principles and methodologies.</w:t>
      </w:r>
    </w:p>
    <w:p w14:paraId="7CB3D95C"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 It covers:</w:t>
      </w:r>
    </w:p>
    <w:p w14:paraId="1AA6926A" w14:textId="77777777" w:rsidR="00A71A8C" w:rsidRPr="005D1200" w:rsidRDefault="00A71A8C" w:rsidP="00ED7118">
      <w:pPr>
        <w:pStyle w:val="BulletLevel1"/>
      </w:pPr>
      <w:r w:rsidRPr="005D1200">
        <w:t xml:space="preserve">How data is </w:t>
      </w:r>
      <w:proofErr w:type="spellStart"/>
      <w:r w:rsidRPr="005D1200">
        <w:t>organised</w:t>
      </w:r>
      <w:proofErr w:type="spellEnd"/>
      <w:r w:rsidRPr="005D1200">
        <w:t xml:space="preserve"> within the logical data model the Trade Innovation application developers work with</w:t>
      </w:r>
    </w:p>
    <w:p w14:paraId="034BA6E2" w14:textId="77777777" w:rsidR="00A71A8C" w:rsidRPr="005D1200" w:rsidRDefault="00A71A8C" w:rsidP="00ED7118">
      <w:pPr>
        <w:pStyle w:val="BulletLevel1"/>
      </w:pPr>
      <w:r w:rsidRPr="005D1200">
        <w:t>How the Trade Innovation data model has been implemented onto tables in the physical database</w:t>
      </w:r>
    </w:p>
    <w:p w14:paraId="084DCC53" w14:textId="77777777" w:rsidR="00A71A8C" w:rsidRPr="005D1200" w:rsidRDefault="00A71A8C" w:rsidP="00ED7118">
      <w:pPr>
        <w:pStyle w:val="BulletLevel1"/>
      </w:pPr>
      <w:r w:rsidRPr="005D1200">
        <w:t xml:space="preserve">How to use the Data Model Viewer, a software tool delivered with Trade Innovation which you can use to examine, </w:t>
      </w:r>
      <w:proofErr w:type="gramStart"/>
      <w:r w:rsidRPr="005D1200">
        <w:t>view</w:t>
      </w:r>
      <w:proofErr w:type="gramEnd"/>
      <w:r w:rsidRPr="005D1200">
        <w:t xml:space="preserve"> and print selected portions of the logical or physical model</w:t>
      </w:r>
    </w:p>
    <w:p w14:paraId="2BA443AE" w14:textId="77777777" w:rsidR="00A71A8C" w:rsidRDefault="00A71A8C" w:rsidP="00ED7118">
      <w:pPr>
        <w:pStyle w:val="BulletLevel1"/>
      </w:pPr>
      <w:r w:rsidRPr="005D1200">
        <w:t>How to use the Data Extract Configuration Tool to set up a non-operational database for global reporting and use as a staging area for a data warehouse</w:t>
      </w:r>
    </w:p>
    <w:p w14:paraId="57C5252B" w14:textId="77777777" w:rsidR="00A71A8C" w:rsidRPr="005D1200" w:rsidRDefault="00A71A8C" w:rsidP="00A71A8C">
      <w:pPr>
        <w:pStyle w:val="Heading2"/>
      </w:pPr>
      <w:bookmarkStart w:id="303" w:name="_Toc392589790"/>
      <w:bookmarkStart w:id="304" w:name="_Toc411430360"/>
      <w:bookmarkStart w:id="305" w:name="_Toc431831643"/>
      <w:bookmarkStart w:id="306" w:name="_Toc133234624"/>
      <w:r w:rsidRPr="005D1200">
        <w:t>SDK – Screen Tailoring Guide</w:t>
      </w:r>
      <w:bookmarkEnd w:id="303"/>
      <w:bookmarkEnd w:id="304"/>
      <w:bookmarkEnd w:id="305"/>
      <w:bookmarkEnd w:id="306"/>
    </w:p>
    <w:p w14:paraId="412FD1B4" w14:textId="77777777" w:rsidR="00A71A8C" w:rsidRPr="005D1200" w:rsidRDefault="00A71A8C" w:rsidP="00194FA0">
      <w:pPr>
        <w:pStyle w:val="BodyText"/>
      </w:pPr>
      <w:r w:rsidRPr="005D1200">
        <w:t xml:space="preserve">The </w:t>
      </w:r>
      <w:r w:rsidRPr="005D1200">
        <w:rPr>
          <w:rStyle w:val="Italic"/>
        </w:rPr>
        <w:t>SDK - Screen Tailoring Guide</w:t>
      </w:r>
      <w:r w:rsidRPr="005D1200">
        <w:t xml:space="preserve"> discusses the facilities available for tailoring screens in the system, either by translating literals, or controlling what appears on the </w:t>
      </w:r>
      <w:proofErr w:type="gramStart"/>
      <w:r w:rsidRPr="005D1200">
        <w:t>particular screens</w:t>
      </w:r>
      <w:proofErr w:type="gramEnd"/>
      <w:r w:rsidRPr="005D1200">
        <w:t xml:space="preserve"> in question.</w:t>
      </w:r>
    </w:p>
    <w:p w14:paraId="628CB7E9"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 It covers:</w:t>
      </w:r>
    </w:p>
    <w:p w14:paraId="4B785776" w14:textId="77777777" w:rsidR="00A71A8C" w:rsidRPr="005D1200" w:rsidRDefault="00A71A8C" w:rsidP="00ED7118">
      <w:pPr>
        <w:pStyle w:val="BulletLevel1"/>
      </w:pPr>
      <w:r w:rsidRPr="005D1200">
        <w:t>Contexts in which the translation or UI control takes place</w:t>
      </w:r>
    </w:p>
    <w:p w14:paraId="62C02055" w14:textId="77777777" w:rsidR="00A71A8C" w:rsidRPr="005D1200" w:rsidRDefault="00A71A8C" w:rsidP="00ED7118">
      <w:pPr>
        <w:pStyle w:val="BulletLevel1"/>
      </w:pPr>
      <w:r w:rsidRPr="005D1200">
        <w:t>The translation of literals</w:t>
      </w:r>
    </w:p>
    <w:p w14:paraId="7FA54E3E" w14:textId="77777777" w:rsidR="00A71A8C" w:rsidRPr="005D1200" w:rsidRDefault="00A71A8C" w:rsidP="00ED7118">
      <w:pPr>
        <w:pStyle w:val="BulletLevel1"/>
      </w:pPr>
      <w:r w:rsidRPr="005D1200">
        <w:t>Control of UI elements</w:t>
      </w:r>
    </w:p>
    <w:p w14:paraId="03B799E9" w14:textId="77777777" w:rsidR="00A71A8C" w:rsidRDefault="00A71A8C" w:rsidP="00ED7118">
      <w:pPr>
        <w:pStyle w:val="BulletLevel1"/>
      </w:pPr>
      <w:r w:rsidRPr="005D1200">
        <w:lastRenderedPageBreak/>
        <w:t>What is entailed when Log steps are added to workflow orchestration, where a subset of fields are required to be displayed for the new step</w:t>
      </w:r>
    </w:p>
    <w:p w14:paraId="35983D03" w14:textId="77777777" w:rsidR="00A71A8C" w:rsidRPr="005D1200" w:rsidRDefault="00A71A8C" w:rsidP="00A71A8C">
      <w:pPr>
        <w:pStyle w:val="Heading2"/>
      </w:pPr>
      <w:bookmarkStart w:id="307" w:name="_Toc392589791"/>
      <w:bookmarkStart w:id="308" w:name="_Toc411430361"/>
      <w:bookmarkStart w:id="309" w:name="_Toc431831644"/>
      <w:bookmarkStart w:id="310" w:name="_Toc133234625"/>
      <w:r w:rsidRPr="005D1200">
        <w:t>SDK – Systems Integration Guide</w:t>
      </w:r>
      <w:bookmarkEnd w:id="307"/>
      <w:bookmarkEnd w:id="308"/>
      <w:bookmarkEnd w:id="309"/>
      <w:bookmarkEnd w:id="310"/>
    </w:p>
    <w:p w14:paraId="2C696CDD" w14:textId="77777777" w:rsidR="00A71A8C" w:rsidRPr="005D1200" w:rsidRDefault="00A71A8C" w:rsidP="00194FA0">
      <w:pPr>
        <w:pStyle w:val="BodyText"/>
      </w:pPr>
      <w:r w:rsidRPr="005D1200">
        <w:t xml:space="preserve">The </w:t>
      </w:r>
      <w:r w:rsidRPr="005D1200">
        <w:rPr>
          <w:rStyle w:val="Italic"/>
        </w:rPr>
        <w:t>SDK – Systems Integration Guide</w:t>
      </w:r>
      <w:r w:rsidRPr="005D1200">
        <w:t xml:space="preserve"> describes how the system may interact with other systems:</w:t>
      </w:r>
    </w:p>
    <w:p w14:paraId="63822CC8" w14:textId="17859136" w:rsidR="00A71A8C" w:rsidRPr="005D1200" w:rsidRDefault="00A71A8C" w:rsidP="00ED7118">
      <w:pPr>
        <w:pStyle w:val="BulletLevel1"/>
      </w:pPr>
      <w:r w:rsidRPr="005D1200">
        <w:t xml:space="preserve">Behaving like a </w:t>
      </w:r>
      <w:r w:rsidR="00B461A1">
        <w:t>Trade Innovation</w:t>
      </w:r>
      <w:r w:rsidRPr="005D1200">
        <w:t xml:space="preserve"> zone</w:t>
      </w:r>
    </w:p>
    <w:p w14:paraId="13FCCDF9" w14:textId="77777777" w:rsidR="00A71A8C" w:rsidRPr="005D1200" w:rsidRDefault="00A71A8C" w:rsidP="00ED7118">
      <w:pPr>
        <w:pStyle w:val="BulletLevel1"/>
      </w:pPr>
      <w:r w:rsidRPr="005D1200">
        <w:t>Navigating into the system from another application</w:t>
      </w:r>
    </w:p>
    <w:p w14:paraId="647690B6" w14:textId="77777777" w:rsidR="00A71A8C" w:rsidRPr="005D1200" w:rsidRDefault="00A71A8C" w:rsidP="00ED7118">
      <w:pPr>
        <w:pStyle w:val="BulletLevel1"/>
      </w:pPr>
      <w:r w:rsidRPr="005D1200">
        <w:t>Navigating out of the system to an external application</w:t>
      </w:r>
    </w:p>
    <w:p w14:paraId="339A8C5B"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 It covers:</w:t>
      </w:r>
    </w:p>
    <w:p w14:paraId="4B074AA9" w14:textId="7A2082E1" w:rsidR="00A71A8C" w:rsidRPr="005D1200" w:rsidRDefault="00A71A8C" w:rsidP="00ED7118">
      <w:pPr>
        <w:pStyle w:val="BulletLevel1"/>
      </w:pPr>
      <w:r w:rsidRPr="005D1200">
        <w:t xml:space="preserve">Expected behaviour of an application that will behave like a </w:t>
      </w:r>
      <w:r w:rsidR="00B461A1">
        <w:t>Trade Innovation</w:t>
      </w:r>
      <w:r w:rsidRPr="005D1200">
        <w:t xml:space="preserve"> zone</w:t>
      </w:r>
    </w:p>
    <w:p w14:paraId="71C819CC" w14:textId="4C49EFC4" w:rsidR="00A71A8C" w:rsidRPr="005D1200" w:rsidRDefault="00A71A8C" w:rsidP="00ED7118">
      <w:pPr>
        <w:pStyle w:val="BulletLevel1"/>
      </w:pPr>
      <w:r w:rsidRPr="005D1200">
        <w:t xml:space="preserve">Capabilities of navigation into a </w:t>
      </w:r>
      <w:r w:rsidR="00B461A1">
        <w:t>Trade Innovation</w:t>
      </w:r>
      <w:r w:rsidRPr="005D1200">
        <w:t xml:space="preserve"> zone</w:t>
      </w:r>
    </w:p>
    <w:p w14:paraId="2492903C" w14:textId="77777777" w:rsidR="00A71A8C" w:rsidRDefault="00A71A8C" w:rsidP="00ED7118">
      <w:pPr>
        <w:pStyle w:val="BulletLevel1"/>
      </w:pPr>
      <w:r w:rsidRPr="005D1200">
        <w:t>Definition of external applications and navigation from the system</w:t>
      </w:r>
    </w:p>
    <w:p w14:paraId="25B421A5" w14:textId="77777777" w:rsidR="00A71A8C" w:rsidRPr="005D1200" w:rsidRDefault="00A71A8C" w:rsidP="00A71A8C">
      <w:pPr>
        <w:pStyle w:val="Heading2"/>
      </w:pPr>
      <w:bookmarkStart w:id="311" w:name="_Toc392589792"/>
      <w:bookmarkStart w:id="312" w:name="_Toc411430362"/>
      <w:bookmarkStart w:id="313" w:name="_Toc431831645"/>
      <w:bookmarkStart w:id="314" w:name="_Toc133234626"/>
      <w:r w:rsidRPr="005D1200">
        <w:t>SDK – Systems Interfacing Guide</w:t>
      </w:r>
      <w:bookmarkEnd w:id="311"/>
      <w:bookmarkEnd w:id="312"/>
      <w:bookmarkEnd w:id="313"/>
      <w:bookmarkEnd w:id="314"/>
    </w:p>
    <w:p w14:paraId="0A7B743D" w14:textId="77777777" w:rsidR="00A71A8C" w:rsidRPr="005D1200" w:rsidRDefault="00A71A8C" w:rsidP="00A71A8C">
      <w:r w:rsidRPr="005D1200">
        <w:t xml:space="preserve">The </w:t>
      </w:r>
      <w:r w:rsidRPr="005D1200">
        <w:rPr>
          <w:rStyle w:val="Italic"/>
        </w:rPr>
        <w:t>SDK - Systems Interfacing Guide</w:t>
      </w:r>
      <w:r w:rsidRPr="005D1200">
        <w:t xml:space="preserve"> describes how messages are passed between the system and third party systems. Since the nature of these third party systems can vary, this Guide concentrates on the use of the supplied technical infrastructure. It is intended to be read by technical staff, responsible for implementing interfaces to the system.</w:t>
      </w:r>
    </w:p>
    <w:p w14:paraId="3D26EB9A" w14:textId="77777777" w:rsidR="00A71A8C" w:rsidRPr="005D1200" w:rsidRDefault="00A71A8C" w:rsidP="00194FA0">
      <w:pPr>
        <w:pStyle w:val="BodyText"/>
      </w:pPr>
      <w:r w:rsidRPr="005D1200">
        <w:t>This is not an end-user task and so this document is targeted at technical consultants and bank staff. It assumes that you are familiar with the basic principles of trade finance and with the system itself. Experience of programming is a requirement for understanding the more technical parts of the document. It covers:</w:t>
      </w:r>
    </w:p>
    <w:p w14:paraId="19294991" w14:textId="77777777" w:rsidR="00A71A8C" w:rsidRPr="005D1200" w:rsidRDefault="00A71A8C" w:rsidP="00ED7118">
      <w:pPr>
        <w:pStyle w:val="BulletLevel1"/>
      </w:pPr>
      <w:r w:rsidRPr="005D1200">
        <w:t>An overview of the system interface services and processing</w:t>
      </w:r>
    </w:p>
    <w:p w14:paraId="5FF7F240" w14:textId="77777777" w:rsidR="00A71A8C" w:rsidRPr="005D1200" w:rsidRDefault="00A71A8C" w:rsidP="00ED7118">
      <w:pPr>
        <w:pStyle w:val="BulletLevel1"/>
      </w:pPr>
      <w:r w:rsidRPr="005D1200">
        <w:t>Details of common protocol details for request and response messages</w:t>
      </w:r>
    </w:p>
    <w:p w14:paraId="46157264" w14:textId="77777777" w:rsidR="00A71A8C" w:rsidRPr="005D1200" w:rsidRDefault="00A71A8C" w:rsidP="00ED7118">
      <w:pPr>
        <w:pStyle w:val="BulletLevel1"/>
      </w:pPr>
      <w:r w:rsidRPr="005D1200">
        <w:t>Details of the EJB transport server component</w:t>
      </w:r>
    </w:p>
    <w:p w14:paraId="3FD24ACF" w14:textId="77777777" w:rsidR="00A71A8C" w:rsidRPr="005D1200" w:rsidRDefault="00A71A8C" w:rsidP="00ED7118">
      <w:pPr>
        <w:pStyle w:val="BulletLevel1"/>
      </w:pPr>
      <w:r w:rsidRPr="005D1200">
        <w:t>Details of the JMS interface components</w:t>
      </w:r>
    </w:p>
    <w:p w14:paraId="018CB0EF" w14:textId="77777777" w:rsidR="00A71A8C" w:rsidRPr="005D1200" w:rsidRDefault="00A71A8C" w:rsidP="00ED7118">
      <w:pPr>
        <w:pStyle w:val="BulletLevel1"/>
      </w:pPr>
      <w:r w:rsidRPr="005D1200">
        <w:t xml:space="preserve">Details of the </w:t>
      </w:r>
      <w:proofErr w:type="spellStart"/>
      <w:r w:rsidRPr="005D1200">
        <w:t>APIStubs</w:t>
      </w:r>
      <w:proofErr w:type="spellEnd"/>
      <w:r w:rsidRPr="005D1200">
        <w:t xml:space="preserve"> testing utility provided</w:t>
      </w:r>
    </w:p>
    <w:p w14:paraId="0D6C6A1D" w14:textId="77777777" w:rsidR="00A71A8C" w:rsidRPr="005D1200" w:rsidRDefault="00A71A8C" w:rsidP="00ED7118">
      <w:pPr>
        <w:pStyle w:val="BulletLevel1"/>
      </w:pPr>
      <w:r w:rsidRPr="005D1200">
        <w:t>Information on developing both outgoing and incoming interface components</w:t>
      </w:r>
    </w:p>
    <w:p w14:paraId="132F913D" w14:textId="77777777" w:rsidR="00A71A8C" w:rsidRPr="005D1200" w:rsidRDefault="00A71A8C" w:rsidP="00ED7118">
      <w:pPr>
        <w:pStyle w:val="BulletLevel1"/>
      </w:pPr>
      <w:r w:rsidRPr="005D1200">
        <w:t>Information on some of the messages and processing used by the system to communicate with your bank's core banking system</w:t>
      </w:r>
    </w:p>
    <w:p w14:paraId="22E380B4" w14:textId="77777777" w:rsidR="00A71A8C" w:rsidRPr="005D1200" w:rsidRDefault="00A71A8C" w:rsidP="00ED7118">
      <w:pPr>
        <w:pStyle w:val="BulletLevel1"/>
      </w:pPr>
      <w:r w:rsidRPr="005D1200">
        <w:t>Lists of the message schemas used by the system</w:t>
      </w:r>
    </w:p>
    <w:p w14:paraId="0CCD49AE" w14:textId="77777777" w:rsidR="00A71A8C" w:rsidRDefault="00A71A8C" w:rsidP="00ED7118">
      <w:pPr>
        <w:pStyle w:val="BulletLevel1"/>
      </w:pPr>
      <w:r w:rsidRPr="005D1200">
        <w:t xml:space="preserve">Details on the </w:t>
      </w:r>
      <w:proofErr w:type="spellStart"/>
      <w:r w:rsidRPr="005D1200">
        <w:t>APIStubs</w:t>
      </w:r>
      <w:proofErr w:type="spellEnd"/>
      <w:r w:rsidRPr="005D1200">
        <w:t xml:space="preserve"> data model</w:t>
      </w:r>
    </w:p>
    <w:p w14:paraId="3A905098" w14:textId="77777777" w:rsidR="008267F9" w:rsidRPr="005D1200" w:rsidRDefault="008267F9" w:rsidP="008267F9">
      <w:pPr>
        <w:pStyle w:val="Heading1"/>
      </w:pPr>
      <w:bookmarkStart w:id="315" w:name="_Ref57041311"/>
      <w:bookmarkStart w:id="316" w:name="_Toc133234627"/>
      <w:bookmarkStart w:id="317" w:name="_Toc317690581"/>
      <w:bookmarkStart w:id="318" w:name="_Toc358282284"/>
      <w:bookmarkStart w:id="319" w:name="_Toc392589798"/>
      <w:bookmarkStart w:id="320" w:name="_Toc411430368"/>
      <w:bookmarkStart w:id="321" w:name="_Toc431831652"/>
      <w:r>
        <w:lastRenderedPageBreak/>
        <w:t>Interface Guides</w:t>
      </w:r>
      <w:bookmarkEnd w:id="315"/>
      <w:bookmarkEnd w:id="316"/>
    </w:p>
    <w:p w14:paraId="4D70B823" w14:textId="77777777" w:rsidR="008267F9" w:rsidRDefault="008267F9" w:rsidP="00194FA0">
      <w:pPr>
        <w:pStyle w:val="BodyText"/>
      </w:pPr>
      <w:r w:rsidRPr="005D1200">
        <w:t xml:space="preserve">The </w:t>
      </w:r>
      <w:r w:rsidR="002F3734">
        <w:t xml:space="preserve">section describes the manuals that are provided to cover interfaces with other </w:t>
      </w:r>
      <w:r w:rsidR="003C5987">
        <w:t>Finastra</w:t>
      </w:r>
      <w:r w:rsidR="002F3734">
        <w:t xml:space="preserve"> products and partner </w:t>
      </w:r>
      <w:proofErr w:type="spellStart"/>
      <w:r w:rsidR="002F3734">
        <w:t>organisation</w:t>
      </w:r>
      <w:proofErr w:type="spellEnd"/>
      <w:r w:rsidR="002F3734">
        <w:t xml:space="preserve"> products</w:t>
      </w:r>
      <w:r w:rsidRPr="005D1200">
        <w:t>.</w:t>
      </w:r>
    </w:p>
    <w:p w14:paraId="785501DC" w14:textId="4B80201F" w:rsidR="00F544CE" w:rsidRPr="005D1200" w:rsidRDefault="00F544CE" w:rsidP="00F544CE">
      <w:pPr>
        <w:pStyle w:val="Heading2"/>
      </w:pPr>
      <w:bookmarkStart w:id="322" w:name="_Toc133234628"/>
      <w:r>
        <w:t xml:space="preserve">Corporate Channels Interface </w:t>
      </w:r>
      <w:r w:rsidRPr="005D1200">
        <w:t xml:space="preserve">Guide </w:t>
      </w:r>
      <w:r>
        <w:t>- TICC</w:t>
      </w:r>
      <w:r w:rsidRPr="005D1200">
        <w:t xml:space="preserve"> Interface</w:t>
      </w:r>
      <w:bookmarkEnd w:id="322"/>
    </w:p>
    <w:p w14:paraId="70354B62" w14:textId="47F80792" w:rsidR="00F544CE" w:rsidRDefault="00F544CE" w:rsidP="00194FA0">
      <w:pPr>
        <w:pStyle w:val="BodyText"/>
      </w:pPr>
      <w:r w:rsidRPr="005D1200">
        <w:t xml:space="preserve">The </w:t>
      </w:r>
      <w:r w:rsidRPr="00900A65">
        <w:rPr>
          <w:i/>
        </w:rPr>
        <w:t>Corporate Channels</w:t>
      </w:r>
      <w:r>
        <w:t xml:space="preserve"> </w:t>
      </w:r>
      <w:r w:rsidRPr="000D456E">
        <w:rPr>
          <w:i/>
        </w:rPr>
        <w:t>Interface Guide -</w:t>
      </w:r>
      <w:r>
        <w:t xml:space="preserve"> </w:t>
      </w:r>
      <w:r>
        <w:rPr>
          <w:rStyle w:val="Italic"/>
        </w:rPr>
        <w:t>TICC</w:t>
      </w:r>
      <w:r w:rsidRPr="005D1200">
        <w:rPr>
          <w:rStyle w:val="Italic"/>
        </w:rPr>
        <w:t xml:space="preserve"> Interface</w:t>
      </w:r>
      <w:r w:rsidRPr="005D1200">
        <w:t xml:space="preserve"> </w:t>
      </w:r>
      <w:r w:rsidRPr="0018135D">
        <w:t xml:space="preserve">explains how to install and configure the components of the </w:t>
      </w:r>
      <w:r w:rsidR="00B461A1">
        <w:t>Trade Innovation</w:t>
      </w:r>
      <w:r w:rsidRPr="00534B71">
        <w:t xml:space="preserve"> Corporate Channels </w:t>
      </w:r>
      <w:r>
        <w:t>(</w:t>
      </w:r>
      <w:r w:rsidRPr="0018135D">
        <w:t>TICC</w:t>
      </w:r>
      <w:r>
        <w:t>)</w:t>
      </w:r>
      <w:r w:rsidRPr="0018135D">
        <w:t xml:space="preserve"> Interface </w:t>
      </w:r>
      <w:r>
        <w:t>between</w:t>
      </w:r>
      <w:r w:rsidRPr="0018135D">
        <w:t xml:space="preserve"> </w:t>
      </w:r>
      <w:r w:rsidR="00B461A1">
        <w:t>Trade Innovation</w:t>
      </w:r>
      <w:r>
        <w:t xml:space="preserve"> and Corporate Channels</w:t>
      </w:r>
      <w:r w:rsidRPr="005D1200">
        <w:t>.</w:t>
      </w:r>
      <w:r>
        <w:t xml:space="preserve"> It covers:</w:t>
      </w:r>
    </w:p>
    <w:p w14:paraId="4799CF2F" w14:textId="77777777" w:rsidR="00F544CE" w:rsidRDefault="00F544CE" w:rsidP="00ED7118">
      <w:pPr>
        <w:pStyle w:val="BulletLevel1"/>
      </w:pPr>
      <w:r>
        <w:t>The architecture of a Trade Innovation/Corporate Channels system, pre-</w:t>
      </w:r>
      <w:proofErr w:type="gramStart"/>
      <w:r>
        <w:t>requisites</w:t>
      </w:r>
      <w:proofErr w:type="gramEnd"/>
      <w:r>
        <w:t xml:space="preserve"> and the installation process.</w:t>
      </w:r>
    </w:p>
    <w:p w14:paraId="72AE1D28" w14:textId="77777777" w:rsidR="00F544CE" w:rsidRDefault="00F544CE" w:rsidP="00ED7118">
      <w:pPr>
        <w:pStyle w:val="BulletLevel1"/>
      </w:pPr>
      <w:r>
        <w:t>Setting up the JMS server</w:t>
      </w:r>
    </w:p>
    <w:p w14:paraId="1CA174A1" w14:textId="77777777" w:rsidR="00F544CE" w:rsidRDefault="00F544CE" w:rsidP="00ED7118">
      <w:pPr>
        <w:pStyle w:val="BulletLevel1"/>
      </w:pPr>
      <w:r>
        <w:t>Configuring the application server.</w:t>
      </w:r>
    </w:p>
    <w:p w14:paraId="790409F2" w14:textId="11473A1E" w:rsidR="00F544CE" w:rsidRDefault="00F544CE" w:rsidP="00ED7118">
      <w:pPr>
        <w:pStyle w:val="BulletLevel1"/>
      </w:pPr>
      <w:r>
        <w:t>Setting up the Meridian s</w:t>
      </w:r>
      <w:r w:rsidRPr="0018135D">
        <w:t>erver</w:t>
      </w:r>
      <w:r>
        <w:t>.</w:t>
      </w:r>
    </w:p>
    <w:p w14:paraId="2AFE715E" w14:textId="77777777" w:rsidR="00F544CE" w:rsidRDefault="00F544CE" w:rsidP="00ED7118">
      <w:pPr>
        <w:pStyle w:val="BulletLevel1"/>
      </w:pPr>
      <w:r>
        <w:t>Setting up the Corporate Channels server.</w:t>
      </w:r>
    </w:p>
    <w:p w14:paraId="7E4FDEB7" w14:textId="77777777" w:rsidR="00F544CE" w:rsidRPr="005D1200" w:rsidRDefault="00F544CE" w:rsidP="00ED7118">
      <w:pPr>
        <w:pStyle w:val="BulletLevel1"/>
      </w:pPr>
      <w:r>
        <w:t>The pre-requisites for transaction processing.</w:t>
      </w:r>
    </w:p>
    <w:p w14:paraId="591FFBD4" w14:textId="748D4EB6" w:rsidR="0064733F" w:rsidRPr="005D1200" w:rsidRDefault="00665B78" w:rsidP="0064733F">
      <w:pPr>
        <w:pStyle w:val="Heading2"/>
      </w:pPr>
      <w:bookmarkStart w:id="323" w:name="_Toc133234629"/>
      <w:proofErr w:type="spellStart"/>
      <w:r>
        <w:t>DataStoreDSX</w:t>
      </w:r>
      <w:proofErr w:type="spellEnd"/>
      <w:r>
        <w:t xml:space="preserve"> </w:t>
      </w:r>
      <w:r w:rsidR="0064733F">
        <w:t>Inte</w:t>
      </w:r>
      <w:r>
        <w:t>gration Overview</w:t>
      </w:r>
      <w:r w:rsidR="0064733F">
        <w:t xml:space="preserve"> – </w:t>
      </w:r>
      <w:r>
        <w:t>TI</w:t>
      </w:r>
      <w:r w:rsidR="0064733F">
        <w:t>DSX Interface</w:t>
      </w:r>
      <w:bookmarkEnd w:id="323"/>
    </w:p>
    <w:p w14:paraId="3B0CDCD7" w14:textId="79CF3128" w:rsidR="0064733F" w:rsidRPr="005D1200" w:rsidRDefault="0064733F" w:rsidP="00194FA0">
      <w:pPr>
        <w:pStyle w:val="BodyText"/>
      </w:pPr>
      <w:r w:rsidRPr="005D1200">
        <w:t xml:space="preserve">The </w:t>
      </w:r>
      <w:proofErr w:type="spellStart"/>
      <w:r w:rsidR="006C75BE" w:rsidRPr="006C75BE">
        <w:rPr>
          <w:i/>
        </w:rPr>
        <w:t>DataStoreDSX</w:t>
      </w:r>
      <w:proofErr w:type="spellEnd"/>
      <w:r w:rsidR="006C75BE" w:rsidRPr="006C75BE">
        <w:rPr>
          <w:i/>
        </w:rPr>
        <w:t xml:space="preserve"> Integration Overview</w:t>
      </w:r>
      <w:r w:rsidRPr="005D1200">
        <w:t xml:space="preserve"> </w:t>
      </w:r>
      <w:r>
        <w:t xml:space="preserve">– </w:t>
      </w:r>
      <w:r w:rsidR="006C75BE">
        <w:rPr>
          <w:i/>
        </w:rPr>
        <w:t>TI</w:t>
      </w:r>
      <w:r>
        <w:rPr>
          <w:i/>
        </w:rPr>
        <w:t xml:space="preserve">DSX Interface </w:t>
      </w:r>
      <w:r w:rsidRPr="005D1200">
        <w:t xml:space="preserve">is intended to be read </w:t>
      </w:r>
      <w:r>
        <w:t>by the bank’s technical and business operations teams that are</w:t>
      </w:r>
      <w:r w:rsidRPr="008929F0">
        <w:t xml:space="preserve"> responsible for </w:t>
      </w:r>
      <w:r>
        <w:t xml:space="preserve">installing and configuring </w:t>
      </w:r>
      <w:r w:rsidR="00B461A1">
        <w:t>Trade Innovation</w:t>
      </w:r>
      <w:r w:rsidRPr="005D1200">
        <w:t>. It</w:t>
      </w:r>
      <w:r w:rsidR="00893271">
        <w:t xml:space="preserve"> </w:t>
      </w:r>
      <w:r w:rsidR="00C614BA">
        <w:t>covers</w:t>
      </w:r>
      <w:r w:rsidRPr="005D1200">
        <w:t>:</w:t>
      </w:r>
    </w:p>
    <w:p w14:paraId="7781025D" w14:textId="1C9DCD89" w:rsidR="0064733F" w:rsidRDefault="00893271" w:rsidP="00ED7118">
      <w:pPr>
        <w:pStyle w:val="BulletLevel1"/>
      </w:pPr>
      <w:r>
        <w:t>A</w:t>
      </w:r>
      <w:r w:rsidR="0064733F">
        <w:t xml:space="preserve">n overview of the </w:t>
      </w:r>
      <w:r w:rsidR="00B461A1">
        <w:t>Trade Innovation</w:t>
      </w:r>
      <w:r w:rsidR="0064733F">
        <w:t xml:space="preserve"> </w:t>
      </w:r>
      <w:proofErr w:type="spellStart"/>
      <w:r w:rsidR="0064733F">
        <w:t>DataStoreDSX</w:t>
      </w:r>
      <w:proofErr w:type="spellEnd"/>
      <w:r w:rsidR="0064733F">
        <w:t xml:space="preserve"> </w:t>
      </w:r>
      <w:r w:rsidR="0064733F" w:rsidRPr="00917899">
        <w:t>interface</w:t>
      </w:r>
      <w:r w:rsidR="0064733F">
        <w:t>.</w:t>
      </w:r>
    </w:p>
    <w:p w14:paraId="2B4496F5" w14:textId="6CE2B9F0" w:rsidR="0064733F" w:rsidRDefault="00E75CF1" w:rsidP="00ED7118">
      <w:pPr>
        <w:pStyle w:val="BulletLevel1"/>
      </w:pPr>
      <w:r>
        <w:t xml:space="preserve">The </w:t>
      </w:r>
      <w:r w:rsidR="00B461A1">
        <w:t>Trade Innovation</w:t>
      </w:r>
      <w:r w:rsidR="0064733F">
        <w:t xml:space="preserve"> configuration with DSX.</w:t>
      </w:r>
    </w:p>
    <w:p w14:paraId="01600183" w14:textId="51041CBB" w:rsidR="0064733F" w:rsidRDefault="00E75CF1" w:rsidP="00ED7118">
      <w:pPr>
        <w:pStyle w:val="BulletLevel1"/>
      </w:pPr>
      <w:r>
        <w:t xml:space="preserve">The </w:t>
      </w:r>
      <w:r w:rsidR="00B461A1">
        <w:t>Trade Innovation</w:t>
      </w:r>
      <w:r w:rsidR="0064733F">
        <w:t xml:space="preserve"> configuration services to link to the DSX system.</w:t>
      </w:r>
    </w:p>
    <w:p w14:paraId="5B269D29" w14:textId="25CF052E" w:rsidR="00F24076" w:rsidRPr="00D450CC" w:rsidRDefault="00665B78" w:rsidP="00F24076">
      <w:pPr>
        <w:pStyle w:val="Heading2"/>
      </w:pPr>
      <w:bookmarkStart w:id="324" w:name="_Toc133234630"/>
      <w:r>
        <w:t xml:space="preserve">Equation </w:t>
      </w:r>
      <w:r w:rsidR="00F24076" w:rsidRPr="00D450CC">
        <w:t xml:space="preserve">Interface Guide – </w:t>
      </w:r>
      <w:r>
        <w:t>TI</w:t>
      </w:r>
      <w:r w:rsidR="00F24076" w:rsidRPr="00D450CC">
        <w:t>EQ Interface</w:t>
      </w:r>
      <w:bookmarkEnd w:id="324"/>
    </w:p>
    <w:p w14:paraId="73680BEE" w14:textId="120687FC" w:rsidR="00F24076" w:rsidRPr="00D450CC" w:rsidRDefault="00F24076" w:rsidP="00194FA0">
      <w:pPr>
        <w:pStyle w:val="BodyText"/>
      </w:pPr>
      <w:r w:rsidRPr="00D450CC">
        <w:t xml:space="preserve">The </w:t>
      </w:r>
      <w:r w:rsidR="006C75BE" w:rsidRPr="006C75BE">
        <w:rPr>
          <w:i/>
        </w:rPr>
        <w:t xml:space="preserve">Equation </w:t>
      </w:r>
      <w:r w:rsidRPr="00D450CC">
        <w:rPr>
          <w:rStyle w:val="Italic"/>
        </w:rPr>
        <w:t xml:space="preserve">Interface Guide – </w:t>
      </w:r>
      <w:r w:rsidR="006C75BE">
        <w:rPr>
          <w:rStyle w:val="Italic"/>
        </w:rPr>
        <w:t>TI</w:t>
      </w:r>
      <w:r w:rsidRPr="00D450CC">
        <w:rPr>
          <w:rStyle w:val="Italic"/>
        </w:rPr>
        <w:t>EQ Interface</w:t>
      </w:r>
      <w:r w:rsidRPr="00D450CC">
        <w:t xml:space="preserve"> is intended to be read by the bank’s </w:t>
      </w:r>
      <w:r w:rsidR="006C7113">
        <w:t>security officers responsible for registering Trade Innovation users and for controlling their access to Trade Innovation Functionality</w:t>
      </w:r>
      <w:r w:rsidRPr="00D450CC">
        <w:t>. It</w:t>
      </w:r>
      <w:r w:rsidR="006C7113">
        <w:t xml:space="preserve"> describes</w:t>
      </w:r>
      <w:r w:rsidRPr="00D450CC">
        <w:t>:</w:t>
      </w:r>
    </w:p>
    <w:p w14:paraId="799E8D30" w14:textId="1F9B92F5" w:rsidR="00F24076" w:rsidRPr="00D450CC" w:rsidRDefault="006C7113" w:rsidP="00ED7118">
      <w:pPr>
        <w:pStyle w:val="BulletLevel1"/>
      </w:pPr>
      <w:r>
        <w:t>T</w:t>
      </w:r>
      <w:r w:rsidR="0058258B">
        <w:t xml:space="preserve">he </w:t>
      </w:r>
      <w:r w:rsidR="00D450CC" w:rsidRPr="00D450CC">
        <w:t xml:space="preserve">architecture of a </w:t>
      </w:r>
      <w:r w:rsidR="00B461A1">
        <w:t>Trade Innovation</w:t>
      </w:r>
      <w:r w:rsidR="00D450CC" w:rsidRPr="00D450CC">
        <w:t xml:space="preserve"> </w:t>
      </w:r>
      <w:r w:rsidR="001E4C89">
        <w:t xml:space="preserve">/ </w:t>
      </w:r>
      <w:r w:rsidR="00D450CC" w:rsidRPr="00D450CC">
        <w:t>Equation system and identifies the pre-requisites</w:t>
      </w:r>
      <w:r w:rsidR="00F24076" w:rsidRPr="00D450CC">
        <w:t>.</w:t>
      </w:r>
    </w:p>
    <w:p w14:paraId="529B61A6" w14:textId="77777777" w:rsidR="00F24076" w:rsidRPr="00D450CC" w:rsidRDefault="006C7113" w:rsidP="00ED7118">
      <w:pPr>
        <w:pStyle w:val="BulletLevel1"/>
      </w:pPr>
      <w:r>
        <w:t>H</w:t>
      </w:r>
      <w:r w:rsidR="000F1551" w:rsidRPr="00D450CC">
        <w:t>ow to configure an Equation unit</w:t>
      </w:r>
      <w:r w:rsidR="00F24076" w:rsidRPr="00D450CC">
        <w:t>.</w:t>
      </w:r>
    </w:p>
    <w:p w14:paraId="2DFDF6D8" w14:textId="77777777" w:rsidR="00F24076" w:rsidRPr="00D450CC" w:rsidRDefault="006C7113" w:rsidP="00ED7118">
      <w:pPr>
        <w:pStyle w:val="BulletLevel1"/>
      </w:pPr>
      <w:r>
        <w:t>H</w:t>
      </w:r>
      <w:r w:rsidR="000F1551" w:rsidRPr="00D450CC">
        <w:t>ow to configure the Misys Message Manager server</w:t>
      </w:r>
      <w:r w:rsidR="00F24076" w:rsidRPr="00D450CC">
        <w:t>.</w:t>
      </w:r>
    </w:p>
    <w:p w14:paraId="02F398A2" w14:textId="77777777" w:rsidR="00F24076" w:rsidRPr="00D450CC" w:rsidRDefault="006C7113" w:rsidP="00ED7118">
      <w:pPr>
        <w:pStyle w:val="BulletLevel1"/>
      </w:pPr>
      <w:r>
        <w:t>H</w:t>
      </w:r>
      <w:r w:rsidR="00D450CC" w:rsidRPr="00D450CC">
        <w:t>ow to configure the JMS server using WebSphere MQ server</w:t>
      </w:r>
      <w:r w:rsidR="00F24076" w:rsidRPr="00D450CC">
        <w:t>.</w:t>
      </w:r>
    </w:p>
    <w:p w14:paraId="5633425C" w14:textId="77777777" w:rsidR="00D450CC" w:rsidRPr="00D450CC" w:rsidRDefault="006C7113" w:rsidP="00ED7118">
      <w:pPr>
        <w:pStyle w:val="BulletLevel1"/>
      </w:pPr>
      <w:r>
        <w:t>H</w:t>
      </w:r>
      <w:r w:rsidR="00D450CC" w:rsidRPr="00D450CC">
        <w:t xml:space="preserve">ow to configure and deploy the </w:t>
      </w:r>
      <w:r w:rsidR="00D450CC">
        <w:t>Trade Innovation</w:t>
      </w:r>
      <w:r w:rsidR="00D450CC" w:rsidRPr="00D450CC">
        <w:t xml:space="preserve"> Equation Interface repository.</w:t>
      </w:r>
    </w:p>
    <w:p w14:paraId="0785B685" w14:textId="77777777" w:rsidR="00D450CC" w:rsidRDefault="006C7113" w:rsidP="00ED7118">
      <w:pPr>
        <w:pStyle w:val="BulletLevel1"/>
      </w:pPr>
      <w:r>
        <w:t>H</w:t>
      </w:r>
      <w:r w:rsidR="00D450CC" w:rsidRPr="00D450CC">
        <w:t xml:space="preserve">ow to configure the </w:t>
      </w:r>
      <w:r w:rsidR="00E06F69">
        <w:t>Trade Innovation</w:t>
      </w:r>
      <w:r w:rsidR="00D450CC" w:rsidRPr="00D450CC">
        <w:t xml:space="preserve"> Application </w:t>
      </w:r>
      <w:r w:rsidR="006D369A">
        <w:t>s</w:t>
      </w:r>
      <w:r w:rsidR="00D450CC" w:rsidRPr="00D450CC">
        <w:t xml:space="preserve">erver and the </w:t>
      </w:r>
      <w:r w:rsidR="00E06F69">
        <w:t>Trade Innovation</w:t>
      </w:r>
      <w:r w:rsidR="00D450CC" w:rsidRPr="00D450CC">
        <w:t xml:space="preserve"> system to use the Equation interface.</w:t>
      </w:r>
    </w:p>
    <w:p w14:paraId="2FB7B06F" w14:textId="1B0B7CA9" w:rsidR="00F800C4" w:rsidRPr="005D1200" w:rsidRDefault="003E7663" w:rsidP="00F800C4">
      <w:pPr>
        <w:pStyle w:val="Heading2"/>
      </w:pPr>
      <w:bookmarkStart w:id="325" w:name="_Toc133234631"/>
      <w:r>
        <w:t>Revenue Management Interface Guide</w:t>
      </w:r>
      <w:r w:rsidR="00F800C4">
        <w:t xml:space="preserve"> – TI</w:t>
      </w:r>
      <w:r>
        <w:t>FRM</w:t>
      </w:r>
      <w:r w:rsidR="00F800C4">
        <w:t xml:space="preserve"> Interface</w:t>
      </w:r>
      <w:bookmarkEnd w:id="325"/>
    </w:p>
    <w:p w14:paraId="34F85AEE" w14:textId="285A8745" w:rsidR="00F800C4" w:rsidRPr="005D1200" w:rsidRDefault="00F800C4" w:rsidP="00194FA0">
      <w:pPr>
        <w:pStyle w:val="BodyText"/>
      </w:pPr>
      <w:r w:rsidRPr="005D1200">
        <w:t xml:space="preserve">The </w:t>
      </w:r>
      <w:r w:rsidR="003E7663" w:rsidRPr="003E7663">
        <w:rPr>
          <w:i/>
        </w:rPr>
        <w:t>Revenue Management Interface Guide – TIFRM Interface</w:t>
      </w:r>
      <w:r w:rsidRPr="005D1200">
        <w:t xml:space="preserve"> is intended </w:t>
      </w:r>
      <w:r w:rsidRPr="009E41BC">
        <w:t xml:space="preserve">to be read by the bank’s technical and business operations teams who are responsible for installing and configuring </w:t>
      </w:r>
      <w:r w:rsidR="00B461A1">
        <w:t>Trade Innovation</w:t>
      </w:r>
      <w:r w:rsidRPr="009E41BC">
        <w:t xml:space="preserve"> and </w:t>
      </w:r>
      <w:r w:rsidR="00FE0E45">
        <w:t>Revenue Management</w:t>
      </w:r>
      <w:r w:rsidRPr="005D1200">
        <w:t>. It</w:t>
      </w:r>
      <w:r w:rsidR="00594EA2">
        <w:t xml:space="preserve"> describes</w:t>
      </w:r>
      <w:r w:rsidRPr="005D1200">
        <w:t>:</w:t>
      </w:r>
    </w:p>
    <w:p w14:paraId="36C536AD" w14:textId="75A41184" w:rsidR="00F800C4" w:rsidRPr="00DA1FB4" w:rsidRDefault="00594EA2" w:rsidP="00ED7118">
      <w:pPr>
        <w:pStyle w:val="BulletLevel1"/>
      </w:pPr>
      <w:r>
        <w:t>T</w:t>
      </w:r>
      <w:r w:rsidR="00A8532A" w:rsidRPr="0018135D">
        <w:t xml:space="preserve">he architecture of a </w:t>
      </w:r>
      <w:r w:rsidR="00B461A1">
        <w:t>Trade Innovation</w:t>
      </w:r>
      <w:r w:rsidR="00A8532A" w:rsidRPr="0018135D">
        <w:t xml:space="preserve"> /</w:t>
      </w:r>
      <w:r w:rsidR="00EF533C">
        <w:t xml:space="preserve"> </w:t>
      </w:r>
      <w:r w:rsidR="00FE0E45">
        <w:t xml:space="preserve">Revenue </w:t>
      </w:r>
      <w:proofErr w:type="spellStart"/>
      <w:r w:rsidR="00FE0E45">
        <w:t>Managemnt</w:t>
      </w:r>
      <w:proofErr w:type="spellEnd"/>
      <w:r w:rsidR="00A8532A" w:rsidRPr="0018135D">
        <w:t xml:space="preserve"> system, identifies pre-requisites</w:t>
      </w:r>
      <w:r w:rsidR="00EF533C">
        <w:t>,</w:t>
      </w:r>
      <w:r w:rsidR="00A8532A" w:rsidRPr="0018135D">
        <w:t xml:space="preserve"> and describes the installation</w:t>
      </w:r>
      <w:r w:rsidR="00F800C4">
        <w:t>.</w:t>
      </w:r>
    </w:p>
    <w:p w14:paraId="46CF58FF" w14:textId="2C0DDDF1" w:rsidR="00F800C4" w:rsidRDefault="00594EA2" w:rsidP="00ED7118">
      <w:pPr>
        <w:pStyle w:val="BulletLevel1"/>
      </w:pPr>
      <w:r>
        <w:t>H</w:t>
      </w:r>
      <w:r w:rsidR="00A8532A">
        <w:t xml:space="preserve">ow to connect </w:t>
      </w:r>
      <w:r w:rsidR="00B461A1">
        <w:t>Trade Innovation</w:t>
      </w:r>
      <w:r w:rsidR="00A8532A">
        <w:t xml:space="preserve"> and </w:t>
      </w:r>
      <w:r w:rsidR="00FC6A49">
        <w:t xml:space="preserve">Fusion </w:t>
      </w:r>
      <w:r w:rsidR="00A8532A">
        <w:t>Fabric Connect</w:t>
      </w:r>
      <w:r w:rsidR="00F800C4">
        <w:t>.</w:t>
      </w:r>
    </w:p>
    <w:p w14:paraId="6868041E" w14:textId="4E4A98A0" w:rsidR="00A8532A" w:rsidRDefault="00FC2E79" w:rsidP="003E7663">
      <w:pPr>
        <w:pStyle w:val="BulletLevel1"/>
      </w:pPr>
      <w:r>
        <w:t>H</w:t>
      </w:r>
      <w:r w:rsidRPr="00FC2E79">
        <w:t>ow to install</w:t>
      </w:r>
      <w:r>
        <w:t xml:space="preserve"> and configure</w:t>
      </w:r>
      <w:r w:rsidRPr="00FC2E79">
        <w:t xml:space="preserve"> the Trade Innovation Revenue Management interface</w:t>
      </w:r>
      <w:r w:rsidR="00A8532A">
        <w:t>.</w:t>
      </w:r>
    </w:p>
    <w:p w14:paraId="7972D367" w14:textId="2AECE335" w:rsidR="00494C13" w:rsidRPr="005D1200" w:rsidRDefault="00665B78" w:rsidP="00494C13">
      <w:pPr>
        <w:pStyle w:val="Heading2"/>
      </w:pPr>
      <w:bookmarkStart w:id="326" w:name="_Toc133234632"/>
      <w:r>
        <w:lastRenderedPageBreak/>
        <w:t xml:space="preserve">Firco Continuity Integration </w:t>
      </w:r>
      <w:r w:rsidR="00494C13">
        <w:t>Overview</w:t>
      </w:r>
      <w:r w:rsidR="0064733F">
        <w:t xml:space="preserve"> – TIFI</w:t>
      </w:r>
      <w:r w:rsidR="00EF533C">
        <w:t xml:space="preserve"> Interface</w:t>
      </w:r>
      <w:bookmarkEnd w:id="326"/>
    </w:p>
    <w:p w14:paraId="452514D2" w14:textId="776D3CE7" w:rsidR="00494C13" w:rsidRDefault="00494C13" w:rsidP="00194FA0">
      <w:pPr>
        <w:pStyle w:val="BodyText"/>
      </w:pPr>
      <w:r w:rsidRPr="005D1200">
        <w:t xml:space="preserve">The </w:t>
      </w:r>
      <w:r w:rsidR="002F3734" w:rsidRPr="002F3734">
        <w:rPr>
          <w:i/>
        </w:rPr>
        <w:t>Firco Continuity Integration</w:t>
      </w:r>
      <w:r w:rsidR="002F3734">
        <w:t xml:space="preserve"> </w:t>
      </w:r>
      <w:r>
        <w:rPr>
          <w:rStyle w:val="Italic"/>
        </w:rPr>
        <w:t>Overview</w:t>
      </w:r>
      <w:r w:rsidRPr="002F3734">
        <w:rPr>
          <w:i/>
        </w:rPr>
        <w:t xml:space="preserve"> </w:t>
      </w:r>
      <w:r w:rsidR="002F3734" w:rsidRPr="002F3734">
        <w:rPr>
          <w:i/>
        </w:rPr>
        <w:t>– TIFI Interface</w:t>
      </w:r>
      <w:r w:rsidR="002F3734">
        <w:t xml:space="preserve"> </w:t>
      </w:r>
      <w:r w:rsidRPr="005D1200">
        <w:t xml:space="preserve">is intended to be read </w:t>
      </w:r>
      <w:r w:rsidRPr="0083609D">
        <w:t>by</w:t>
      </w:r>
      <w:r>
        <w:t xml:space="preserve"> the</w:t>
      </w:r>
      <w:r w:rsidRPr="0083609D">
        <w:t xml:space="preserve"> bank’s technical and business operations teams that are responsible for installing and configuring </w:t>
      </w:r>
      <w:r w:rsidR="00B461A1">
        <w:t>Trade Innovation</w:t>
      </w:r>
      <w:r w:rsidRPr="005D1200">
        <w:t>. It</w:t>
      </w:r>
      <w:r w:rsidR="00E75CF1">
        <w:t xml:space="preserve"> covers</w:t>
      </w:r>
      <w:r w:rsidRPr="005D1200">
        <w:t>:</w:t>
      </w:r>
    </w:p>
    <w:p w14:paraId="3A9CA69D" w14:textId="77777777" w:rsidR="00AA5C2E" w:rsidRDefault="00E75CF1" w:rsidP="00ED7118">
      <w:pPr>
        <w:pStyle w:val="BulletLevel1"/>
      </w:pPr>
      <w:r>
        <w:t>A</w:t>
      </w:r>
      <w:r w:rsidR="00AA5C2E">
        <w:t xml:space="preserve">n introduction to the features of the </w:t>
      </w:r>
      <w:r>
        <w:t>c</w:t>
      </w:r>
      <w:r w:rsidR="00AA5C2E">
        <w:t xml:space="preserve">ombined </w:t>
      </w:r>
      <w:r>
        <w:t>s</w:t>
      </w:r>
      <w:r w:rsidR="00AA5C2E">
        <w:t>olution.</w:t>
      </w:r>
    </w:p>
    <w:p w14:paraId="26B0A536" w14:textId="77777777" w:rsidR="00AA5C2E" w:rsidRDefault="00E75CF1" w:rsidP="00ED7118">
      <w:pPr>
        <w:pStyle w:val="BulletLevel1"/>
      </w:pPr>
      <w:r>
        <w:t>T</w:t>
      </w:r>
      <w:r w:rsidR="00AA5C2E">
        <w:t xml:space="preserve">he forms of </w:t>
      </w:r>
      <w:r>
        <w:t>c</w:t>
      </w:r>
      <w:r w:rsidR="00AA5C2E">
        <w:t xml:space="preserve">ombined </w:t>
      </w:r>
      <w:r>
        <w:t>i</w:t>
      </w:r>
      <w:r w:rsidR="00AA5C2E">
        <w:t>ntegration available.</w:t>
      </w:r>
    </w:p>
    <w:p w14:paraId="61BEC9BA" w14:textId="77777777" w:rsidR="00AA5C2E" w:rsidRDefault="00E75CF1" w:rsidP="00ED7118">
      <w:pPr>
        <w:pStyle w:val="BulletLevel1"/>
      </w:pPr>
      <w:r>
        <w:t>T</w:t>
      </w:r>
      <w:r w:rsidR="00AA5C2E">
        <w:t xml:space="preserve">he Trade Innovation </w:t>
      </w:r>
      <w:r>
        <w:t>c</w:t>
      </w:r>
      <w:r w:rsidR="00AA5C2E">
        <w:t xml:space="preserve">onfiguration </w:t>
      </w:r>
      <w:r>
        <w:t>o</w:t>
      </w:r>
      <w:r w:rsidR="00AA5C2E">
        <w:t>ptions.</w:t>
      </w:r>
    </w:p>
    <w:p w14:paraId="6F4DDEDA" w14:textId="34C66780" w:rsidR="00AA5C2E" w:rsidRDefault="00E75CF1" w:rsidP="00ED7118">
      <w:pPr>
        <w:pStyle w:val="BulletLevel1"/>
      </w:pPr>
      <w:r>
        <w:t>T</w:t>
      </w:r>
      <w:r w:rsidR="00AA5C2E">
        <w:t xml:space="preserve">he Fabric Connect </w:t>
      </w:r>
      <w:r>
        <w:t>c</w:t>
      </w:r>
      <w:r w:rsidR="00AA5C2E">
        <w:t>onfiguration options.</w:t>
      </w:r>
    </w:p>
    <w:p w14:paraId="196B3BD2" w14:textId="77777777" w:rsidR="00AA5C2E" w:rsidRDefault="00E75CF1" w:rsidP="00ED7118">
      <w:pPr>
        <w:pStyle w:val="BulletLevel1"/>
      </w:pPr>
      <w:r>
        <w:t>T</w:t>
      </w:r>
      <w:r w:rsidR="00AA5C2E">
        <w:t>he Firco Continuity configuration</w:t>
      </w:r>
      <w:r>
        <w:t xml:space="preserve"> references</w:t>
      </w:r>
      <w:r w:rsidR="00AA5C2E">
        <w:t>.</w:t>
      </w:r>
    </w:p>
    <w:p w14:paraId="41E2AD0C" w14:textId="3A7D5D76" w:rsidR="00FC0987" w:rsidRPr="005D1200" w:rsidRDefault="00FC0987" w:rsidP="00FC0987">
      <w:pPr>
        <w:pStyle w:val="Heading2"/>
      </w:pPr>
      <w:bookmarkStart w:id="327" w:name="_Toc133234633"/>
      <w:r>
        <w:t>Firco Continuity Interface Guide – TIFI Interface</w:t>
      </w:r>
      <w:bookmarkEnd w:id="327"/>
    </w:p>
    <w:p w14:paraId="30158352" w14:textId="59138F1C" w:rsidR="00FC0987" w:rsidRPr="005D1200" w:rsidRDefault="00FC0987" w:rsidP="00194FA0">
      <w:pPr>
        <w:pStyle w:val="BodyText"/>
      </w:pPr>
      <w:r w:rsidRPr="005D1200">
        <w:t xml:space="preserve">The </w:t>
      </w:r>
      <w:r w:rsidRPr="00893271">
        <w:rPr>
          <w:i/>
        </w:rPr>
        <w:t>Firco Continuity</w:t>
      </w:r>
      <w:r>
        <w:t xml:space="preserve"> </w:t>
      </w:r>
      <w:r>
        <w:rPr>
          <w:rStyle w:val="Italic"/>
        </w:rPr>
        <w:t xml:space="preserve">Interface </w:t>
      </w:r>
      <w:r w:rsidRPr="005D1200">
        <w:rPr>
          <w:rStyle w:val="Italic"/>
        </w:rPr>
        <w:t>Guid</w:t>
      </w:r>
      <w:r>
        <w:rPr>
          <w:rStyle w:val="Italic"/>
        </w:rPr>
        <w:t>e – TIFI Interface</w:t>
      </w:r>
      <w:r w:rsidRPr="005D1200">
        <w:t xml:space="preserve"> is intended </w:t>
      </w:r>
      <w:r w:rsidRPr="009E41BC">
        <w:t xml:space="preserve">to be read by the bank’s technical and business operations teams who are responsible for installing and configuring </w:t>
      </w:r>
      <w:r w:rsidR="00B461A1">
        <w:t>Trade Innovation</w:t>
      </w:r>
      <w:r w:rsidRPr="009E41BC">
        <w:t xml:space="preserve"> and </w:t>
      </w:r>
      <w:r>
        <w:t>its interface to Firco Continuity</w:t>
      </w:r>
      <w:r w:rsidRPr="005D1200">
        <w:t>. It</w:t>
      </w:r>
      <w:r>
        <w:t xml:space="preserve"> covers</w:t>
      </w:r>
      <w:r w:rsidRPr="005D1200">
        <w:t>:</w:t>
      </w:r>
    </w:p>
    <w:p w14:paraId="445BB216" w14:textId="5E65F92A" w:rsidR="00FC0987" w:rsidRDefault="00FC0987" w:rsidP="00ED7118">
      <w:pPr>
        <w:pStyle w:val="BulletLevel1"/>
      </w:pPr>
      <w:r>
        <w:t>The Fabric Connect (FFC) installation and pre-configuration.</w:t>
      </w:r>
    </w:p>
    <w:p w14:paraId="0CCBD2E8" w14:textId="77777777" w:rsidR="00FC0987" w:rsidRDefault="00FC0987" w:rsidP="00ED7118">
      <w:pPr>
        <w:pStyle w:val="BulletLevel1"/>
      </w:pPr>
      <w:r>
        <w:t>The required components of a Firco Continuity installation.</w:t>
      </w:r>
    </w:p>
    <w:p w14:paraId="0266CAC1" w14:textId="0914B1DA" w:rsidR="00FC0987" w:rsidRDefault="00FC0987" w:rsidP="00ED7118">
      <w:pPr>
        <w:pStyle w:val="BulletLevel1"/>
      </w:pPr>
      <w:r>
        <w:t xml:space="preserve">The </w:t>
      </w:r>
      <w:r w:rsidR="00B461A1">
        <w:t>Trade Innovation</w:t>
      </w:r>
      <w:r>
        <w:t xml:space="preserve"> configuration with FFC for Firco Continuity.</w:t>
      </w:r>
    </w:p>
    <w:p w14:paraId="3C7CF1A1" w14:textId="79F7B9C1" w:rsidR="00FC0987" w:rsidRDefault="00FC0987" w:rsidP="00ED7118">
      <w:pPr>
        <w:pStyle w:val="BulletLevel1"/>
      </w:pPr>
      <w:r>
        <w:t xml:space="preserve">The </w:t>
      </w:r>
      <w:r w:rsidR="00B461A1">
        <w:t>Trade Innovation</w:t>
      </w:r>
      <w:r>
        <w:t xml:space="preserve"> configuration requirements for Watch List checking.</w:t>
      </w:r>
    </w:p>
    <w:p w14:paraId="204E8B14" w14:textId="77777777" w:rsidR="00FC0987" w:rsidRDefault="00FC0987" w:rsidP="00ED7118">
      <w:pPr>
        <w:pStyle w:val="BulletLevel1"/>
      </w:pPr>
      <w:r>
        <w:t>The post-installation configuration options for Firco Continuity, how to configure them and where licenses are required.</w:t>
      </w:r>
    </w:p>
    <w:p w14:paraId="5644F8A8" w14:textId="60121683" w:rsidR="00F544CE" w:rsidRPr="005D1200" w:rsidRDefault="00F544CE" w:rsidP="00F544CE">
      <w:pPr>
        <w:pStyle w:val="Heading2"/>
      </w:pPr>
      <w:bookmarkStart w:id="328" w:name="_Toc133234634"/>
      <w:r>
        <w:t>Insight Interface Guide – TIFBI Interface</w:t>
      </w:r>
      <w:bookmarkEnd w:id="328"/>
    </w:p>
    <w:p w14:paraId="2F0426D1" w14:textId="015957D3" w:rsidR="00F544CE" w:rsidRPr="005D1200" w:rsidRDefault="00F544CE" w:rsidP="00194FA0">
      <w:pPr>
        <w:pStyle w:val="BodyText"/>
      </w:pPr>
      <w:r w:rsidRPr="005D1200">
        <w:t xml:space="preserve">The </w:t>
      </w:r>
      <w:r>
        <w:rPr>
          <w:i/>
        </w:rPr>
        <w:t>Insight</w:t>
      </w:r>
      <w:r>
        <w:t xml:space="preserve"> </w:t>
      </w:r>
      <w:r>
        <w:rPr>
          <w:rStyle w:val="Italic"/>
        </w:rPr>
        <w:t xml:space="preserve">Interface </w:t>
      </w:r>
      <w:r w:rsidRPr="005D1200">
        <w:rPr>
          <w:rStyle w:val="Italic"/>
        </w:rPr>
        <w:t>Guid</w:t>
      </w:r>
      <w:r>
        <w:rPr>
          <w:rStyle w:val="Italic"/>
        </w:rPr>
        <w:t>e – TIFBI Interface</w:t>
      </w:r>
      <w:r w:rsidRPr="005D1200">
        <w:t xml:space="preserve"> is intended </w:t>
      </w:r>
      <w:r w:rsidRPr="009E41BC">
        <w:t xml:space="preserve">to be read by the bank’s technical and business operations teams who are responsible for installing and configuring </w:t>
      </w:r>
      <w:r w:rsidR="00B461A1">
        <w:t>Trade Innovation</w:t>
      </w:r>
      <w:r w:rsidRPr="009E41BC">
        <w:t xml:space="preserve"> and </w:t>
      </w:r>
      <w:r>
        <w:t>Insight</w:t>
      </w:r>
      <w:r w:rsidRPr="005D1200">
        <w:t>. It</w:t>
      </w:r>
      <w:r>
        <w:t xml:space="preserve"> covers</w:t>
      </w:r>
      <w:r w:rsidRPr="005D1200">
        <w:t>:</w:t>
      </w:r>
    </w:p>
    <w:p w14:paraId="4D51E35C" w14:textId="77777777" w:rsidR="00F544CE" w:rsidRDefault="00F544CE" w:rsidP="00ED7118">
      <w:pPr>
        <w:pStyle w:val="BulletLevel1"/>
      </w:pPr>
      <w:r>
        <w:t>An overview of the Trade Analytics dashboard.</w:t>
      </w:r>
    </w:p>
    <w:p w14:paraId="598C2C8B" w14:textId="77777777" w:rsidR="00F544CE" w:rsidRDefault="00F544CE" w:rsidP="00ED7118">
      <w:pPr>
        <w:pStyle w:val="BulletLevel1"/>
      </w:pPr>
      <w:r>
        <w:t xml:space="preserve">How to configure </w:t>
      </w:r>
      <w:proofErr w:type="spellStart"/>
      <w:r>
        <w:t>FusionFabric</w:t>
      </w:r>
      <w:proofErr w:type="spellEnd"/>
      <w:r>
        <w:t xml:space="preserve"> Connect to use the JMS provider.</w:t>
      </w:r>
    </w:p>
    <w:p w14:paraId="7195AE74" w14:textId="5B8AD9DF" w:rsidR="00F544CE" w:rsidRDefault="00F544CE" w:rsidP="00ED7118">
      <w:pPr>
        <w:pStyle w:val="BulletLevel1"/>
      </w:pPr>
      <w:r>
        <w:t>The release contents of TI FBI Interface and needed configuration to support Insight.</w:t>
      </w:r>
    </w:p>
    <w:p w14:paraId="16528FCE" w14:textId="77777777" w:rsidR="00F544CE" w:rsidRDefault="00F544CE" w:rsidP="00ED7118">
      <w:pPr>
        <w:pStyle w:val="BulletLevel1"/>
      </w:pPr>
      <w:r>
        <w:t xml:space="preserve">The data flow generated from </w:t>
      </w:r>
      <w:proofErr w:type="spellStart"/>
      <w:r>
        <w:t>graphviz</w:t>
      </w:r>
      <w:proofErr w:type="spellEnd"/>
      <w:r>
        <w:t xml:space="preserve"> software.</w:t>
      </w:r>
    </w:p>
    <w:p w14:paraId="78638875" w14:textId="77777777" w:rsidR="00F544CE" w:rsidRPr="00DA1FB4" w:rsidRDefault="00F544CE" w:rsidP="00ED7118">
      <w:pPr>
        <w:pStyle w:val="BulletLevel1"/>
      </w:pPr>
      <w:r>
        <w:t>List of data sources used for data extraction.</w:t>
      </w:r>
    </w:p>
    <w:p w14:paraId="1D76DA4E" w14:textId="78D51DE5" w:rsidR="00E338D6" w:rsidRPr="005D1200" w:rsidRDefault="00E338D6" w:rsidP="00E338D6">
      <w:pPr>
        <w:pStyle w:val="Heading2"/>
      </w:pPr>
      <w:bookmarkStart w:id="329" w:name="_Toc133234635"/>
      <w:r>
        <w:t>Loan IQ Interface Guide – TILIQ Interface</w:t>
      </w:r>
      <w:bookmarkEnd w:id="329"/>
    </w:p>
    <w:p w14:paraId="73A1A817" w14:textId="4F6820F3" w:rsidR="00E338D6" w:rsidRPr="005D1200" w:rsidRDefault="00E338D6" w:rsidP="00194FA0">
      <w:pPr>
        <w:pStyle w:val="BodyText"/>
      </w:pPr>
      <w:r w:rsidRPr="005D1200">
        <w:t xml:space="preserve">The </w:t>
      </w:r>
      <w:r w:rsidRPr="006C75BE">
        <w:rPr>
          <w:i/>
        </w:rPr>
        <w:t>Loan IQ</w:t>
      </w:r>
      <w:r>
        <w:t xml:space="preserve"> </w:t>
      </w:r>
      <w:r>
        <w:rPr>
          <w:rStyle w:val="Italic"/>
        </w:rPr>
        <w:t xml:space="preserve">Interface </w:t>
      </w:r>
      <w:r w:rsidRPr="005D1200">
        <w:rPr>
          <w:rStyle w:val="Italic"/>
        </w:rPr>
        <w:t>Guid</w:t>
      </w:r>
      <w:r>
        <w:rPr>
          <w:rStyle w:val="Italic"/>
        </w:rPr>
        <w:t>e – TILIQ Interface</w:t>
      </w:r>
      <w:r w:rsidRPr="005D1200">
        <w:t xml:space="preserve"> is intended </w:t>
      </w:r>
      <w:r w:rsidRPr="009E41BC">
        <w:t xml:space="preserve">to be read by the bank’s technical and business operations teams who are responsible for installing and configuring </w:t>
      </w:r>
      <w:r w:rsidR="00B461A1">
        <w:t>Trade Innovation</w:t>
      </w:r>
      <w:r w:rsidRPr="009E41BC">
        <w:t xml:space="preserve"> and Loan IQ</w:t>
      </w:r>
      <w:r w:rsidRPr="005D1200">
        <w:t>. It</w:t>
      </w:r>
      <w:r>
        <w:t xml:space="preserve"> covers</w:t>
      </w:r>
      <w:r w:rsidRPr="005D1200">
        <w:t>:</w:t>
      </w:r>
    </w:p>
    <w:p w14:paraId="1BBA7EAE" w14:textId="68C4E683" w:rsidR="00E338D6" w:rsidRPr="00DA1FB4" w:rsidRDefault="00E338D6" w:rsidP="00ED7118">
      <w:pPr>
        <w:pStyle w:val="BulletLevel1"/>
      </w:pPr>
      <w:r>
        <w:t xml:space="preserve">An overview of the </w:t>
      </w:r>
      <w:r w:rsidR="00B461A1">
        <w:t>Trade Innovation</w:t>
      </w:r>
      <w:r>
        <w:t xml:space="preserve"> Loan IQ interface.</w:t>
      </w:r>
    </w:p>
    <w:p w14:paraId="5C9AAAA8" w14:textId="64CC206E" w:rsidR="00E338D6" w:rsidRPr="005D1200" w:rsidRDefault="00E338D6" w:rsidP="00ED7118">
      <w:pPr>
        <w:pStyle w:val="BulletLevel1"/>
      </w:pPr>
      <w:r>
        <w:t>The Fabric Connect installation and configuration.</w:t>
      </w:r>
    </w:p>
    <w:p w14:paraId="3491D9E1" w14:textId="06050AEF" w:rsidR="00E338D6" w:rsidRDefault="00E338D6" w:rsidP="00ED7118">
      <w:pPr>
        <w:pStyle w:val="BulletLevel1"/>
      </w:pPr>
      <w:r>
        <w:t xml:space="preserve">The </w:t>
      </w:r>
      <w:r w:rsidR="00B461A1">
        <w:t>Trade Innovation</w:t>
      </w:r>
      <w:r>
        <w:t xml:space="preserve"> configuration with FFC and Loan IQ.</w:t>
      </w:r>
    </w:p>
    <w:p w14:paraId="5A606753" w14:textId="0A8126AE" w:rsidR="00E338D6" w:rsidRDefault="00E338D6" w:rsidP="00ED7118">
      <w:pPr>
        <w:pStyle w:val="BulletLevel1"/>
      </w:pPr>
      <w:r>
        <w:t xml:space="preserve">The </w:t>
      </w:r>
      <w:r w:rsidR="00B461A1">
        <w:t>Trade Innovation</w:t>
      </w:r>
      <w:r>
        <w:t xml:space="preserve"> configuration.</w:t>
      </w:r>
    </w:p>
    <w:p w14:paraId="3F68CC25" w14:textId="17B58900" w:rsidR="00E338D6" w:rsidRDefault="00E338D6" w:rsidP="00ED7118">
      <w:pPr>
        <w:pStyle w:val="BulletLevel1"/>
      </w:pPr>
      <w:r>
        <w:t>The Loan IQ configuration.</w:t>
      </w:r>
    </w:p>
    <w:p w14:paraId="326C7DFC" w14:textId="77777777" w:rsidR="00DA1FB4" w:rsidRDefault="00DA1FB4" w:rsidP="00194FA0">
      <w:pPr>
        <w:pStyle w:val="BodyText"/>
      </w:pPr>
    </w:p>
    <w:p w14:paraId="0729FE86" w14:textId="77777777" w:rsidR="00FD7CEE" w:rsidRPr="005D1200" w:rsidRDefault="00FD7CEE" w:rsidP="00FD7CEE">
      <w:pPr>
        <w:pStyle w:val="Heading1"/>
      </w:pPr>
      <w:bookmarkStart w:id="330" w:name="_Ref57041319"/>
      <w:bookmarkStart w:id="331" w:name="_Toc133234636"/>
      <w:r w:rsidRPr="005D1200">
        <w:lastRenderedPageBreak/>
        <w:t>R</w:t>
      </w:r>
      <w:bookmarkEnd w:id="317"/>
      <w:bookmarkEnd w:id="318"/>
      <w:r w:rsidRPr="005D1200">
        <w:t>elease Notes</w:t>
      </w:r>
      <w:bookmarkEnd w:id="319"/>
      <w:bookmarkEnd w:id="320"/>
      <w:bookmarkEnd w:id="321"/>
      <w:bookmarkEnd w:id="330"/>
      <w:bookmarkEnd w:id="331"/>
    </w:p>
    <w:p w14:paraId="71160337" w14:textId="77777777" w:rsidR="00FD7CEE" w:rsidRPr="005D1200" w:rsidRDefault="00FD7CEE" w:rsidP="00194FA0">
      <w:pPr>
        <w:pStyle w:val="BodyText"/>
      </w:pPr>
      <w:r w:rsidRPr="005D1200">
        <w:t xml:space="preserve">In addition to the documentation described so far in this document, each new release of </w:t>
      </w:r>
      <w:r w:rsidR="000B7588" w:rsidRPr="005D1200">
        <w:t xml:space="preserve">the system </w:t>
      </w:r>
      <w:r w:rsidRPr="005D1200">
        <w:t>is accompanied by Functional Release Notes which may include:</w:t>
      </w:r>
    </w:p>
    <w:p w14:paraId="74863915" w14:textId="77777777" w:rsidR="00FD7CEE" w:rsidRPr="005D1200" w:rsidRDefault="00FD7CEE" w:rsidP="00ED7118">
      <w:pPr>
        <w:pStyle w:val="BulletLevel1"/>
      </w:pPr>
      <w:r w:rsidRPr="005D1200">
        <w:t>An overview of any new products included in the release</w:t>
      </w:r>
    </w:p>
    <w:p w14:paraId="5C48CE3E" w14:textId="77777777" w:rsidR="00FD7CEE" w:rsidRPr="005D1200" w:rsidRDefault="00FD7CEE" w:rsidP="00ED7118">
      <w:pPr>
        <w:pStyle w:val="BulletLevel1"/>
      </w:pPr>
      <w:r w:rsidRPr="005D1200">
        <w:t>Changes made to the functionality of the software since the previous release</w:t>
      </w:r>
    </w:p>
    <w:p w14:paraId="701D04DA" w14:textId="77777777" w:rsidR="00FD7CEE" w:rsidRPr="005D1200" w:rsidRDefault="00FD7CEE" w:rsidP="00ED7118">
      <w:pPr>
        <w:pStyle w:val="BulletLevel1"/>
      </w:pPr>
      <w:r w:rsidRPr="005D1200">
        <w:t>Minor enhancements and code fixes included in the release</w:t>
      </w:r>
    </w:p>
    <w:p w14:paraId="2450015A" w14:textId="77777777" w:rsidR="00FD7CEE" w:rsidRPr="005D1200" w:rsidRDefault="00FD7CEE" w:rsidP="00ED7118">
      <w:pPr>
        <w:pStyle w:val="BulletLevel1"/>
      </w:pPr>
      <w:r w:rsidRPr="005D1200">
        <w:t>Any steps required to upgrade to the new version of the software</w:t>
      </w:r>
    </w:p>
    <w:p w14:paraId="2C50B1BD" w14:textId="77777777" w:rsidR="00FD7CEE" w:rsidRPr="005D1200" w:rsidRDefault="00FD7CEE" w:rsidP="00ED7118">
      <w:pPr>
        <w:pStyle w:val="BulletLevel1"/>
      </w:pPr>
      <w:r w:rsidRPr="005D1200">
        <w:t>Instructions on getting started with any new products delivered with the release</w:t>
      </w:r>
    </w:p>
    <w:p w14:paraId="2EBF638C" w14:textId="77777777" w:rsidR="00FD7CEE" w:rsidRPr="005D1200" w:rsidRDefault="00FD7CEE" w:rsidP="00ED7118">
      <w:pPr>
        <w:pStyle w:val="BulletLevel1"/>
      </w:pPr>
      <w:r w:rsidRPr="005D1200">
        <w:t>Database changes made between the last version of the software and the new release</w:t>
      </w:r>
    </w:p>
    <w:p w14:paraId="7F5ABB10" w14:textId="77777777" w:rsidR="00FD7CEE" w:rsidRPr="005D1200" w:rsidRDefault="00FD7CEE" w:rsidP="00194FA0">
      <w:pPr>
        <w:pStyle w:val="BodyText"/>
      </w:pPr>
      <w:r w:rsidRPr="005D1200">
        <w:t xml:space="preserve">The Release Notes direct the user to those parts of the </w:t>
      </w:r>
      <w:r w:rsidR="000B7588" w:rsidRPr="005D1200">
        <w:t xml:space="preserve">system </w:t>
      </w:r>
      <w:r w:rsidRPr="005D1200">
        <w:t xml:space="preserve">documentation set where they can find more detailed information on new functionality or on using existing functionality to configure the </w:t>
      </w:r>
      <w:r w:rsidR="00C57D1F" w:rsidRPr="005D1200">
        <w:t>system to support new products.</w:t>
      </w:r>
    </w:p>
    <w:p w14:paraId="56C74069" w14:textId="77777777" w:rsidR="00FD7CEE" w:rsidRDefault="00FD7CEE" w:rsidP="00194FA0">
      <w:pPr>
        <w:pStyle w:val="BodyText"/>
      </w:pPr>
      <w:r w:rsidRPr="005D1200">
        <w:t>Technical Release Notes are also issued to cover changes to the technical environment.</w:t>
      </w:r>
      <w:bookmarkEnd w:id="5"/>
      <w:bookmarkEnd w:id="6"/>
      <w:bookmarkEnd w:id="7"/>
    </w:p>
    <w:p w14:paraId="644F58C9" w14:textId="3B24A286" w:rsidR="00F544CE" w:rsidRPr="005D1200" w:rsidRDefault="00F544CE" w:rsidP="00194FA0">
      <w:pPr>
        <w:pStyle w:val="BodyText"/>
      </w:pPr>
    </w:p>
    <w:sectPr w:rsidR="00F544CE" w:rsidRPr="005D1200" w:rsidSect="0064720B">
      <w:headerReference w:type="default" r:id="rId12"/>
      <w:footerReference w:type="default" r:id="rId13"/>
      <w:pgSz w:w="11906" w:h="16838" w:code="9"/>
      <w:pgMar w:top="1008" w:right="1008" w:bottom="1008" w:left="1008" w:header="706" w:footer="706" w:gutter="0"/>
      <w:pgNumType w:start="1"/>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5B" wne:kcmSecondary="0042">
      <wne:acd wne:acdName="acd29"/>
    </wne:keymap>
    <wne:keymap wne:kcmPrimary="025B" wne:kcmSecondary="0049">
      <wne:acd wne:acdName="acd28"/>
    </wne:keymap>
    <wne:keymap wne:kcmPrimary="025B" wne:kcmSecondary="005B">
      <wne:acd wne:acdName="acd16"/>
    </wne:keymap>
    <wne:keymap wne:kcmPrimary="0331">
      <wne:acd wne:acdName="acd32"/>
    </wne:keymap>
    <wne:keymap wne:kcmPrimary="0332">
      <wne:acd wne:acdName="acd33"/>
    </wne:keymap>
    <wne:keymap wne:kcmPrimary="0333">
      <wne:acd wne:acdName="acd34"/>
    </wne:keymap>
    <wne:keymap wne:kcmPrimary="0334">
      <wne:acd wne:acdName="acd6"/>
    </wne:keymap>
    <wne:keymap wne:kcmPrimary="0335">
      <wne:acd wne:acdName="acd7"/>
    </wne:keymap>
    <wne:keymap wne:kcmPrimary="0336">
      <wne:acd wne:acdName="acd8"/>
    </wne:keymap>
    <wne:keymap wne:kcmPrimary="0337">
      <wne:acd wne:acdName="acd52"/>
    </wne:keymap>
    <wne:keymap wne:kcmPrimary="0338">
      <wne:acd wne:acdName="acd55"/>
    </wne:keymap>
    <wne:keymap wne:kcmPrimary="0431">
      <wne:acd wne:acdName="acd0"/>
    </wne:keymap>
    <wne:keymap wne:kcmPrimary="0432">
      <wne:acd wne:acdName="acd1"/>
    </wne:keymap>
    <wne:keymap wne:kcmPrimary="0433">
      <wne:acd wne:acdName="acd11"/>
    </wne:keymap>
    <wne:keymap wne:kcmPrimary="0457" wne:kcmSecondary="0031">
      <wne:acd wne:acdName="acd2"/>
    </wne:keymap>
    <wne:keymap wne:kcmPrimary="0457" wne:kcmSecondary="0032">
      <wne:acd wne:acdName="acd42"/>
    </wne:keymap>
    <wne:keymap wne:kcmPrimary="0457" wne:kcmSecondary="0033">
      <wne:acd wne:acdName="acd9"/>
    </wne:keymap>
    <wne:keymap wne:kcmPrimary="0530">
      <wne:acd wne:acdName="acd40"/>
    </wne:keymap>
    <wne:keymap wne:kcmPrimary="0534">
      <wne:acd wne:acdName="acd12"/>
    </wne:keymap>
    <wne:keymap wne:kcmPrimary="0535">
      <wne:acd wne:acdName="acd13"/>
    </wne:keymap>
    <wne:keymap wne:kcmPrimary="0542">
      <wne:acd wne:acdName="acd4"/>
    </wne:keymap>
    <wne:keymap wne:kcmPrimary="0543">
      <wne:acd wne:acdName="acd25"/>
    </wne:keymap>
    <wne:keymap wne:kcmPrimary="0634">
      <wne:acd wne:acdName="acd44"/>
    </wne:keymap>
    <wne:keymap wne:kcmPrimary="0642">
      <wne:acd wne:acdName="acd5"/>
    </wne:keymap>
    <wne:keymap wne:kcmPrimary="0658">
      <wne:acd wne:acdName="acd10"/>
    </wne:keymap>
    <wne:keymap wne:kcmPrimary="0731">
      <wne:acd wne:acdName="acd39"/>
    </wne:keymap>
    <wne:keymap wne:kcmPrimary="0732">
      <wne:acd wne:acdName="acd36"/>
    </wne:keymap>
    <wne:keymap wne:kcmPrimary="0733">
      <wne:acd wne:acdName="acd37"/>
    </wne:keymap>
    <wne:keymap wne:kcmPrimary="0734">
      <wne:acd wne:acdName="acd38"/>
    </wne:keymap>
    <wne:keymap wne:kcmPrimary="0738">
      <wne:acd wne:acdName="acd17"/>
    </wne:keymap>
    <wne:keymap wne:kcmPrimary="0739">
      <wne:acd wne:acdName="acd56"/>
    </wne:keymap>
    <wne:keymap wne:kcmPrimary="0742">
      <wne:acd wne:acdName="acd3"/>
    </wne:keymap>
    <wne:keymap wne:kcmPrimary="0743">
      <wne:acd wne:acdName="acd20"/>
    </wne:keymap>
    <wne:keymap wne:kcmPrimary="0748">
      <wne:acd wne:acdName="acd15"/>
    </wne:keymap>
    <wne:keymap wne:kcmPrimary="074E">
      <wne:acd wne:acdName="acd51"/>
    </wne:keymap>
    <wne:keymap wne:kcmPrimary="0754">
      <wne:acd wne:acdName="acd14"/>
    </wne:keymap>
    <wne:keymap wne:kcmPrimary="07BB">
      <wne:acd wne:acdName="acd18"/>
    </wne:keymap>
    <wne:keymap wne:kcmPrimary="07C0">
      <wne:acd wne:acdName="acd19"/>
    </wne:keymap>
    <wne:keymap wne:kcmPrimary="07DC">
      <wne:macro wne:macroName="NORMAL.NEWMACROS.TABLE1RESIZE"/>
    </wne:keymap>
    <wne:keymap wne:kcmPrimary="07DD">
      <wne:macro wne:macroName="NORMAL.NEWMACROS.TABLE2RESIZE"/>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Entry wne:acdName="acd49"/>
      <wne:acdEntry wne:acdName="acd50"/>
      <wne:acdEntry wne:acdName="acd51"/>
      <wne:acdEntry wne:acdName="acd52"/>
      <wne:acdEntry wne:acdName="acd53"/>
      <wne:acdEntry wne:acdName="acd54"/>
      <wne:acdEntry wne:acdName="acd55"/>
      <wne:acdEntry wne:acdName="acd56"/>
    </wne:acdManifest>
  </wne:toolbars>
  <wne:acds>
    <wne:acd wne:argValue="AgBNAGkAcwB5AHMAIABOAG8AdABlADEA" wne:acdName="acd0" wne:fciIndexBasedOn="0065"/>
    <wne:acd wne:argValue="AgBNAGkAcwB5AHMAIABOAG8AdABlADIA" wne:acdName="acd1" wne:fciIndexBasedOn="0065"/>
    <wne:acd wne:argValue="AgBNAGkAcwB5AHMAIABXAGEAcgBuAGkAbgBnADEA" wne:acdName="acd2" wne:fciIndexBasedOn="0065"/>
    <wne:acd wne:argValue="AgBCAHUAbABsAGUAdABMAGUAdgBlAGwAMgA=" wne:acdName="acd3" wne:fciIndexBasedOn="0065"/>
    <wne:acd wne:argValue="AgBCAHUAbABsAGUAdABMAGUAdgBlAGwAMwA=" wne:acdName="acd4" wne:fciIndexBasedOn="0065"/>
    <wne:acd wne:argValue="AgBNAGkAcwB5AHMAIABCAHUAbABsAGUAdAAgADEA" wne:acdName="acd5" wne:fciIndexBasedOn="0065"/>
    <wne:acd wne:argValue="AgBCAG8AZAB5AFQAZQB4AHQASQBuAGQAZQBuAHQAMQA=" wne:acdName="acd6" wne:fciIndexBasedOn="0065"/>
    <wne:acd wne:argValue="AgBCAG8AZAB5AFQAZQB4AHQASQBuAGQAZQBuAHQAMgA=" wne:acdName="acd7" wne:fciIndexBasedOn="0065"/>
    <wne:acd wne:argValue="AgBCAG8AZAB5AFQAZQB4AHQASQBuAGQAZQBuAHQAMwA=" wne:acdName="acd8" wne:fciIndexBasedOn="0065"/>
    <wne:acd wne:argValue="AgBNAGkAcwB5AHMAIABXAGEAcgBuAGkAbgBnADIA" wne:acdName="acd9" wne:fciIndexBasedOn="0065"/>
    <wne:acd wne:argValue="AgBNAGkAcwB5AHMAIABYAE0ATAAxAA==" wne:acdName="acd10" wne:fciIndexBasedOn="0065"/>
    <wne:acd wne:argValue="AgBNAGkAcwB5AHMAIABOAG8AdABlADMA" wne:acdName="acd11" wne:fciIndexBasedOn="0065"/>
    <wne:acd wne:argValue="AQAAAAQA" wne:acdName="acd12" wne:fciIndexBasedOn="0065"/>
    <wne:acd wne:argValue="AQAAAAUA" wne:acdName="acd13" wne:fciIndexBasedOn="0065"/>
    <wne:acd wne:argValue="AgBNAGkAcwB5AHMAIABUAGEAYgBsAGUAVABlAHgAdAA=" wne:acdName="acd14" wne:fciIndexBasedOn="0065"/>
    <wne:acd wne:argValue="AgBNAGkAcwB5AHMAIABUAGEAYgBsAGUASABlAGEAZAA=" wne:acdName="acd15" wne:fciIndexBasedOn="0065"/>
    <wne:acd wne:argValue="AgBNAGkAcwB5AHMAIABGAGkAbABlAE4AYQBtAGUASQBuAEwAaQBuAGUA" wne:acdName="acd16" wne:fciIndexBasedOn="0065"/>
    <wne:acd wne:argValue="AgBNAGkAcwB5AHMAIABUAGEAYgBsAGUAQgB1AGwAbABlAHQAMQA=" wne:acdName="acd17" wne:fciIndexBasedOn="0065"/>
    <wne:acd wne:argValue="AgBNAGkAcwB5AHMAIABUAGEAYgBsAGUAQwBvAGQAZQA=" wne:acdName="acd18" wne:fciIndexBasedOn="0065"/>
    <wne:acd wne:argValue="AgBBAGIAbwB1AHQAVABpAHQAbABlAA==" wne:acdName="acd19" wne:fciIndexBasedOn="0065"/>
    <wne:acd wne:argValue="AgBDAG8AZABlAFMAbgBpAHAAcABlAHQAIAAyAA==" wne:acdName="acd20" wne:fciIndexBasedOn="0065"/>
    <wne:acd wne:acdName="acd21" wne:fciIndexBasedOn="0065"/>
    <wne:acd wne:argValue="AgBNAGkAcwB5AHMAIABGAGkAbABlAE4AYQBtAGUASQBuAEwAaQBuAGUA" wne:acdName="acd22" wne:fciIndexBasedOn="0065"/>
    <wne:acd wne:argValue="AgBNAGkAcwB5AHMAIABUAGEAYgBsAGUAQgB1AGwAbABlAHQAMQA=" wne:acdName="acd23" wne:fciIndexBasedOn="0065"/>
    <wne:acd wne:acdName="acd24" wne:fciIndexBasedOn="0065"/>
    <wne:acd wne:argValue="AgBNAGkAcwB5AHMAIABDAG8AZABlAEkAbgBMAGkAbgBlAA==" wne:acdName="acd25" wne:fciIndexBasedOn="0065"/>
    <wne:acd wne:acdName="acd26" wne:fciIndexBasedOn="0065"/>
    <wne:acd wne:acdName="acd27" wne:fciIndexBasedOn="0065"/>
    <wne:acd wne:argValue="AgBNAGkAcwB5AHMAIABJAHQAYQBsAGkAYwA=" wne:acdName="acd28" wne:fciIndexBasedOn="0065"/>
    <wne:acd wne:argValue="AgBNAGkAcwB5AHMAIABCAG8AbABkAA==" wne:acdName="acd29" wne:fciIndexBasedOn="0065"/>
    <wne:acd wne:acdName="acd30" wne:fciIndexBasedOn="0065"/>
    <wne:acd wne:acdName="acd31" wne:fciIndexBasedOn="0065"/>
    <wne:acd wne:argValue="AgBOAHUAbQBIAGUAYQBkAGkAbgBnACAAMQA=" wne:acdName="acd32" wne:fciIndexBasedOn="0065"/>
    <wne:acd wne:argValue="AgBOAHUAbQBIAGUAYQBkAGkAbgBnACAAMgA=" wne:acdName="acd33" wne:fciIndexBasedOn="0065"/>
    <wne:acd wne:argValue="AgBOAHUAbQBIAGUAYQBkAGkAbgBnACAAMwA=" wne:acdName="acd34" wne:fciIndexBasedOn="0065"/>
    <wne:acd wne:argValue="AgBNAGkAcwB5AHMAIABUAGEAYgBsAGUAVABlAHgAdAA=" wne:acdName="acd35" wne:fciIndexBasedOn="0065"/>
    <wne:acd wne:argValue="AgBCAG8AZAB5AFQAZQB4AHQARgBpAHIAcwB0AEkAbgBkAGUAbgB0ADEA" wne:acdName="acd36" wne:fciIndexBasedOn="0065"/>
    <wne:acd wne:argValue="AgBCAG8AZAB5AFQAZQB4AHQARgBpAHIAcwB0AEkAbgBkAGUAbgB0ADIA" wne:acdName="acd37" wne:fciIndexBasedOn="0065"/>
    <wne:acd wne:argValue="AgBCAG8AZAB5AFQAZQB4AHQARgBpAHIAcwB0AEkAbgBkAGUAbgB0ADMA" wne:acdName="acd38" wne:fciIndexBasedOn="0065"/>
    <wne:acd wne:argValue="AgBCAG8AZAB5AFQAZQB4AHQARgBpAHIAcwB0AA==" wne:acdName="acd39" wne:fciIndexBasedOn="0065"/>
    <wne:acd wne:argValue="AgBIAGUAYQBkAGkAbgBnACAAMgBfAFQAbwBwAE8AZgBQAGEAZwBlAA==" wne:acdName="acd40" wne:fciIndexBasedOn="0065"/>
    <wne:acd wne:acdName="acd41" wne:fciIndexBasedOn="0065"/>
    <wne:acd wne:argValue="AgBXAGEAcgBuAGkAbgBnADIA" wne:acdName="acd42" wne:fciIndexBasedOn="0065"/>
    <wne:acd wne:acdName="acd43" wne:fciIndexBasedOn="0065"/>
    <wne:acd wne:argValue="AgBNAGkAcwB5AHMAIABCAG8AZAB5AFQAZQB4AHQA" wne:acdName="acd44" wne:fciIndexBasedOn="0065"/>
    <wne:acd wne:acdName="acd45" wne:fciIndexBasedOn="0065"/>
    <wne:acd wne:acdName="acd46" wne:fciIndexBasedOn="0065"/>
    <wne:acd wne:acdName="acd47" wne:fciIndexBasedOn="0065"/>
    <wne:acd wne:argValue="AgBNAGkAcwB5AHMAIABUAGEAYgBsAGUAQwBvAGQAZQA=" wne:acdName="acd48" wne:fciIndexBasedOn="0065"/>
    <wne:acd wne:acdName="acd49" wne:fciIndexBasedOn="0065"/>
    <wne:acd wne:acdName="acd50" wne:fciIndexBasedOn="0065"/>
    <wne:acd wne:argValue="AgBNAGkAcwB5AHMAIABMAGkAcwB0ADEA" wne:acdName="acd51" wne:fciIndexBasedOn="0065"/>
    <wne:acd wne:argValue="AgBNAGkAcwB5AHMAIABMAGkAcwB0ADIA" wne:acdName="acd52" wne:fciIndexBasedOn="0065"/>
    <wne:acd wne:acdName="acd53" wne:fciIndexBasedOn="0065"/>
    <wne:acd wne:acdName="acd54" wne:fciIndexBasedOn="0065"/>
    <wne:acd wne:argValue="AgBNAGkAcwB5AHMAIABMAGkAcwB0ADMA" wne:acdName="acd55" wne:fciIndexBasedOn="0065"/>
    <wne:acd wne:argValue="AgBNAGkAcwB5AHMAIABUAGEAYgBsAGUATABpAHMAdAAxAA==" wne:acdName="acd56"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4D423" w14:textId="77777777" w:rsidR="00F40D88" w:rsidRDefault="00F40D88" w:rsidP="00BD57E7">
      <w:pPr>
        <w:spacing w:after="0"/>
      </w:pPr>
      <w:r>
        <w:separator/>
      </w:r>
    </w:p>
    <w:p w14:paraId="2B6B02EF" w14:textId="77777777" w:rsidR="00F40D88" w:rsidRDefault="00F40D88"/>
  </w:endnote>
  <w:endnote w:type="continuationSeparator" w:id="0">
    <w:p w14:paraId="4655968C" w14:textId="77777777" w:rsidR="00F40D88" w:rsidRDefault="00F40D88" w:rsidP="00BD57E7">
      <w:pPr>
        <w:spacing w:after="0"/>
      </w:pPr>
      <w:r>
        <w:continuationSeparator/>
      </w:r>
    </w:p>
    <w:p w14:paraId="5C7D64C1" w14:textId="77777777" w:rsidR="00F40D88" w:rsidRDefault="00F40D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venir LT Std 65 Medium">
    <w:altName w:val="Trebuchet MS"/>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88D0F" w14:textId="77777777" w:rsidR="00E47904" w:rsidRPr="0064720B" w:rsidRDefault="00E47904" w:rsidP="006472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C1DAB" w14:textId="77777777" w:rsidR="00F40D88" w:rsidRDefault="00F40D88" w:rsidP="00BD57E7">
      <w:pPr>
        <w:spacing w:after="0"/>
      </w:pPr>
      <w:r>
        <w:separator/>
      </w:r>
    </w:p>
    <w:p w14:paraId="6A3B15C4" w14:textId="77777777" w:rsidR="00F40D88" w:rsidRDefault="00F40D88"/>
  </w:footnote>
  <w:footnote w:type="continuationSeparator" w:id="0">
    <w:p w14:paraId="71ED5093" w14:textId="77777777" w:rsidR="00F40D88" w:rsidRDefault="00F40D88" w:rsidP="00BD57E7">
      <w:pPr>
        <w:spacing w:after="0"/>
      </w:pPr>
      <w:r>
        <w:continuationSeparator/>
      </w:r>
    </w:p>
    <w:p w14:paraId="38391D4D" w14:textId="77777777" w:rsidR="00F40D88" w:rsidRDefault="00F40D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63C11" w14:textId="77777777" w:rsidR="00E47904" w:rsidRPr="0064720B" w:rsidRDefault="00E47904" w:rsidP="006472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D56BEE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A92525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CCC602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7E442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6A7C8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62CE7D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AF4A90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4C4EDA0"/>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C28FB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F54786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D05242"/>
    <w:multiLevelType w:val="hybridMultilevel"/>
    <w:tmpl w:val="C3A4EB40"/>
    <w:lvl w:ilvl="0" w:tplc="B8869C50">
      <w:start w:val="1"/>
      <w:numFmt w:val="bullet"/>
      <w:pStyle w:val="TableBullet2"/>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E1D2936"/>
    <w:multiLevelType w:val="hybridMultilevel"/>
    <w:tmpl w:val="63F4EF4C"/>
    <w:lvl w:ilvl="0" w:tplc="AD529FDA">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2E64471"/>
    <w:multiLevelType w:val="hybridMultilevel"/>
    <w:tmpl w:val="D1565C74"/>
    <w:lvl w:ilvl="0" w:tplc="0CE0384C">
      <w:start w:val="1"/>
      <w:numFmt w:val="bullet"/>
      <w:pStyle w:val="BulletLevel3"/>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5297A19"/>
    <w:multiLevelType w:val="multilevel"/>
    <w:tmpl w:val="1212A4C2"/>
    <w:lvl w:ilvl="0">
      <w:start w:val="1"/>
      <w:numFmt w:val="none"/>
      <w:pStyle w:val="Note1"/>
      <w:lvlText w:val="%1Note:"/>
      <w:lvlJc w:val="left"/>
      <w:pPr>
        <w:ind w:left="720" w:hanging="720"/>
      </w:pPr>
      <w:rPr>
        <w:rFonts w:ascii="Arial" w:hAnsi="Arial" w:hint="default"/>
        <w:b/>
        <w:i w:val="0"/>
        <w:color w:val="CB42AB"/>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94E785E"/>
    <w:multiLevelType w:val="multilevel"/>
    <w:tmpl w:val="96E2D5AE"/>
    <w:lvl w:ilvl="0">
      <w:start w:val="1"/>
      <w:numFmt w:val="none"/>
      <w:lvlText w:val="%1Note:"/>
      <w:lvlJc w:val="left"/>
      <w:pPr>
        <w:ind w:left="432" w:hanging="432"/>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AC535BA"/>
    <w:multiLevelType w:val="multilevel"/>
    <w:tmpl w:val="544A0856"/>
    <w:lvl w:ilvl="0">
      <w:start w:val="1"/>
      <w:numFmt w:val="none"/>
      <w:lvlText w:val="%1Note:"/>
      <w:lvlJc w:val="left"/>
      <w:pPr>
        <w:ind w:left="720" w:hanging="72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AD35973"/>
    <w:multiLevelType w:val="hybridMultilevel"/>
    <w:tmpl w:val="AE5C86AE"/>
    <w:lvl w:ilvl="0" w:tplc="356842B6">
      <w:start w:val="1"/>
      <w:numFmt w:val="lowerLetter"/>
      <w:pStyle w:val="TableNumBullet2"/>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26F4626"/>
    <w:multiLevelType w:val="hybridMultilevel"/>
    <w:tmpl w:val="A6D23AEC"/>
    <w:lvl w:ilvl="0" w:tplc="003A23A2">
      <w:start w:val="1"/>
      <w:numFmt w:val="bullet"/>
      <w:pStyle w:val="BulletLevel2"/>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239F5490"/>
    <w:multiLevelType w:val="hybridMultilevel"/>
    <w:tmpl w:val="EF702D8C"/>
    <w:lvl w:ilvl="0" w:tplc="D46E28F4">
      <w:start w:val="1"/>
      <w:numFmt w:val="bullet"/>
      <w:lvlText w:val=""/>
      <w:lvlJc w:val="left"/>
      <w:pPr>
        <w:ind w:left="720" w:hanging="360"/>
      </w:pPr>
      <w:rPr>
        <w:rFonts w:ascii="Wingdings" w:hAnsi="Wingdings" w:hint="default"/>
        <w:sz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52F4789"/>
    <w:multiLevelType w:val="hybridMultilevel"/>
    <w:tmpl w:val="EA5455F6"/>
    <w:lvl w:ilvl="0" w:tplc="4CF2745E">
      <w:start w:val="1"/>
      <w:numFmt w:val="decimal"/>
      <w:pStyle w:val="TableNumBullet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7906FDC"/>
    <w:multiLevelType w:val="hybridMultilevel"/>
    <w:tmpl w:val="53F69D54"/>
    <w:lvl w:ilvl="0" w:tplc="1A6023A2">
      <w:start w:val="1"/>
      <w:numFmt w:val="bullet"/>
      <w:pStyle w:val="TableBullet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D12777"/>
    <w:multiLevelType w:val="hybridMultilevel"/>
    <w:tmpl w:val="FF76E484"/>
    <w:lvl w:ilvl="0" w:tplc="2ECEDF46">
      <w:start w:val="1"/>
      <w:numFmt w:val="decimal"/>
      <w:lvlText w:val="CHAPTER %1 "/>
      <w:lvlJc w:val="left"/>
      <w:pPr>
        <w:ind w:left="360" w:hanging="360"/>
      </w:pPr>
      <w:rPr>
        <w:rFonts w:ascii="Arial" w:hAnsi="Arial" w:hint="default"/>
        <w:b w:val="0"/>
        <w:i w:val="0"/>
        <w:caps/>
        <w:color w:val="00338D"/>
        <w:spacing w:val="32"/>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19247C"/>
    <w:multiLevelType w:val="hybridMultilevel"/>
    <w:tmpl w:val="D1043524"/>
    <w:lvl w:ilvl="0" w:tplc="648488D4">
      <w:start w:val="1"/>
      <w:numFmt w:val="lowerLetter"/>
      <w:pStyle w:val="NumBulletLevel2"/>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4EC0648E"/>
    <w:multiLevelType w:val="hybridMultilevel"/>
    <w:tmpl w:val="B9F4397A"/>
    <w:lvl w:ilvl="0" w:tplc="8A124A4C">
      <w:start w:val="1"/>
      <w:numFmt w:val="decimal"/>
      <w:pStyle w:val="FigureCaption"/>
      <w:lvlText w:val="Figur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4EA5CC1"/>
    <w:multiLevelType w:val="hybridMultilevel"/>
    <w:tmpl w:val="3D928466"/>
    <w:lvl w:ilvl="0" w:tplc="AB148ABC">
      <w:start w:val="1"/>
      <w:numFmt w:val="decimal"/>
      <w:lvlText w:val="Chapter %1 – "/>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15:restartNumberingAfterBreak="0">
    <w:nsid w:val="56054426"/>
    <w:multiLevelType w:val="hybridMultilevel"/>
    <w:tmpl w:val="BDE23A4C"/>
    <w:lvl w:ilvl="0" w:tplc="D4B4AAAE">
      <w:start w:val="1"/>
      <w:numFmt w:val="decimal"/>
      <w:pStyle w:val="NumBulletLevel1"/>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7436C4E"/>
    <w:multiLevelType w:val="multilevel"/>
    <w:tmpl w:val="E466DF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0962853"/>
    <w:multiLevelType w:val="multilevel"/>
    <w:tmpl w:val="6896A912"/>
    <w:lvl w:ilvl="0">
      <w:start w:val="1"/>
      <w:numFmt w:val="none"/>
      <w:lvlText w:val="%1Warning!"/>
      <w:lvlJc w:val="left"/>
      <w:pPr>
        <w:ind w:left="1080" w:hanging="1080"/>
      </w:pPr>
      <w:rPr>
        <w:rFonts w:ascii="Arial" w:hAnsi="Arial" w:hint="default"/>
        <w:b/>
        <w:i w:val="0"/>
        <w:color w:val="414141"/>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68E4379D"/>
    <w:multiLevelType w:val="multilevel"/>
    <w:tmpl w:val="19704A2A"/>
    <w:lvl w:ilvl="0">
      <w:start w:val="1"/>
      <w:numFmt w:val="decimal"/>
      <w:lvlText w:val="CHAPTER %1 "/>
      <w:lvlJc w:val="left"/>
      <w:pPr>
        <w:tabs>
          <w:tab w:val="num" w:pos="576"/>
        </w:tabs>
        <w:ind w:left="576" w:hanging="576"/>
      </w:pPr>
      <w:rPr>
        <w:rFonts w:ascii="Arial" w:hAnsi="Arial" w:hint="default"/>
        <w:b w:val="0"/>
        <w:i w:val="0"/>
        <w:color w:val="00338D"/>
        <w:spacing w:val="32"/>
        <w:sz w:val="3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A5477BD"/>
    <w:multiLevelType w:val="hybridMultilevel"/>
    <w:tmpl w:val="C26C5C0A"/>
    <w:lvl w:ilvl="0" w:tplc="F42AB832">
      <w:start w:val="1"/>
      <w:numFmt w:val="lowerRoman"/>
      <w:pStyle w:val="NumBulletLevel3"/>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B30555F"/>
    <w:multiLevelType w:val="hybridMultilevel"/>
    <w:tmpl w:val="EEB6554C"/>
    <w:lvl w:ilvl="0" w:tplc="48CC1AC2">
      <w:start w:val="1"/>
      <w:numFmt w:val="lowerRoman"/>
      <w:pStyle w:val="TableNumBullet3"/>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C8153C2"/>
    <w:multiLevelType w:val="hybridMultilevel"/>
    <w:tmpl w:val="1BD40D8C"/>
    <w:lvl w:ilvl="0" w:tplc="CDA6D81A">
      <w:start w:val="1"/>
      <w:numFmt w:val="decimal"/>
      <w:pStyle w:val="TableCaption"/>
      <w:lvlText w:val="Table %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D3A0A91"/>
    <w:multiLevelType w:val="multilevel"/>
    <w:tmpl w:val="0EE251B6"/>
    <w:lvl w:ilvl="0">
      <w:start w:val="1"/>
      <w:numFmt w:val="none"/>
      <w:lvlText w:val="%1Note:"/>
      <w:lvlJc w:val="left"/>
      <w:pPr>
        <w:ind w:left="720" w:hanging="720"/>
      </w:pPr>
      <w:rPr>
        <w:rFonts w:ascii="Arial" w:hAnsi="Arial" w:hint="default"/>
        <w:b/>
        <w:i w:val="0"/>
        <w:color w:val="943634" w:themeColor="accent2" w:themeShade="BF"/>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0717BCD"/>
    <w:multiLevelType w:val="hybridMultilevel"/>
    <w:tmpl w:val="77DA4D70"/>
    <w:lvl w:ilvl="0" w:tplc="02C6D39E">
      <w:start w:val="1"/>
      <w:numFmt w:val="bullet"/>
      <w:pStyle w:val="TableBullet3"/>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53F3454"/>
    <w:multiLevelType w:val="multilevel"/>
    <w:tmpl w:val="0EB4791E"/>
    <w:lvl w:ilvl="0">
      <w:start w:val="1"/>
      <w:numFmt w:val="none"/>
      <w:pStyle w:val="TableNote"/>
      <w:lvlText w:val="%1Note:"/>
      <w:lvlJc w:val="left"/>
      <w:pPr>
        <w:tabs>
          <w:tab w:val="num" w:pos="576"/>
        </w:tabs>
        <w:ind w:left="576" w:hanging="576"/>
      </w:pPr>
      <w:rPr>
        <w:rFonts w:ascii="Arial" w:hAnsi="Arial" w:hint="default"/>
        <w:b/>
        <w:i w:val="0"/>
        <w:color w:val="CB42AB"/>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CC15411"/>
    <w:multiLevelType w:val="hybridMultilevel"/>
    <w:tmpl w:val="D3ECAB8A"/>
    <w:lvl w:ilvl="0" w:tplc="649AE800">
      <w:start w:val="1"/>
      <w:numFmt w:val="bullet"/>
      <w:pStyle w:val="BulletLevel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7254384">
    <w:abstractNumId w:val="35"/>
  </w:num>
  <w:num w:numId="2" w16cid:durableId="1045442814">
    <w:abstractNumId w:val="17"/>
  </w:num>
  <w:num w:numId="3" w16cid:durableId="1290746911">
    <w:abstractNumId w:val="12"/>
  </w:num>
  <w:num w:numId="4" w16cid:durableId="776562315">
    <w:abstractNumId w:val="25"/>
  </w:num>
  <w:num w:numId="5" w16cid:durableId="170875194">
    <w:abstractNumId w:val="22"/>
  </w:num>
  <w:num w:numId="6" w16cid:durableId="1471480341">
    <w:abstractNumId w:val="29"/>
  </w:num>
  <w:num w:numId="7" w16cid:durableId="1898780055">
    <w:abstractNumId w:val="20"/>
  </w:num>
  <w:num w:numId="8" w16cid:durableId="99644018">
    <w:abstractNumId w:val="10"/>
  </w:num>
  <w:num w:numId="9" w16cid:durableId="1583441559">
    <w:abstractNumId w:val="19"/>
  </w:num>
  <w:num w:numId="10" w16cid:durableId="1059669193">
    <w:abstractNumId w:val="16"/>
  </w:num>
  <w:num w:numId="11" w16cid:durableId="1570073946">
    <w:abstractNumId w:val="31"/>
  </w:num>
  <w:num w:numId="12" w16cid:durableId="854733935">
    <w:abstractNumId w:val="23"/>
  </w:num>
  <w:num w:numId="13" w16cid:durableId="700937709">
    <w:abstractNumId w:val="34"/>
  </w:num>
  <w:num w:numId="14" w16cid:durableId="2023119261">
    <w:abstractNumId w:val="33"/>
  </w:num>
  <w:num w:numId="15" w16cid:durableId="20472540">
    <w:abstractNumId w:val="30"/>
  </w:num>
  <w:num w:numId="16" w16cid:durableId="451485972">
    <w:abstractNumId w:val="24"/>
  </w:num>
  <w:num w:numId="17" w16cid:durableId="1165434301">
    <w:abstractNumId w:val="2"/>
  </w:num>
  <w:num w:numId="18" w16cid:durableId="1645161751">
    <w:abstractNumId w:val="9"/>
  </w:num>
  <w:num w:numId="19" w16cid:durableId="1089547057">
    <w:abstractNumId w:val="7"/>
  </w:num>
  <w:num w:numId="20" w16cid:durableId="1946771442">
    <w:abstractNumId w:val="6"/>
  </w:num>
  <w:num w:numId="21" w16cid:durableId="407263697">
    <w:abstractNumId w:val="5"/>
  </w:num>
  <w:num w:numId="22" w16cid:durableId="1557009952">
    <w:abstractNumId w:val="4"/>
  </w:num>
  <w:num w:numId="23" w16cid:durableId="1519078793">
    <w:abstractNumId w:val="8"/>
  </w:num>
  <w:num w:numId="24" w16cid:durableId="1263801944">
    <w:abstractNumId w:val="3"/>
  </w:num>
  <w:num w:numId="25" w16cid:durableId="1690790086">
    <w:abstractNumId w:val="1"/>
  </w:num>
  <w:num w:numId="26" w16cid:durableId="489372782">
    <w:abstractNumId w:val="0"/>
  </w:num>
  <w:num w:numId="27" w16cid:durableId="297493851">
    <w:abstractNumId w:val="13"/>
    <w:lvlOverride w:ilvl="0">
      <w:lvl w:ilvl="0">
        <w:start w:val="1"/>
        <w:numFmt w:val="none"/>
        <w:pStyle w:val="Note1"/>
        <w:lvlText w:val="%1Note:"/>
        <w:lvlJc w:val="left"/>
        <w:pPr>
          <w:ind w:left="720" w:hanging="720"/>
        </w:pPr>
        <w:rPr>
          <w:rFonts w:ascii="Arial" w:hAnsi="Arial" w:hint="default"/>
          <w:b/>
          <w:i w:val="0"/>
          <w:color w:val="C137A2"/>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16cid:durableId="1488521602">
    <w:abstractNumId w:val="11"/>
  </w:num>
  <w:num w:numId="29" w16cid:durableId="1413313389">
    <w:abstractNumId w:val="26"/>
  </w:num>
  <w:num w:numId="30" w16cid:durableId="482160277">
    <w:abstractNumId w:val="18"/>
  </w:num>
  <w:num w:numId="31" w16cid:durableId="119347910">
    <w:abstractNumId w:val="13"/>
  </w:num>
  <w:num w:numId="32" w16cid:durableId="1386564103">
    <w:abstractNumId w:val="32"/>
  </w:num>
  <w:num w:numId="33" w16cid:durableId="888033089">
    <w:abstractNumId w:val="14"/>
  </w:num>
  <w:num w:numId="34" w16cid:durableId="842554131">
    <w:abstractNumId w:val="28"/>
  </w:num>
  <w:num w:numId="35" w16cid:durableId="975766748">
    <w:abstractNumId w:val="21"/>
  </w:num>
  <w:num w:numId="36" w16cid:durableId="1474909558">
    <w:abstractNumId w:val="13"/>
    <w:lvlOverride w:ilvl="0">
      <w:lvl w:ilvl="0">
        <w:start w:val="1"/>
        <w:numFmt w:val="none"/>
        <w:pStyle w:val="Note1"/>
        <w:lvlText w:val="%1Warning!"/>
        <w:lvlJc w:val="left"/>
        <w:pPr>
          <w:ind w:left="720" w:hanging="720"/>
        </w:pPr>
        <w:rPr>
          <w:rFonts w:ascii="Arial" w:hAnsi="Arial" w:hint="default"/>
          <w:b/>
          <w:i w:val="0"/>
          <w:color w:val="414141"/>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7" w16cid:durableId="403722320">
    <w:abstractNumId w:val="27"/>
  </w:num>
  <w:num w:numId="38" w16cid:durableId="1659186897">
    <w:abstractNumId w:val="15"/>
  </w:num>
  <w:num w:numId="39" w16cid:durableId="1604848631">
    <w:abstractNumId w:val="15"/>
    <w:lvlOverride w:ilvl="0">
      <w:lvl w:ilvl="0">
        <w:start w:val="1"/>
        <w:numFmt w:val="none"/>
        <w:lvlText w:val="%1Warning!"/>
        <w:lvlJc w:val="left"/>
        <w:pPr>
          <w:ind w:left="1080" w:hanging="1080"/>
        </w:pPr>
        <w:rPr>
          <w:rFonts w:ascii="Arial" w:hAnsi="Arial" w:hint="default"/>
          <w:b/>
          <w:i w:val="0"/>
          <w:color w:val="CB42AB"/>
          <w:sz w:val="20"/>
        </w:rPr>
      </w:lvl>
    </w:lvlOverride>
    <w:lvlOverride w:ilvl="1">
      <w:lvl w:ilvl="1">
        <w:start w:val="1"/>
        <w:numFmt w:val="lowerLetter"/>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26E"/>
    <w:rsid w:val="0000112D"/>
    <w:rsid w:val="0000149C"/>
    <w:rsid w:val="00001F46"/>
    <w:rsid w:val="00004D7A"/>
    <w:rsid w:val="000067FF"/>
    <w:rsid w:val="0001312D"/>
    <w:rsid w:val="00013513"/>
    <w:rsid w:val="000144B2"/>
    <w:rsid w:val="00016D2B"/>
    <w:rsid w:val="000209FE"/>
    <w:rsid w:val="00030126"/>
    <w:rsid w:val="00031AA8"/>
    <w:rsid w:val="000364DB"/>
    <w:rsid w:val="000373F5"/>
    <w:rsid w:val="000421EE"/>
    <w:rsid w:val="00047B33"/>
    <w:rsid w:val="00050EE6"/>
    <w:rsid w:val="00062544"/>
    <w:rsid w:val="000668CC"/>
    <w:rsid w:val="00067016"/>
    <w:rsid w:val="0006769A"/>
    <w:rsid w:val="00071865"/>
    <w:rsid w:val="000718D4"/>
    <w:rsid w:val="00071B1E"/>
    <w:rsid w:val="00073E18"/>
    <w:rsid w:val="0009120E"/>
    <w:rsid w:val="000925CF"/>
    <w:rsid w:val="00095926"/>
    <w:rsid w:val="0009626E"/>
    <w:rsid w:val="000A1E70"/>
    <w:rsid w:val="000B036A"/>
    <w:rsid w:val="000B2776"/>
    <w:rsid w:val="000B6F90"/>
    <w:rsid w:val="000B7588"/>
    <w:rsid w:val="000C0083"/>
    <w:rsid w:val="000C0E66"/>
    <w:rsid w:val="000C2892"/>
    <w:rsid w:val="000C3D26"/>
    <w:rsid w:val="000C6283"/>
    <w:rsid w:val="000C68D0"/>
    <w:rsid w:val="000C7D51"/>
    <w:rsid w:val="000D456E"/>
    <w:rsid w:val="000D6FAD"/>
    <w:rsid w:val="000E1D34"/>
    <w:rsid w:val="000E6975"/>
    <w:rsid w:val="000E74EF"/>
    <w:rsid w:val="000E7C4A"/>
    <w:rsid w:val="000F1443"/>
    <w:rsid w:val="000F1551"/>
    <w:rsid w:val="000F1B09"/>
    <w:rsid w:val="000F5308"/>
    <w:rsid w:val="000F6F65"/>
    <w:rsid w:val="001022D6"/>
    <w:rsid w:val="001075DF"/>
    <w:rsid w:val="0011309D"/>
    <w:rsid w:val="00113170"/>
    <w:rsid w:val="00116F58"/>
    <w:rsid w:val="00120A35"/>
    <w:rsid w:val="001216FC"/>
    <w:rsid w:val="00121C58"/>
    <w:rsid w:val="00121FAF"/>
    <w:rsid w:val="00127AED"/>
    <w:rsid w:val="00130038"/>
    <w:rsid w:val="00130EA3"/>
    <w:rsid w:val="00131B31"/>
    <w:rsid w:val="00136479"/>
    <w:rsid w:val="001422C5"/>
    <w:rsid w:val="00144575"/>
    <w:rsid w:val="001463BB"/>
    <w:rsid w:val="00151131"/>
    <w:rsid w:val="001511F7"/>
    <w:rsid w:val="00151D32"/>
    <w:rsid w:val="00155E44"/>
    <w:rsid w:val="001619BC"/>
    <w:rsid w:val="0016576E"/>
    <w:rsid w:val="00166F4D"/>
    <w:rsid w:val="00170322"/>
    <w:rsid w:val="00177178"/>
    <w:rsid w:val="00181B2A"/>
    <w:rsid w:val="00182300"/>
    <w:rsid w:val="00182A2A"/>
    <w:rsid w:val="001852B7"/>
    <w:rsid w:val="00185BA2"/>
    <w:rsid w:val="00190321"/>
    <w:rsid w:val="00192187"/>
    <w:rsid w:val="00193593"/>
    <w:rsid w:val="00194FA0"/>
    <w:rsid w:val="00195EF4"/>
    <w:rsid w:val="00195F3D"/>
    <w:rsid w:val="0019712E"/>
    <w:rsid w:val="001A58B1"/>
    <w:rsid w:val="001A67DA"/>
    <w:rsid w:val="001B0B80"/>
    <w:rsid w:val="001B3A90"/>
    <w:rsid w:val="001B632A"/>
    <w:rsid w:val="001B6884"/>
    <w:rsid w:val="001C072F"/>
    <w:rsid w:val="001C1AA8"/>
    <w:rsid w:val="001C1D1D"/>
    <w:rsid w:val="001C2F58"/>
    <w:rsid w:val="001C47FF"/>
    <w:rsid w:val="001C5045"/>
    <w:rsid w:val="001C6A59"/>
    <w:rsid w:val="001C7A08"/>
    <w:rsid w:val="001C7C78"/>
    <w:rsid w:val="001D0949"/>
    <w:rsid w:val="001D112C"/>
    <w:rsid w:val="001D5665"/>
    <w:rsid w:val="001D57B6"/>
    <w:rsid w:val="001D7EA5"/>
    <w:rsid w:val="001E17C1"/>
    <w:rsid w:val="001E1957"/>
    <w:rsid w:val="001E1C49"/>
    <w:rsid w:val="001E1E52"/>
    <w:rsid w:val="001E4C89"/>
    <w:rsid w:val="001E4CCA"/>
    <w:rsid w:val="001E52F3"/>
    <w:rsid w:val="001E792F"/>
    <w:rsid w:val="001E795E"/>
    <w:rsid w:val="001F0052"/>
    <w:rsid w:val="001F363F"/>
    <w:rsid w:val="001F3B55"/>
    <w:rsid w:val="001F3B8E"/>
    <w:rsid w:val="001F4509"/>
    <w:rsid w:val="001F5B2B"/>
    <w:rsid w:val="00201C32"/>
    <w:rsid w:val="00202E2B"/>
    <w:rsid w:val="00207CAC"/>
    <w:rsid w:val="0021220A"/>
    <w:rsid w:val="00213B0F"/>
    <w:rsid w:val="002245AA"/>
    <w:rsid w:val="00236EDF"/>
    <w:rsid w:val="0024400C"/>
    <w:rsid w:val="002445EA"/>
    <w:rsid w:val="002503F4"/>
    <w:rsid w:val="0025180D"/>
    <w:rsid w:val="00254B19"/>
    <w:rsid w:val="002569FE"/>
    <w:rsid w:val="00256F78"/>
    <w:rsid w:val="00260FA1"/>
    <w:rsid w:val="00263B7D"/>
    <w:rsid w:val="00267EDC"/>
    <w:rsid w:val="00273FEC"/>
    <w:rsid w:val="0027610A"/>
    <w:rsid w:val="00276CED"/>
    <w:rsid w:val="00280637"/>
    <w:rsid w:val="00281E62"/>
    <w:rsid w:val="00286307"/>
    <w:rsid w:val="00293421"/>
    <w:rsid w:val="00293792"/>
    <w:rsid w:val="00293E90"/>
    <w:rsid w:val="0029639D"/>
    <w:rsid w:val="002A7A3B"/>
    <w:rsid w:val="002B4ABB"/>
    <w:rsid w:val="002B6E6D"/>
    <w:rsid w:val="002B7289"/>
    <w:rsid w:val="002B7314"/>
    <w:rsid w:val="002C1471"/>
    <w:rsid w:val="002C1A21"/>
    <w:rsid w:val="002C6742"/>
    <w:rsid w:val="002C6B60"/>
    <w:rsid w:val="002C6BA0"/>
    <w:rsid w:val="002D2A74"/>
    <w:rsid w:val="002D3CD6"/>
    <w:rsid w:val="002E043D"/>
    <w:rsid w:val="002E5636"/>
    <w:rsid w:val="002F0AA7"/>
    <w:rsid w:val="002F3734"/>
    <w:rsid w:val="002F3A94"/>
    <w:rsid w:val="002F63CE"/>
    <w:rsid w:val="002F657C"/>
    <w:rsid w:val="00304FB5"/>
    <w:rsid w:val="0030582F"/>
    <w:rsid w:val="00306326"/>
    <w:rsid w:val="00314D82"/>
    <w:rsid w:val="003158E3"/>
    <w:rsid w:val="00321BA6"/>
    <w:rsid w:val="00333CFE"/>
    <w:rsid w:val="0033412C"/>
    <w:rsid w:val="0034357D"/>
    <w:rsid w:val="00345E11"/>
    <w:rsid w:val="00355407"/>
    <w:rsid w:val="00362DDD"/>
    <w:rsid w:val="00364674"/>
    <w:rsid w:val="003669A4"/>
    <w:rsid w:val="00367041"/>
    <w:rsid w:val="0037096B"/>
    <w:rsid w:val="00374878"/>
    <w:rsid w:val="00377504"/>
    <w:rsid w:val="00385E34"/>
    <w:rsid w:val="00390F0A"/>
    <w:rsid w:val="0039360F"/>
    <w:rsid w:val="003950C8"/>
    <w:rsid w:val="003A0271"/>
    <w:rsid w:val="003A450F"/>
    <w:rsid w:val="003A70C4"/>
    <w:rsid w:val="003B03F5"/>
    <w:rsid w:val="003B6F50"/>
    <w:rsid w:val="003C1864"/>
    <w:rsid w:val="003C1DC3"/>
    <w:rsid w:val="003C4F84"/>
    <w:rsid w:val="003C5987"/>
    <w:rsid w:val="003D581A"/>
    <w:rsid w:val="003D6B22"/>
    <w:rsid w:val="003E7663"/>
    <w:rsid w:val="003F120B"/>
    <w:rsid w:val="003F2BA1"/>
    <w:rsid w:val="003F3BC3"/>
    <w:rsid w:val="003F3F49"/>
    <w:rsid w:val="003F443C"/>
    <w:rsid w:val="0040216D"/>
    <w:rsid w:val="00405A2F"/>
    <w:rsid w:val="00407594"/>
    <w:rsid w:val="00411269"/>
    <w:rsid w:val="004116AC"/>
    <w:rsid w:val="004128C0"/>
    <w:rsid w:val="00415A19"/>
    <w:rsid w:val="0041705D"/>
    <w:rsid w:val="00417B9D"/>
    <w:rsid w:val="00422E30"/>
    <w:rsid w:val="00427B24"/>
    <w:rsid w:val="004315D0"/>
    <w:rsid w:val="00431CE1"/>
    <w:rsid w:val="00436194"/>
    <w:rsid w:val="00436DAC"/>
    <w:rsid w:val="00446459"/>
    <w:rsid w:val="00457875"/>
    <w:rsid w:val="004646AB"/>
    <w:rsid w:val="00464AE7"/>
    <w:rsid w:val="00464BC8"/>
    <w:rsid w:val="004651C1"/>
    <w:rsid w:val="00467282"/>
    <w:rsid w:val="00474525"/>
    <w:rsid w:val="004767DE"/>
    <w:rsid w:val="00480FCE"/>
    <w:rsid w:val="00484988"/>
    <w:rsid w:val="004860C6"/>
    <w:rsid w:val="00486902"/>
    <w:rsid w:val="00490729"/>
    <w:rsid w:val="00490853"/>
    <w:rsid w:val="00491FF6"/>
    <w:rsid w:val="00492144"/>
    <w:rsid w:val="0049260C"/>
    <w:rsid w:val="00494C13"/>
    <w:rsid w:val="0049568F"/>
    <w:rsid w:val="004A05D1"/>
    <w:rsid w:val="004A0789"/>
    <w:rsid w:val="004A22E5"/>
    <w:rsid w:val="004A2AF7"/>
    <w:rsid w:val="004B6AE6"/>
    <w:rsid w:val="004B72DD"/>
    <w:rsid w:val="004C1A7E"/>
    <w:rsid w:val="004C45D2"/>
    <w:rsid w:val="004C521E"/>
    <w:rsid w:val="004D74F9"/>
    <w:rsid w:val="004E55AF"/>
    <w:rsid w:val="004F6875"/>
    <w:rsid w:val="005020EC"/>
    <w:rsid w:val="0050321E"/>
    <w:rsid w:val="00506C3E"/>
    <w:rsid w:val="0051690A"/>
    <w:rsid w:val="00517F12"/>
    <w:rsid w:val="00527751"/>
    <w:rsid w:val="00532E0A"/>
    <w:rsid w:val="00533E47"/>
    <w:rsid w:val="00533F0B"/>
    <w:rsid w:val="00540A04"/>
    <w:rsid w:val="00543E8D"/>
    <w:rsid w:val="0054482B"/>
    <w:rsid w:val="00545E25"/>
    <w:rsid w:val="005507B3"/>
    <w:rsid w:val="005551C7"/>
    <w:rsid w:val="00557526"/>
    <w:rsid w:val="00564127"/>
    <w:rsid w:val="00564B2E"/>
    <w:rsid w:val="00570D51"/>
    <w:rsid w:val="00573986"/>
    <w:rsid w:val="0058258B"/>
    <w:rsid w:val="00582BF5"/>
    <w:rsid w:val="00587488"/>
    <w:rsid w:val="00593E1E"/>
    <w:rsid w:val="00594EA2"/>
    <w:rsid w:val="005A1C4C"/>
    <w:rsid w:val="005A5586"/>
    <w:rsid w:val="005A60C8"/>
    <w:rsid w:val="005B0927"/>
    <w:rsid w:val="005B2420"/>
    <w:rsid w:val="005B6F99"/>
    <w:rsid w:val="005B7499"/>
    <w:rsid w:val="005C65DD"/>
    <w:rsid w:val="005D0293"/>
    <w:rsid w:val="005D1200"/>
    <w:rsid w:val="005D1AD5"/>
    <w:rsid w:val="005D6F89"/>
    <w:rsid w:val="005E2A05"/>
    <w:rsid w:val="005E5124"/>
    <w:rsid w:val="006014C7"/>
    <w:rsid w:val="00601B15"/>
    <w:rsid w:val="00601C59"/>
    <w:rsid w:val="006059A1"/>
    <w:rsid w:val="00610582"/>
    <w:rsid w:val="00612635"/>
    <w:rsid w:val="00616F6A"/>
    <w:rsid w:val="00617B8E"/>
    <w:rsid w:val="00617F1D"/>
    <w:rsid w:val="00620918"/>
    <w:rsid w:val="006243EA"/>
    <w:rsid w:val="00634B72"/>
    <w:rsid w:val="006370C5"/>
    <w:rsid w:val="0064720B"/>
    <w:rsid w:val="0064733F"/>
    <w:rsid w:val="00650E9B"/>
    <w:rsid w:val="00653B1C"/>
    <w:rsid w:val="006578EF"/>
    <w:rsid w:val="00665B78"/>
    <w:rsid w:val="0066629C"/>
    <w:rsid w:val="00670B2A"/>
    <w:rsid w:val="0067179F"/>
    <w:rsid w:val="00672A61"/>
    <w:rsid w:val="00673E0E"/>
    <w:rsid w:val="00674613"/>
    <w:rsid w:val="00675B01"/>
    <w:rsid w:val="00675E7B"/>
    <w:rsid w:val="00681AE1"/>
    <w:rsid w:val="00692741"/>
    <w:rsid w:val="0069395A"/>
    <w:rsid w:val="00696137"/>
    <w:rsid w:val="006A29DE"/>
    <w:rsid w:val="006A60DA"/>
    <w:rsid w:val="006A6726"/>
    <w:rsid w:val="006A6F12"/>
    <w:rsid w:val="006B0743"/>
    <w:rsid w:val="006B7892"/>
    <w:rsid w:val="006C0243"/>
    <w:rsid w:val="006C397F"/>
    <w:rsid w:val="006C46D3"/>
    <w:rsid w:val="006C5F58"/>
    <w:rsid w:val="006C7113"/>
    <w:rsid w:val="006C75BE"/>
    <w:rsid w:val="006D028F"/>
    <w:rsid w:val="006D2DCD"/>
    <w:rsid w:val="006D369A"/>
    <w:rsid w:val="006E565D"/>
    <w:rsid w:val="006E5958"/>
    <w:rsid w:val="006F454F"/>
    <w:rsid w:val="006F504E"/>
    <w:rsid w:val="006F64D0"/>
    <w:rsid w:val="006F6F12"/>
    <w:rsid w:val="00700D62"/>
    <w:rsid w:val="0070429B"/>
    <w:rsid w:val="007047FC"/>
    <w:rsid w:val="00712861"/>
    <w:rsid w:val="0072780E"/>
    <w:rsid w:val="0073214C"/>
    <w:rsid w:val="00732BA0"/>
    <w:rsid w:val="00732C34"/>
    <w:rsid w:val="0073620A"/>
    <w:rsid w:val="00743448"/>
    <w:rsid w:val="0074404A"/>
    <w:rsid w:val="00746300"/>
    <w:rsid w:val="007531D6"/>
    <w:rsid w:val="00753398"/>
    <w:rsid w:val="00753908"/>
    <w:rsid w:val="00756BF4"/>
    <w:rsid w:val="007575F6"/>
    <w:rsid w:val="00760813"/>
    <w:rsid w:val="0076291F"/>
    <w:rsid w:val="00764F36"/>
    <w:rsid w:val="00767FE4"/>
    <w:rsid w:val="00774081"/>
    <w:rsid w:val="00780B5B"/>
    <w:rsid w:val="00783FD8"/>
    <w:rsid w:val="00784239"/>
    <w:rsid w:val="007845F0"/>
    <w:rsid w:val="00786389"/>
    <w:rsid w:val="00791893"/>
    <w:rsid w:val="00794BC8"/>
    <w:rsid w:val="0079661F"/>
    <w:rsid w:val="007A09D8"/>
    <w:rsid w:val="007A41CE"/>
    <w:rsid w:val="007B0912"/>
    <w:rsid w:val="007B0FA4"/>
    <w:rsid w:val="007B3ADE"/>
    <w:rsid w:val="007B467C"/>
    <w:rsid w:val="007B6451"/>
    <w:rsid w:val="007B68B1"/>
    <w:rsid w:val="007B7DE3"/>
    <w:rsid w:val="007C2198"/>
    <w:rsid w:val="007C5784"/>
    <w:rsid w:val="007D22D7"/>
    <w:rsid w:val="007D36BF"/>
    <w:rsid w:val="007E095D"/>
    <w:rsid w:val="007E10D4"/>
    <w:rsid w:val="007E2FB8"/>
    <w:rsid w:val="007F1E09"/>
    <w:rsid w:val="007F5638"/>
    <w:rsid w:val="007F7F85"/>
    <w:rsid w:val="00800705"/>
    <w:rsid w:val="00802B00"/>
    <w:rsid w:val="00805034"/>
    <w:rsid w:val="0080568C"/>
    <w:rsid w:val="00806F64"/>
    <w:rsid w:val="00813EF4"/>
    <w:rsid w:val="008202FE"/>
    <w:rsid w:val="008241C8"/>
    <w:rsid w:val="00824971"/>
    <w:rsid w:val="00824F02"/>
    <w:rsid w:val="00825595"/>
    <w:rsid w:val="00825959"/>
    <w:rsid w:val="00826775"/>
    <w:rsid w:val="008267F9"/>
    <w:rsid w:val="00834C35"/>
    <w:rsid w:val="008362C7"/>
    <w:rsid w:val="00843EDF"/>
    <w:rsid w:val="008448B4"/>
    <w:rsid w:val="00857616"/>
    <w:rsid w:val="00862573"/>
    <w:rsid w:val="0086723A"/>
    <w:rsid w:val="00872C92"/>
    <w:rsid w:val="00873ADF"/>
    <w:rsid w:val="00874A36"/>
    <w:rsid w:val="008754E1"/>
    <w:rsid w:val="00875956"/>
    <w:rsid w:val="00880847"/>
    <w:rsid w:val="00880CD9"/>
    <w:rsid w:val="008812C4"/>
    <w:rsid w:val="00882163"/>
    <w:rsid w:val="008902C8"/>
    <w:rsid w:val="0089214B"/>
    <w:rsid w:val="00893271"/>
    <w:rsid w:val="00893348"/>
    <w:rsid w:val="00895563"/>
    <w:rsid w:val="0089674A"/>
    <w:rsid w:val="00897771"/>
    <w:rsid w:val="008A1CA0"/>
    <w:rsid w:val="008A2504"/>
    <w:rsid w:val="008A4B98"/>
    <w:rsid w:val="008B1B0F"/>
    <w:rsid w:val="008B1FC0"/>
    <w:rsid w:val="008B289A"/>
    <w:rsid w:val="008B5F5A"/>
    <w:rsid w:val="008C1FA0"/>
    <w:rsid w:val="008C5AB2"/>
    <w:rsid w:val="008C69DD"/>
    <w:rsid w:val="008D3608"/>
    <w:rsid w:val="008D7A74"/>
    <w:rsid w:val="008E4A08"/>
    <w:rsid w:val="008E6128"/>
    <w:rsid w:val="008F1757"/>
    <w:rsid w:val="008F1BAE"/>
    <w:rsid w:val="008F2DDA"/>
    <w:rsid w:val="008F70CE"/>
    <w:rsid w:val="008F7BC7"/>
    <w:rsid w:val="00900A65"/>
    <w:rsid w:val="00901C50"/>
    <w:rsid w:val="00905840"/>
    <w:rsid w:val="00907517"/>
    <w:rsid w:val="0091290E"/>
    <w:rsid w:val="00917899"/>
    <w:rsid w:val="009202AD"/>
    <w:rsid w:val="00921502"/>
    <w:rsid w:val="009235B3"/>
    <w:rsid w:val="00924401"/>
    <w:rsid w:val="00926B33"/>
    <w:rsid w:val="00932AB6"/>
    <w:rsid w:val="009334A6"/>
    <w:rsid w:val="00935A48"/>
    <w:rsid w:val="00945030"/>
    <w:rsid w:val="00950D1A"/>
    <w:rsid w:val="0095275D"/>
    <w:rsid w:val="00952B4D"/>
    <w:rsid w:val="009557FE"/>
    <w:rsid w:val="00961207"/>
    <w:rsid w:val="00961882"/>
    <w:rsid w:val="0096369A"/>
    <w:rsid w:val="009646CF"/>
    <w:rsid w:val="00965405"/>
    <w:rsid w:val="00971BB0"/>
    <w:rsid w:val="00974072"/>
    <w:rsid w:val="00983EFF"/>
    <w:rsid w:val="009873B9"/>
    <w:rsid w:val="009912F6"/>
    <w:rsid w:val="00991DAF"/>
    <w:rsid w:val="009B2B57"/>
    <w:rsid w:val="009B3333"/>
    <w:rsid w:val="009B5B08"/>
    <w:rsid w:val="009B7315"/>
    <w:rsid w:val="009C0617"/>
    <w:rsid w:val="009C09DB"/>
    <w:rsid w:val="009C171D"/>
    <w:rsid w:val="009C27A3"/>
    <w:rsid w:val="009C6172"/>
    <w:rsid w:val="009D0480"/>
    <w:rsid w:val="009D0CE8"/>
    <w:rsid w:val="009D5845"/>
    <w:rsid w:val="009D60DC"/>
    <w:rsid w:val="009D6911"/>
    <w:rsid w:val="009F0045"/>
    <w:rsid w:val="009F059E"/>
    <w:rsid w:val="009F082E"/>
    <w:rsid w:val="009F1024"/>
    <w:rsid w:val="009F1AFA"/>
    <w:rsid w:val="009F2296"/>
    <w:rsid w:val="009F2495"/>
    <w:rsid w:val="00A043AA"/>
    <w:rsid w:val="00A10EEE"/>
    <w:rsid w:val="00A11DFB"/>
    <w:rsid w:val="00A15F5B"/>
    <w:rsid w:val="00A23E18"/>
    <w:rsid w:val="00A2438B"/>
    <w:rsid w:val="00A40A1D"/>
    <w:rsid w:val="00A413D9"/>
    <w:rsid w:val="00A45C41"/>
    <w:rsid w:val="00A53C45"/>
    <w:rsid w:val="00A573A0"/>
    <w:rsid w:val="00A63E35"/>
    <w:rsid w:val="00A677AB"/>
    <w:rsid w:val="00A71A8C"/>
    <w:rsid w:val="00A72192"/>
    <w:rsid w:val="00A72BFF"/>
    <w:rsid w:val="00A814EE"/>
    <w:rsid w:val="00A8532A"/>
    <w:rsid w:val="00A85B9C"/>
    <w:rsid w:val="00A87246"/>
    <w:rsid w:val="00A91160"/>
    <w:rsid w:val="00A9182A"/>
    <w:rsid w:val="00A935F0"/>
    <w:rsid w:val="00A95A66"/>
    <w:rsid w:val="00A97AF3"/>
    <w:rsid w:val="00AA0F6E"/>
    <w:rsid w:val="00AA2C63"/>
    <w:rsid w:val="00AA46A9"/>
    <w:rsid w:val="00AA488C"/>
    <w:rsid w:val="00AA58F0"/>
    <w:rsid w:val="00AA5C2E"/>
    <w:rsid w:val="00AB05EB"/>
    <w:rsid w:val="00AB13E2"/>
    <w:rsid w:val="00AB72A7"/>
    <w:rsid w:val="00AC4D20"/>
    <w:rsid w:val="00AC64B8"/>
    <w:rsid w:val="00AC732D"/>
    <w:rsid w:val="00AD3D9E"/>
    <w:rsid w:val="00AE1636"/>
    <w:rsid w:val="00AE1881"/>
    <w:rsid w:val="00AE4203"/>
    <w:rsid w:val="00AE43ED"/>
    <w:rsid w:val="00AF2D22"/>
    <w:rsid w:val="00AF4D58"/>
    <w:rsid w:val="00B00417"/>
    <w:rsid w:val="00B13AFE"/>
    <w:rsid w:val="00B14657"/>
    <w:rsid w:val="00B173FC"/>
    <w:rsid w:val="00B20425"/>
    <w:rsid w:val="00B25A26"/>
    <w:rsid w:val="00B27287"/>
    <w:rsid w:val="00B30C84"/>
    <w:rsid w:val="00B35935"/>
    <w:rsid w:val="00B3649E"/>
    <w:rsid w:val="00B409EE"/>
    <w:rsid w:val="00B4177E"/>
    <w:rsid w:val="00B4320B"/>
    <w:rsid w:val="00B461A1"/>
    <w:rsid w:val="00B46CD5"/>
    <w:rsid w:val="00B5146E"/>
    <w:rsid w:val="00B5433C"/>
    <w:rsid w:val="00B55087"/>
    <w:rsid w:val="00B55677"/>
    <w:rsid w:val="00B55DA9"/>
    <w:rsid w:val="00B56D22"/>
    <w:rsid w:val="00B6255C"/>
    <w:rsid w:val="00B67C3D"/>
    <w:rsid w:val="00B7251F"/>
    <w:rsid w:val="00B74599"/>
    <w:rsid w:val="00B76BE4"/>
    <w:rsid w:val="00B83088"/>
    <w:rsid w:val="00B83DCC"/>
    <w:rsid w:val="00B85B65"/>
    <w:rsid w:val="00B86660"/>
    <w:rsid w:val="00B86A8E"/>
    <w:rsid w:val="00B8707C"/>
    <w:rsid w:val="00B9007D"/>
    <w:rsid w:val="00B97689"/>
    <w:rsid w:val="00B97B52"/>
    <w:rsid w:val="00BA186B"/>
    <w:rsid w:val="00BA642F"/>
    <w:rsid w:val="00BB4849"/>
    <w:rsid w:val="00BC79E2"/>
    <w:rsid w:val="00BD2985"/>
    <w:rsid w:val="00BD39A0"/>
    <w:rsid w:val="00BD4FE8"/>
    <w:rsid w:val="00BD57E7"/>
    <w:rsid w:val="00BD71FD"/>
    <w:rsid w:val="00BD7895"/>
    <w:rsid w:val="00BE1A0B"/>
    <w:rsid w:val="00BE60C2"/>
    <w:rsid w:val="00BE6479"/>
    <w:rsid w:val="00BE6559"/>
    <w:rsid w:val="00BE67AA"/>
    <w:rsid w:val="00BF538D"/>
    <w:rsid w:val="00C00715"/>
    <w:rsid w:val="00C0580B"/>
    <w:rsid w:val="00C11FCF"/>
    <w:rsid w:val="00C13FCB"/>
    <w:rsid w:val="00C1481B"/>
    <w:rsid w:val="00C17CCD"/>
    <w:rsid w:val="00C21016"/>
    <w:rsid w:val="00C233BA"/>
    <w:rsid w:val="00C27FAE"/>
    <w:rsid w:val="00C308AC"/>
    <w:rsid w:val="00C31358"/>
    <w:rsid w:val="00C319BC"/>
    <w:rsid w:val="00C330FC"/>
    <w:rsid w:val="00C40F10"/>
    <w:rsid w:val="00C41343"/>
    <w:rsid w:val="00C4160B"/>
    <w:rsid w:val="00C46DA5"/>
    <w:rsid w:val="00C46EC4"/>
    <w:rsid w:val="00C501CD"/>
    <w:rsid w:val="00C51537"/>
    <w:rsid w:val="00C54686"/>
    <w:rsid w:val="00C571A1"/>
    <w:rsid w:val="00C57979"/>
    <w:rsid w:val="00C57D1F"/>
    <w:rsid w:val="00C60744"/>
    <w:rsid w:val="00C614BA"/>
    <w:rsid w:val="00C62501"/>
    <w:rsid w:val="00C65CD1"/>
    <w:rsid w:val="00C6607D"/>
    <w:rsid w:val="00C72343"/>
    <w:rsid w:val="00C75DF5"/>
    <w:rsid w:val="00C776F9"/>
    <w:rsid w:val="00CB18A4"/>
    <w:rsid w:val="00CC0C30"/>
    <w:rsid w:val="00CC1A08"/>
    <w:rsid w:val="00CC5D61"/>
    <w:rsid w:val="00CC76BD"/>
    <w:rsid w:val="00CD0630"/>
    <w:rsid w:val="00CD3A3E"/>
    <w:rsid w:val="00CD5FE8"/>
    <w:rsid w:val="00CD7DAB"/>
    <w:rsid w:val="00CE05F8"/>
    <w:rsid w:val="00CE1DE6"/>
    <w:rsid w:val="00CE2A87"/>
    <w:rsid w:val="00CE2C40"/>
    <w:rsid w:val="00CE45E7"/>
    <w:rsid w:val="00CE677A"/>
    <w:rsid w:val="00CE6EB0"/>
    <w:rsid w:val="00CE7DED"/>
    <w:rsid w:val="00CF324D"/>
    <w:rsid w:val="00CF46FA"/>
    <w:rsid w:val="00CF686F"/>
    <w:rsid w:val="00D030D6"/>
    <w:rsid w:val="00D04785"/>
    <w:rsid w:val="00D10687"/>
    <w:rsid w:val="00D21B3E"/>
    <w:rsid w:val="00D22576"/>
    <w:rsid w:val="00D31BAB"/>
    <w:rsid w:val="00D450CC"/>
    <w:rsid w:val="00D46133"/>
    <w:rsid w:val="00D50F38"/>
    <w:rsid w:val="00D517EE"/>
    <w:rsid w:val="00D5226C"/>
    <w:rsid w:val="00D54DA3"/>
    <w:rsid w:val="00D5554F"/>
    <w:rsid w:val="00D55C25"/>
    <w:rsid w:val="00D57816"/>
    <w:rsid w:val="00D57F27"/>
    <w:rsid w:val="00D6466F"/>
    <w:rsid w:val="00D65AB2"/>
    <w:rsid w:val="00D67102"/>
    <w:rsid w:val="00D82DF2"/>
    <w:rsid w:val="00D86412"/>
    <w:rsid w:val="00D939F3"/>
    <w:rsid w:val="00D93F57"/>
    <w:rsid w:val="00D96118"/>
    <w:rsid w:val="00D96432"/>
    <w:rsid w:val="00D96799"/>
    <w:rsid w:val="00D97BC3"/>
    <w:rsid w:val="00DA1FB4"/>
    <w:rsid w:val="00DA2ABC"/>
    <w:rsid w:val="00DA2FA6"/>
    <w:rsid w:val="00DA3D45"/>
    <w:rsid w:val="00DA4B40"/>
    <w:rsid w:val="00DA6DF4"/>
    <w:rsid w:val="00DB5C1B"/>
    <w:rsid w:val="00DB6D33"/>
    <w:rsid w:val="00DC4256"/>
    <w:rsid w:val="00DC4322"/>
    <w:rsid w:val="00DC4729"/>
    <w:rsid w:val="00DC52F7"/>
    <w:rsid w:val="00DC7314"/>
    <w:rsid w:val="00DC73F8"/>
    <w:rsid w:val="00DD52F3"/>
    <w:rsid w:val="00DD5862"/>
    <w:rsid w:val="00DE0A05"/>
    <w:rsid w:val="00DE175B"/>
    <w:rsid w:val="00DE2F2B"/>
    <w:rsid w:val="00DE3C47"/>
    <w:rsid w:val="00DF003B"/>
    <w:rsid w:val="00DF2DAD"/>
    <w:rsid w:val="00DF373D"/>
    <w:rsid w:val="00DF656B"/>
    <w:rsid w:val="00E0624B"/>
    <w:rsid w:val="00E06F69"/>
    <w:rsid w:val="00E14513"/>
    <w:rsid w:val="00E15E06"/>
    <w:rsid w:val="00E179C7"/>
    <w:rsid w:val="00E21EF3"/>
    <w:rsid w:val="00E24E04"/>
    <w:rsid w:val="00E27FCD"/>
    <w:rsid w:val="00E338D6"/>
    <w:rsid w:val="00E42B0F"/>
    <w:rsid w:val="00E453A0"/>
    <w:rsid w:val="00E47904"/>
    <w:rsid w:val="00E5066E"/>
    <w:rsid w:val="00E51EDA"/>
    <w:rsid w:val="00E549CC"/>
    <w:rsid w:val="00E575CC"/>
    <w:rsid w:val="00E579AC"/>
    <w:rsid w:val="00E63E7C"/>
    <w:rsid w:val="00E6486D"/>
    <w:rsid w:val="00E65F46"/>
    <w:rsid w:val="00E726CF"/>
    <w:rsid w:val="00E7476C"/>
    <w:rsid w:val="00E75CF1"/>
    <w:rsid w:val="00E761C4"/>
    <w:rsid w:val="00E77047"/>
    <w:rsid w:val="00E775D9"/>
    <w:rsid w:val="00E835D8"/>
    <w:rsid w:val="00E870E8"/>
    <w:rsid w:val="00E87BC5"/>
    <w:rsid w:val="00E93727"/>
    <w:rsid w:val="00E96E7F"/>
    <w:rsid w:val="00E97900"/>
    <w:rsid w:val="00EA11C0"/>
    <w:rsid w:val="00EA7741"/>
    <w:rsid w:val="00EB2156"/>
    <w:rsid w:val="00EB2FAE"/>
    <w:rsid w:val="00EC516F"/>
    <w:rsid w:val="00ED37B1"/>
    <w:rsid w:val="00ED5080"/>
    <w:rsid w:val="00ED7118"/>
    <w:rsid w:val="00EE0092"/>
    <w:rsid w:val="00EE1AFD"/>
    <w:rsid w:val="00EE37C5"/>
    <w:rsid w:val="00EE4E4D"/>
    <w:rsid w:val="00EE5748"/>
    <w:rsid w:val="00EE65A1"/>
    <w:rsid w:val="00EE6619"/>
    <w:rsid w:val="00EF26E3"/>
    <w:rsid w:val="00EF3F0C"/>
    <w:rsid w:val="00EF533C"/>
    <w:rsid w:val="00F022E7"/>
    <w:rsid w:val="00F027B3"/>
    <w:rsid w:val="00F07DDE"/>
    <w:rsid w:val="00F12A18"/>
    <w:rsid w:val="00F13A90"/>
    <w:rsid w:val="00F14483"/>
    <w:rsid w:val="00F1518D"/>
    <w:rsid w:val="00F17A2E"/>
    <w:rsid w:val="00F21872"/>
    <w:rsid w:val="00F233C6"/>
    <w:rsid w:val="00F24076"/>
    <w:rsid w:val="00F30E66"/>
    <w:rsid w:val="00F321A0"/>
    <w:rsid w:val="00F32522"/>
    <w:rsid w:val="00F34902"/>
    <w:rsid w:val="00F40D88"/>
    <w:rsid w:val="00F50A7C"/>
    <w:rsid w:val="00F544CE"/>
    <w:rsid w:val="00F54CCD"/>
    <w:rsid w:val="00F5563A"/>
    <w:rsid w:val="00F57FF9"/>
    <w:rsid w:val="00F63D5F"/>
    <w:rsid w:val="00F66174"/>
    <w:rsid w:val="00F75E55"/>
    <w:rsid w:val="00F800C4"/>
    <w:rsid w:val="00F815FB"/>
    <w:rsid w:val="00F83886"/>
    <w:rsid w:val="00F850D2"/>
    <w:rsid w:val="00F905C3"/>
    <w:rsid w:val="00F9188A"/>
    <w:rsid w:val="00F92024"/>
    <w:rsid w:val="00F97FB5"/>
    <w:rsid w:val="00FA24C3"/>
    <w:rsid w:val="00FA3CC0"/>
    <w:rsid w:val="00FA41DE"/>
    <w:rsid w:val="00FB0D50"/>
    <w:rsid w:val="00FB0FE7"/>
    <w:rsid w:val="00FC0987"/>
    <w:rsid w:val="00FC2E79"/>
    <w:rsid w:val="00FC368A"/>
    <w:rsid w:val="00FC4177"/>
    <w:rsid w:val="00FC6A49"/>
    <w:rsid w:val="00FD3492"/>
    <w:rsid w:val="00FD59A0"/>
    <w:rsid w:val="00FD7CEE"/>
    <w:rsid w:val="00FE054B"/>
    <w:rsid w:val="00FE0E45"/>
    <w:rsid w:val="00FE5B76"/>
    <w:rsid w:val="00FE7AB0"/>
    <w:rsid w:val="00FF06BB"/>
    <w:rsid w:val="00FF0DFC"/>
    <w:rsid w:val="00FF3A6A"/>
    <w:rsid w:val="00FF6348"/>
    <w:rsid w:val="00FF6FCE"/>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FB28D"/>
  <w15:docId w15:val="{E2F26678-61F5-4DE5-8FFD-263C251D5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7BC3"/>
    <w:pPr>
      <w:spacing w:after="120" w:line="240" w:lineRule="auto"/>
    </w:pPr>
    <w:rPr>
      <w:rFonts w:ascii="Arial" w:hAnsi="Arial"/>
      <w:color w:val="414141"/>
      <w:sz w:val="20"/>
      <w:lang w:val="en-US"/>
    </w:rPr>
  </w:style>
  <w:style w:type="paragraph" w:styleId="Heading1">
    <w:name w:val="heading 1"/>
    <w:basedOn w:val="Normal"/>
    <w:next w:val="BodyText"/>
    <w:link w:val="Heading1Char"/>
    <w:uiPriority w:val="9"/>
    <w:qFormat/>
    <w:rsid w:val="00D97BC3"/>
    <w:pPr>
      <w:keepNext/>
      <w:keepLines/>
      <w:pageBreakBefore/>
      <w:spacing w:before="360" w:after="360"/>
      <w:outlineLvl w:val="0"/>
    </w:pPr>
    <w:rPr>
      <w:rFonts w:eastAsiaTheme="majorEastAsia" w:cstheme="majorBidi"/>
      <w:bCs/>
      <w:sz w:val="32"/>
      <w:szCs w:val="28"/>
    </w:rPr>
  </w:style>
  <w:style w:type="paragraph" w:styleId="Heading2">
    <w:name w:val="heading 2"/>
    <w:basedOn w:val="Normal"/>
    <w:next w:val="BodyText"/>
    <w:link w:val="Heading2Char"/>
    <w:uiPriority w:val="9"/>
    <w:unhideWhenUsed/>
    <w:qFormat/>
    <w:rsid w:val="00D97BC3"/>
    <w:pPr>
      <w:keepNext/>
      <w:keepLines/>
      <w:spacing w:before="240" w:after="240"/>
      <w:outlineLvl w:val="1"/>
    </w:pPr>
    <w:rPr>
      <w:rFonts w:eastAsiaTheme="majorEastAsia" w:cstheme="majorBidi"/>
      <w:bCs/>
      <w:sz w:val="28"/>
      <w:szCs w:val="26"/>
    </w:rPr>
  </w:style>
  <w:style w:type="paragraph" w:styleId="Heading3">
    <w:name w:val="heading 3"/>
    <w:basedOn w:val="Normal"/>
    <w:next w:val="BodyText"/>
    <w:link w:val="Heading3Char"/>
    <w:uiPriority w:val="9"/>
    <w:unhideWhenUsed/>
    <w:qFormat/>
    <w:rsid w:val="00D97BC3"/>
    <w:pPr>
      <w:keepNext/>
      <w:keepLines/>
      <w:spacing w:before="240" w:after="240"/>
      <w:outlineLvl w:val="2"/>
    </w:pPr>
    <w:rPr>
      <w:rFonts w:eastAsiaTheme="majorEastAsia" w:cstheme="majorBidi"/>
      <w:bCs/>
      <w:sz w:val="24"/>
    </w:rPr>
  </w:style>
  <w:style w:type="paragraph" w:styleId="Heading4">
    <w:name w:val="heading 4"/>
    <w:basedOn w:val="Normal"/>
    <w:next w:val="BodyText"/>
    <w:link w:val="Heading4Char"/>
    <w:uiPriority w:val="9"/>
    <w:unhideWhenUsed/>
    <w:qFormat/>
    <w:rsid w:val="00D97BC3"/>
    <w:pPr>
      <w:keepNext/>
      <w:keepLines/>
      <w:spacing w:before="240"/>
      <w:outlineLvl w:val="3"/>
    </w:pPr>
    <w:rPr>
      <w:rFonts w:eastAsiaTheme="majorEastAsia" w:cstheme="majorBidi"/>
      <w:bCs/>
      <w:iCs/>
      <w:sz w:val="22"/>
    </w:rPr>
  </w:style>
  <w:style w:type="paragraph" w:styleId="Heading5">
    <w:name w:val="heading 5"/>
    <w:basedOn w:val="Normal"/>
    <w:next w:val="Normal"/>
    <w:link w:val="Heading5Char"/>
    <w:uiPriority w:val="9"/>
    <w:unhideWhenUsed/>
    <w:qFormat/>
    <w:rsid w:val="00D97BC3"/>
    <w:pPr>
      <w:keepNext/>
      <w:keepLines/>
      <w:spacing w:before="240"/>
      <w:outlineLvl w:val="4"/>
    </w:pPr>
    <w:rPr>
      <w:rFonts w:eastAsiaTheme="majorEastAsia" w:cstheme="majorBidi"/>
    </w:rPr>
  </w:style>
  <w:style w:type="paragraph" w:styleId="Heading6">
    <w:name w:val="heading 6"/>
    <w:basedOn w:val="Normal"/>
    <w:next w:val="Normal"/>
    <w:link w:val="Heading6Char"/>
    <w:uiPriority w:val="9"/>
    <w:semiHidden/>
    <w:unhideWhenUsed/>
    <w:rsid w:val="00D97BC3"/>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97BC3"/>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97BC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97BC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BC3"/>
    <w:rPr>
      <w:rFonts w:ascii="Arial" w:eastAsiaTheme="majorEastAsia" w:hAnsi="Arial" w:cstheme="majorBidi"/>
      <w:bCs/>
      <w:color w:val="414141"/>
      <w:sz w:val="32"/>
      <w:szCs w:val="28"/>
      <w:lang w:val="en-US"/>
    </w:rPr>
  </w:style>
  <w:style w:type="character" w:customStyle="1" w:styleId="Heading2Char">
    <w:name w:val="Heading 2 Char"/>
    <w:basedOn w:val="DefaultParagraphFont"/>
    <w:link w:val="Heading2"/>
    <w:uiPriority w:val="9"/>
    <w:rsid w:val="00D97BC3"/>
    <w:rPr>
      <w:rFonts w:ascii="Arial" w:eastAsiaTheme="majorEastAsia" w:hAnsi="Arial" w:cstheme="majorBidi"/>
      <w:bCs/>
      <w:color w:val="414141"/>
      <w:sz w:val="28"/>
      <w:szCs w:val="26"/>
      <w:lang w:val="en-US"/>
    </w:rPr>
  </w:style>
  <w:style w:type="character" w:customStyle="1" w:styleId="Heading3Char">
    <w:name w:val="Heading 3 Char"/>
    <w:basedOn w:val="DefaultParagraphFont"/>
    <w:link w:val="Heading3"/>
    <w:uiPriority w:val="9"/>
    <w:rsid w:val="00D97BC3"/>
    <w:rPr>
      <w:rFonts w:ascii="Arial" w:eastAsiaTheme="majorEastAsia" w:hAnsi="Arial" w:cstheme="majorBidi"/>
      <w:bCs/>
      <w:color w:val="414141"/>
      <w:sz w:val="24"/>
      <w:lang w:val="en-US"/>
    </w:rPr>
  </w:style>
  <w:style w:type="character" w:customStyle="1" w:styleId="Heading4Char">
    <w:name w:val="Heading 4 Char"/>
    <w:basedOn w:val="DefaultParagraphFont"/>
    <w:link w:val="Heading4"/>
    <w:uiPriority w:val="9"/>
    <w:rsid w:val="00D97BC3"/>
    <w:rPr>
      <w:rFonts w:ascii="Arial" w:eastAsiaTheme="majorEastAsia" w:hAnsi="Arial" w:cstheme="majorBidi"/>
      <w:bCs/>
      <w:iCs/>
      <w:color w:val="414141"/>
      <w:lang w:val="en-US"/>
    </w:rPr>
  </w:style>
  <w:style w:type="character" w:customStyle="1" w:styleId="Heading5Char">
    <w:name w:val="Heading 5 Char"/>
    <w:basedOn w:val="DefaultParagraphFont"/>
    <w:link w:val="Heading5"/>
    <w:uiPriority w:val="9"/>
    <w:rsid w:val="00D97BC3"/>
    <w:rPr>
      <w:rFonts w:ascii="Arial" w:eastAsiaTheme="majorEastAsia" w:hAnsi="Arial" w:cstheme="majorBidi"/>
      <w:color w:val="414141"/>
      <w:sz w:val="20"/>
      <w:lang w:val="en-US"/>
    </w:rPr>
  </w:style>
  <w:style w:type="character" w:customStyle="1" w:styleId="Heading6Char">
    <w:name w:val="Heading 6 Char"/>
    <w:basedOn w:val="DefaultParagraphFont"/>
    <w:link w:val="Heading6"/>
    <w:uiPriority w:val="9"/>
    <w:semiHidden/>
    <w:rsid w:val="00D97BC3"/>
    <w:rPr>
      <w:rFonts w:asciiTheme="majorHAnsi" w:eastAsiaTheme="majorEastAsia" w:hAnsiTheme="majorHAnsi" w:cstheme="majorBidi"/>
      <w:color w:val="243F60" w:themeColor="accent1" w:themeShade="7F"/>
      <w:sz w:val="20"/>
      <w:lang w:val="en-US"/>
    </w:rPr>
  </w:style>
  <w:style w:type="paragraph" w:styleId="Footer">
    <w:name w:val="footer"/>
    <w:aliases w:val="Misys Footer"/>
    <w:basedOn w:val="Normal"/>
    <w:link w:val="FooterChar"/>
    <w:uiPriority w:val="99"/>
    <w:unhideWhenUsed/>
    <w:qFormat/>
    <w:rsid w:val="00D97BC3"/>
    <w:pPr>
      <w:tabs>
        <w:tab w:val="center" w:pos="4513"/>
        <w:tab w:val="right" w:pos="9026"/>
      </w:tabs>
      <w:spacing w:before="40" w:after="40"/>
    </w:pPr>
    <w:rPr>
      <w:sz w:val="16"/>
    </w:rPr>
  </w:style>
  <w:style w:type="character" w:customStyle="1" w:styleId="FooterChar">
    <w:name w:val="Footer Char"/>
    <w:aliases w:val="Misys Footer Char"/>
    <w:basedOn w:val="DefaultParagraphFont"/>
    <w:link w:val="Footer"/>
    <w:uiPriority w:val="99"/>
    <w:rsid w:val="00D97BC3"/>
    <w:rPr>
      <w:rFonts w:ascii="Arial" w:hAnsi="Arial"/>
      <w:color w:val="414141"/>
      <w:sz w:val="16"/>
      <w:lang w:val="en-US"/>
    </w:rPr>
  </w:style>
  <w:style w:type="paragraph" w:styleId="BalloonText">
    <w:name w:val="Balloon Text"/>
    <w:basedOn w:val="Normal"/>
    <w:link w:val="BalloonTextChar"/>
    <w:uiPriority w:val="99"/>
    <w:semiHidden/>
    <w:unhideWhenUsed/>
    <w:rsid w:val="00D97BC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7BC3"/>
    <w:rPr>
      <w:rFonts w:ascii="Tahoma" w:hAnsi="Tahoma" w:cs="Tahoma"/>
      <w:color w:val="414141"/>
      <w:sz w:val="16"/>
      <w:szCs w:val="16"/>
      <w:lang w:val="en-US"/>
    </w:rPr>
  </w:style>
  <w:style w:type="character" w:styleId="Hyperlink">
    <w:name w:val="Hyperlink"/>
    <w:basedOn w:val="DefaultParagraphFont"/>
    <w:uiPriority w:val="99"/>
    <w:unhideWhenUsed/>
    <w:rsid w:val="00D97BC3"/>
    <w:rPr>
      <w:color w:val="C137A2"/>
      <w:u w:val="none"/>
    </w:rPr>
  </w:style>
  <w:style w:type="paragraph" w:customStyle="1" w:styleId="AboutTitle">
    <w:name w:val="AboutTitle"/>
    <w:next w:val="Normal"/>
    <w:qFormat/>
    <w:rsid w:val="00AB13E2"/>
    <w:pPr>
      <w:keepNext/>
      <w:pageBreakBefore/>
      <w:spacing w:before="1440" w:after="1200" w:line="240" w:lineRule="auto"/>
    </w:pPr>
    <w:rPr>
      <w:rFonts w:ascii="Arial" w:eastAsiaTheme="majorEastAsia" w:hAnsi="Arial" w:cstheme="majorBidi"/>
      <w:bCs/>
      <w:color w:val="2AB5B2"/>
      <w:spacing w:val="32"/>
      <w:sz w:val="36"/>
      <w:szCs w:val="28"/>
      <w:lang w:val="en-US"/>
    </w:rPr>
  </w:style>
  <w:style w:type="paragraph" w:customStyle="1" w:styleId="CodeSnippet2">
    <w:name w:val="CodeSnippet 2"/>
    <w:basedOn w:val="Normal"/>
    <w:qFormat/>
    <w:rsid w:val="00C330FC"/>
    <w:pPr>
      <w:pBdr>
        <w:top w:val="single" w:sz="8" w:space="1" w:color="BFBFBF"/>
        <w:left w:val="single" w:sz="8" w:space="4" w:color="BFBFBF"/>
        <w:bottom w:val="single" w:sz="8" w:space="1" w:color="BFBFBF"/>
        <w:right w:val="single" w:sz="8" w:space="4" w:color="BFBFBF"/>
      </w:pBdr>
      <w:spacing w:before="60" w:after="60"/>
    </w:pPr>
    <w:rPr>
      <w:rFonts w:ascii="Courier New" w:hAnsi="Courier New"/>
      <w:sz w:val="18"/>
    </w:rPr>
  </w:style>
  <w:style w:type="paragraph" w:styleId="Header">
    <w:name w:val="header"/>
    <w:basedOn w:val="Normal"/>
    <w:link w:val="HeaderChar"/>
    <w:uiPriority w:val="99"/>
    <w:unhideWhenUsed/>
    <w:rsid w:val="00D97BC3"/>
    <w:pPr>
      <w:pBdr>
        <w:bottom w:val="single" w:sz="4" w:space="6" w:color="A6A6A6" w:themeColor="background1" w:themeShade="A6"/>
      </w:pBdr>
      <w:tabs>
        <w:tab w:val="center" w:pos="4513"/>
        <w:tab w:val="right" w:pos="9026"/>
      </w:tabs>
      <w:spacing w:after="40"/>
    </w:pPr>
    <w:rPr>
      <w:caps/>
      <w:sz w:val="16"/>
    </w:rPr>
  </w:style>
  <w:style w:type="table" w:styleId="TableGrid">
    <w:name w:val="Table Grid"/>
    <w:aliases w:val="TableGridHeader"/>
    <w:basedOn w:val="TableNormal"/>
    <w:uiPriority w:val="59"/>
    <w:rsid w:val="00D97BC3"/>
    <w:pPr>
      <w:spacing w:after="0" w:line="240" w:lineRule="auto"/>
    </w:pPr>
    <w:rPr>
      <w:rFonts w:ascii="Avenir LT Std 65 Medium" w:hAnsi="Avenir LT Std 65 Medium"/>
      <w:sz w:val="20"/>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color w:val="FFFFFF" w:themeColor="background1"/>
      </w:rPr>
      <w:tblPr/>
      <w:tcPr>
        <w:shd w:val="clear" w:color="auto" w:fill="694ED6"/>
      </w:tcPr>
    </w:tblStylePr>
    <w:tblStylePr w:type="band1Horz">
      <w:tblPr/>
      <w:tcPr>
        <w:shd w:val="clear" w:color="auto" w:fill="CECECE"/>
      </w:tcPr>
    </w:tblStylePr>
    <w:tblStylePr w:type="band2Horz">
      <w:tblPr/>
      <w:tcPr>
        <w:shd w:val="clear" w:color="auto" w:fill="F2F2F2"/>
      </w:tcPr>
    </w:tblStylePr>
  </w:style>
  <w:style w:type="paragraph" w:styleId="TOC2">
    <w:name w:val="toc 2"/>
    <w:basedOn w:val="Normal"/>
    <w:next w:val="Normal"/>
    <w:uiPriority w:val="39"/>
    <w:unhideWhenUsed/>
    <w:rsid w:val="00D97BC3"/>
    <w:pPr>
      <w:tabs>
        <w:tab w:val="right" w:leader="dot" w:pos="9016"/>
      </w:tabs>
      <w:spacing w:after="100"/>
    </w:pPr>
    <w:rPr>
      <w:noProof/>
    </w:rPr>
  </w:style>
  <w:style w:type="paragraph" w:styleId="TOC1">
    <w:name w:val="toc 1"/>
    <w:basedOn w:val="Normal"/>
    <w:next w:val="Normal"/>
    <w:uiPriority w:val="39"/>
    <w:unhideWhenUsed/>
    <w:rsid w:val="00D97BC3"/>
    <w:pPr>
      <w:tabs>
        <w:tab w:val="left" w:pos="1080"/>
        <w:tab w:val="left" w:pos="1320"/>
        <w:tab w:val="right" w:leader="dot" w:pos="9016"/>
      </w:tabs>
      <w:spacing w:after="100"/>
    </w:pPr>
    <w:rPr>
      <w:b/>
      <w:caps/>
      <w:noProof/>
      <w:color w:val="C137A2"/>
    </w:rPr>
  </w:style>
  <w:style w:type="paragraph" w:styleId="TOC3">
    <w:name w:val="toc 3"/>
    <w:basedOn w:val="Normal"/>
    <w:next w:val="Normal"/>
    <w:uiPriority w:val="39"/>
    <w:unhideWhenUsed/>
    <w:rsid w:val="00D97BC3"/>
    <w:pPr>
      <w:tabs>
        <w:tab w:val="right" w:leader="dot" w:pos="9016"/>
      </w:tabs>
      <w:ind w:left="360"/>
    </w:pPr>
    <w:rPr>
      <w:noProof/>
      <w:sz w:val="18"/>
    </w:rPr>
  </w:style>
  <w:style w:type="character" w:customStyle="1" w:styleId="HeaderChar">
    <w:name w:val="Header Char"/>
    <w:basedOn w:val="DefaultParagraphFont"/>
    <w:link w:val="Header"/>
    <w:uiPriority w:val="99"/>
    <w:rsid w:val="00D97BC3"/>
    <w:rPr>
      <w:rFonts w:ascii="Arial" w:hAnsi="Arial"/>
      <w:caps/>
      <w:color w:val="414141"/>
      <w:sz w:val="16"/>
      <w:lang w:val="en-US"/>
    </w:rPr>
  </w:style>
  <w:style w:type="table" w:customStyle="1" w:styleId="TableGridNoHeader">
    <w:name w:val="TableGridNoHeader"/>
    <w:basedOn w:val="TableNormal"/>
    <w:uiPriority w:val="99"/>
    <w:rsid w:val="00D97BC3"/>
    <w:pPr>
      <w:spacing w:after="0" w:line="240" w:lineRule="auto"/>
    </w:pPr>
    <w:rPr>
      <w:rFonts w:ascii="Avenir LT Std 65 Medium" w:hAnsi="Avenir LT Std 65 Medium"/>
      <w:sz w:val="18"/>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band1Horz">
      <w:tblPr/>
      <w:tcPr>
        <w:shd w:val="clear" w:color="auto" w:fill="CECECE"/>
      </w:tcPr>
    </w:tblStylePr>
    <w:tblStylePr w:type="band2Horz">
      <w:tblPr/>
      <w:tcPr>
        <w:shd w:val="clear" w:color="auto" w:fill="F2F2F2"/>
      </w:tcPr>
    </w:tblStylePr>
  </w:style>
  <w:style w:type="character" w:styleId="FollowedHyperlink">
    <w:name w:val="FollowedHyperlink"/>
    <w:basedOn w:val="DefaultParagraphFont"/>
    <w:uiPriority w:val="99"/>
    <w:semiHidden/>
    <w:unhideWhenUsed/>
    <w:rsid w:val="00D97BC3"/>
    <w:rPr>
      <w:color w:val="800080" w:themeColor="followedHyperlink"/>
      <w:u w:val="single"/>
    </w:rPr>
  </w:style>
  <w:style w:type="character" w:styleId="PlaceholderText">
    <w:name w:val="Placeholder Text"/>
    <w:basedOn w:val="DefaultParagraphFont"/>
    <w:uiPriority w:val="99"/>
    <w:semiHidden/>
    <w:rsid w:val="00D97BC3"/>
    <w:rPr>
      <w:color w:val="808080"/>
    </w:rPr>
  </w:style>
  <w:style w:type="paragraph" w:styleId="ListBullet">
    <w:name w:val="List Bullet"/>
    <w:basedOn w:val="Normal"/>
    <w:uiPriority w:val="99"/>
    <w:semiHidden/>
    <w:unhideWhenUsed/>
    <w:rsid w:val="00D97BC3"/>
    <w:pPr>
      <w:numPr>
        <w:numId w:val="18"/>
      </w:numPr>
      <w:contextualSpacing/>
    </w:pPr>
  </w:style>
  <w:style w:type="table" w:customStyle="1" w:styleId="MisysTable">
    <w:name w:val="Misys Table"/>
    <w:basedOn w:val="TableNormal"/>
    <w:uiPriority w:val="99"/>
    <w:rsid w:val="00EF3F0C"/>
    <w:pPr>
      <w:spacing w:after="0" w:line="240" w:lineRule="auto"/>
    </w:pPr>
    <w:rPr>
      <w:rFonts w:ascii="Arial" w:eastAsia="Times New Roman" w:hAnsi="Arial" w:cs="Times New Roman"/>
      <w:sz w:val="18"/>
      <w:szCs w:val="20"/>
      <w:lang w:val="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pPr>
        <w:wordWrap/>
        <w:spacing w:beforeLines="60" w:beforeAutospacing="0" w:afterLines="80" w:afterAutospacing="0"/>
        <w:contextualSpacing w:val="0"/>
        <w:mirrorIndents w:val="0"/>
        <w:jc w:val="left"/>
      </w:pPr>
      <w:rPr>
        <w:rFonts w:ascii="Arial" w:hAnsi="Arial"/>
        <w:b/>
        <w:color w:val="FFFFFF" w:themeColor="background1"/>
        <w:sz w:val="18"/>
      </w:rPr>
      <w:tblPr/>
      <w:tcPr>
        <w:vAlign w:val="center"/>
      </w:tcPr>
    </w:tblStylePr>
  </w:style>
  <w:style w:type="paragraph" w:customStyle="1" w:styleId="SpaceBefore">
    <w:name w:val="SpaceBefore"/>
    <w:basedOn w:val="Normal"/>
    <w:qFormat/>
    <w:rsid w:val="00D5554F"/>
    <w:pPr>
      <w:spacing w:before="240"/>
    </w:pPr>
    <w:rPr>
      <w:rFonts w:eastAsia="Times New Roman" w:cs="Arial"/>
      <w:szCs w:val="18"/>
    </w:rPr>
  </w:style>
  <w:style w:type="paragraph" w:customStyle="1" w:styleId="NoSpaceAfter">
    <w:name w:val="NoSpaceAfter"/>
    <w:basedOn w:val="SpaceBefore"/>
    <w:qFormat/>
    <w:rsid w:val="00D5554F"/>
    <w:pPr>
      <w:spacing w:before="120" w:after="0"/>
    </w:pPr>
  </w:style>
  <w:style w:type="paragraph" w:customStyle="1" w:styleId="TableHeading">
    <w:name w:val="TableHeading"/>
    <w:basedOn w:val="Normal"/>
    <w:semiHidden/>
    <w:qFormat/>
    <w:rsid w:val="00E97900"/>
    <w:pPr>
      <w:spacing w:before="120"/>
    </w:pPr>
    <w:rPr>
      <w:rFonts w:eastAsia="MS Mincho" w:cs="Times New Roman"/>
      <w:b/>
      <w:noProof/>
      <w:color w:val="FFFFFF"/>
    </w:rPr>
  </w:style>
  <w:style w:type="paragraph" w:customStyle="1" w:styleId="TableText">
    <w:name w:val="TableText"/>
    <w:basedOn w:val="BodyText"/>
    <w:qFormat/>
    <w:rsid w:val="00D97BC3"/>
    <w:pPr>
      <w:spacing w:before="60" w:after="80"/>
    </w:pPr>
    <w:rPr>
      <w:sz w:val="18"/>
    </w:rPr>
  </w:style>
  <w:style w:type="table" w:customStyle="1" w:styleId="MisysTable1">
    <w:name w:val="MisysTable1"/>
    <w:basedOn w:val="TableNormal"/>
    <w:uiPriority w:val="99"/>
    <w:rsid w:val="00E97900"/>
    <w:pPr>
      <w:spacing w:after="0" w:line="240" w:lineRule="auto"/>
    </w:pPr>
    <w:rPr>
      <w:rFonts w:ascii="Arial" w:eastAsia="Calibri" w:hAnsi="Arial" w:cs="Times New Roman"/>
      <w:sz w:val="20"/>
      <w:szCs w:val="20"/>
      <w:lang w:val="en-US" w:eastAsia="zh-CN"/>
    </w:rPr>
    <w:tblPr>
      <w:tblStyleRow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tcMar>
        <w:left w:w="115" w:type="dxa"/>
        <w:right w:w="115" w:type="dxa"/>
      </w:tcMar>
    </w:tcPr>
    <w:tblStylePr w:type="firstRow">
      <w:rPr>
        <w:b w:val="0"/>
        <w:color w:val="FFFFFF"/>
      </w:rPr>
      <w:tblPr/>
      <w:tcPr>
        <w:shd w:val="clear" w:color="auto" w:fill="2AB5B2"/>
      </w:tcPr>
    </w:tblStylePr>
    <w:tblStylePr w:type="band1Horz">
      <w:tblPr/>
      <w:tcPr>
        <w:shd w:val="clear" w:color="auto" w:fill="F2F2F2"/>
      </w:tcPr>
    </w:tblStylePr>
    <w:tblStylePr w:type="band2Horz">
      <w:tblPr/>
      <w:tcPr>
        <w:shd w:val="clear" w:color="auto" w:fill="D9D9D9"/>
      </w:tcPr>
    </w:tblStylePr>
  </w:style>
  <w:style w:type="paragraph" w:customStyle="1" w:styleId="ListBulletLevel1">
    <w:name w:val="ListBulletLevel1"/>
    <w:basedOn w:val="Normal"/>
    <w:semiHidden/>
    <w:qFormat/>
    <w:rsid w:val="00E97900"/>
    <w:pPr>
      <w:spacing w:before="120"/>
    </w:pPr>
    <w:rPr>
      <w:rFonts w:eastAsia="MS Mincho" w:cs="Times New Roman"/>
      <w:noProof/>
    </w:rPr>
  </w:style>
  <w:style w:type="paragraph" w:styleId="BodyText0">
    <w:name w:val="Body Text"/>
    <w:basedOn w:val="Normal"/>
    <w:link w:val="BodyTextChar"/>
    <w:uiPriority w:val="99"/>
    <w:semiHidden/>
    <w:unhideWhenUsed/>
    <w:rsid w:val="00D97BC3"/>
  </w:style>
  <w:style w:type="character" w:customStyle="1" w:styleId="BodyTextChar">
    <w:name w:val="Body Text Char"/>
    <w:basedOn w:val="DefaultParagraphFont"/>
    <w:link w:val="BodyText0"/>
    <w:uiPriority w:val="99"/>
    <w:semiHidden/>
    <w:rsid w:val="00D97BC3"/>
    <w:rPr>
      <w:rFonts w:ascii="Arial" w:hAnsi="Arial"/>
      <w:color w:val="414141"/>
      <w:sz w:val="20"/>
      <w:lang w:val="en-US"/>
    </w:rPr>
  </w:style>
  <w:style w:type="paragraph" w:customStyle="1" w:styleId="TableHeading0">
    <w:name w:val="Table Heading"/>
    <w:basedOn w:val="BodyText0"/>
    <w:semiHidden/>
    <w:qFormat/>
    <w:rsid w:val="00DA6DF4"/>
    <w:pPr>
      <w:shd w:val="clear" w:color="auto" w:fill="31849B"/>
      <w:spacing w:after="0"/>
    </w:pPr>
    <w:rPr>
      <w:b/>
      <w:color w:val="FFFFFF" w:themeColor="background1"/>
      <w:sz w:val="18"/>
      <w:lang w:val="en-NZ"/>
    </w:rPr>
  </w:style>
  <w:style w:type="paragraph" w:customStyle="1" w:styleId="NoSpaceBodyText">
    <w:name w:val="No Space Body Text"/>
    <w:basedOn w:val="BodyText0"/>
    <w:link w:val="NoSpaceBodyTextChar"/>
    <w:semiHidden/>
    <w:qFormat/>
    <w:rsid w:val="00DA6DF4"/>
    <w:pPr>
      <w:spacing w:after="0"/>
    </w:pPr>
  </w:style>
  <w:style w:type="character" w:customStyle="1" w:styleId="NoSpaceBodyTextChar">
    <w:name w:val="No Space Body Text Char"/>
    <w:basedOn w:val="BodyTextChar"/>
    <w:link w:val="NoSpaceBodyText"/>
    <w:semiHidden/>
    <w:rsid w:val="00C57D1F"/>
    <w:rPr>
      <w:rFonts w:ascii="Arial" w:eastAsia="Times New Roman" w:hAnsi="Arial" w:cs="Arial"/>
      <w:color w:val="414141"/>
      <w:sz w:val="20"/>
      <w:szCs w:val="18"/>
      <w:lang w:val="en-US"/>
    </w:rPr>
  </w:style>
  <w:style w:type="paragraph" w:customStyle="1" w:styleId="TableText0">
    <w:name w:val="Table Text"/>
    <w:basedOn w:val="BodyText0"/>
    <w:semiHidden/>
    <w:qFormat/>
    <w:rsid w:val="00DA6DF4"/>
    <w:pPr>
      <w:spacing w:before="40" w:after="40"/>
    </w:pPr>
    <w:rPr>
      <w:sz w:val="18"/>
    </w:rPr>
  </w:style>
  <w:style w:type="paragraph" w:customStyle="1" w:styleId="BulletHyphen">
    <w:name w:val="Bullet Hyphen"/>
    <w:basedOn w:val="ListBullet"/>
    <w:semiHidden/>
    <w:qFormat/>
    <w:rsid w:val="00FD7CEE"/>
    <w:pPr>
      <w:spacing w:before="120" w:after="240"/>
      <w:ind w:left="1440" w:hanging="1080"/>
      <w:contextualSpacing w:val="0"/>
    </w:pPr>
    <w:rPr>
      <w:rFonts w:eastAsia="Times New Roman" w:cs="Arial"/>
      <w:color w:val="auto"/>
      <w:szCs w:val="18"/>
    </w:rPr>
  </w:style>
  <w:style w:type="paragraph" w:customStyle="1" w:styleId="Bullet">
    <w:name w:val="Bullet"/>
    <w:basedOn w:val="Normal"/>
    <w:uiPriority w:val="99"/>
    <w:semiHidden/>
    <w:qFormat/>
    <w:rsid w:val="00FD7CEE"/>
    <w:pPr>
      <w:tabs>
        <w:tab w:val="num" w:pos="720"/>
      </w:tabs>
      <w:spacing w:before="120"/>
      <w:ind w:left="720" w:hanging="360"/>
    </w:pPr>
    <w:rPr>
      <w:rFonts w:eastAsia="Times New Roman" w:cs="Arial"/>
      <w:color w:val="auto"/>
      <w:szCs w:val="19"/>
      <w:lang w:eastAsia="en-GB"/>
    </w:rPr>
  </w:style>
  <w:style w:type="character" w:customStyle="1" w:styleId="Italic">
    <w:name w:val="Italic"/>
    <w:basedOn w:val="DefaultParagraphFont"/>
    <w:uiPriority w:val="1"/>
    <w:qFormat/>
    <w:rsid w:val="00D97BC3"/>
    <w:rPr>
      <w:rFonts w:ascii="Arial" w:hAnsi="Arial"/>
      <w:i/>
      <w:sz w:val="20"/>
    </w:rPr>
  </w:style>
  <w:style w:type="paragraph" w:customStyle="1" w:styleId="AllowPageBreak">
    <w:name w:val="AllowPageBreak"/>
    <w:basedOn w:val="BodyText0"/>
    <w:next w:val="BodyText0"/>
    <w:semiHidden/>
    <w:rsid w:val="00FD7CEE"/>
    <w:pPr>
      <w:widowControl w:val="0"/>
      <w:spacing w:after="0"/>
    </w:pPr>
    <w:rPr>
      <w:rFonts w:ascii="Avenir LT Std 65 Medium" w:eastAsia="Calibri" w:hAnsi="Avenir LT Std 65 Medium" w:cs="Times New Roman"/>
      <w:sz w:val="2"/>
      <w:szCs w:val="16"/>
      <w:lang w:val="en-IN"/>
    </w:rPr>
  </w:style>
  <w:style w:type="paragraph" w:customStyle="1" w:styleId="Copyright">
    <w:name w:val="Copyright"/>
    <w:basedOn w:val="Heading2"/>
    <w:semiHidden/>
    <w:rsid w:val="00AB13E2"/>
    <w:pPr>
      <w:spacing w:before="200" w:after="100"/>
    </w:pPr>
    <w:rPr>
      <w:bCs w:val="0"/>
      <w:noProof/>
    </w:rPr>
  </w:style>
  <w:style w:type="paragraph" w:styleId="TOCHeading">
    <w:name w:val="TOC Heading"/>
    <w:basedOn w:val="Heading1"/>
    <w:next w:val="Normal"/>
    <w:uiPriority w:val="39"/>
    <w:semiHidden/>
    <w:unhideWhenUsed/>
    <w:qFormat/>
    <w:rsid w:val="00D97BC3"/>
    <w:pPr>
      <w:pageBreakBefore w:val="0"/>
      <w:spacing w:before="240" w:after="0"/>
      <w:outlineLvl w:val="9"/>
    </w:pPr>
    <w:rPr>
      <w:rFonts w:asciiTheme="majorHAnsi" w:hAnsiTheme="majorHAnsi"/>
      <w:bCs w:val="0"/>
      <w:color w:val="365F91" w:themeColor="accent1" w:themeShade="BF"/>
      <w:szCs w:val="32"/>
    </w:rPr>
  </w:style>
  <w:style w:type="character" w:styleId="FootnoteReference">
    <w:name w:val="footnote reference"/>
    <w:basedOn w:val="DefaultParagraphFont"/>
    <w:uiPriority w:val="99"/>
    <w:semiHidden/>
    <w:rsid w:val="00062544"/>
    <w:rPr>
      <w:rFonts w:asciiTheme="minorHAnsi" w:hAnsiTheme="minorHAnsi"/>
      <w:b/>
      <w:sz w:val="20"/>
      <w:vertAlign w:val="superscript"/>
    </w:rPr>
  </w:style>
  <w:style w:type="paragraph" w:styleId="FootnoteText">
    <w:name w:val="footnote text"/>
    <w:basedOn w:val="Normal"/>
    <w:link w:val="FootnoteTextChar"/>
    <w:uiPriority w:val="99"/>
    <w:semiHidden/>
    <w:unhideWhenUsed/>
    <w:rsid w:val="00D97BC3"/>
    <w:pPr>
      <w:spacing w:after="0"/>
    </w:pPr>
    <w:rPr>
      <w:szCs w:val="20"/>
    </w:rPr>
  </w:style>
  <w:style w:type="character" w:customStyle="1" w:styleId="FootnoteTextChar">
    <w:name w:val="Footnote Text Char"/>
    <w:basedOn w:val="DefaultParagraphFont"/>
    <w:link w:val="FootnoteText"/>
    <w:uiPriority w:val="99"/>
    <w:semiHidden/>
    <w:rsid w:val="00D97BC3"/>
    <w:rPr>
      <w:rFonts w:ascii="Arial" w:hAnsi="Arial"/>
      <w:color w:val="414141"/>
      <w:sz w:val="20"/>
      <w:szCs w:val="20"/>
      <w:lang w:val="en-US"/>
    </w:rPr>
  </w:style>
  <w:style w:type="character" w:styleId="CommentReference">
    <w:name w:val="annotation reference"/>
    <w:basedOn w:val="DefaultParagraphFont"/>
    <w:uiPriority w:val="99"/>
    <w:semiHidden/>
    <w:unhideWhenUsed/>
    <w:rsid w:val="00564127"/>
    <w:rPr>
      <w:sz w:val="16"/>
      <w:szCs w:val="16"/>
    </w:rPr>
  </w:style>
  <w:style w:type="paragraph" w:styleId="CommentText">
    <w:name w:val="annotation text"/>
    <w:basedOn w:val="Normal"/>
    <w:link w:val="CommentTextChar"/>
    <w:uiPriority w:val="99"/>
    <w:semiHidden/>
    <w:unhideWhenUsed/>
    <w:rsid w:val="00D97BC3"/>
    <w:rPr>
      <w:szCs w:val="20"/>
    </w:rPr>
  </w:style>
  <w:style w:type="character" w:customStyle="1" w:styleId="CommentTextChar">
    <w:name w:val="Comment Text Char"/>
    <w:basedOn w:val="DefaultParagraphFont"/>
    <w:link w:val="CommentText"/>
    <w:uiPriority w:val="99"/>
    <w:semiHidden/>
    <w:rsid w:val="00D97BC3"/>
    <w:rPr>
      <w:rFonts w:ascii="Arial" w:hAnsi="Arial"/>
      <w:color w:val="414141"/>
      <w:sz w:val="20"/>
      <w:szCs w:val="20"/>
      <w:lang w:val="en-US"/>
    </w:rPr>
  </w:style>
  <w:style w:type="paragraph" w:styleId="CommentSubject">
    <w:name w:val="annotation subject"/>
    <w:basedOn w:val="CommentText"/>
    <w:next w:val="CommentText"/>
    <w:link w:val="CommentSubjectChar"/>
    <w:uiPriority w:val="99"/>
    <w:semiHidden/>
    <w:unhideWhenUsed/>
    <w:rsid w:val="00D97BC3"/>
    <w:rPr>
      <w:b/>
      <w:bCs/>
    </w:rPr>
  </w:style>
  <w:style w:type="character" w:customStyle="1" w:styleId="CommentSubjectChar">
    <w:name w:val="Comment Subject Char"/>
    <w:basedOn w:val="CommentTextChar"/>
    <w:link w:val="CommentSubject"/>
    <w:uiPriority w:val="99"/>
    <w:semiHidden/>
    <w:rsid w:val="00D97BC3"/>
    <w:rPr>
      <w:rFonts w:ascii="Arial" w:hAnsi="Arial"/>
      <w:b/>
      <w:bCs/>
      <w:color w:val="414141"/>
      <w:sz w:val="20"/>
      <w:szCs w:val="20"/>
      <w:lang w:val="en-US"/>
    </w:rPr>
  </w:style>
  <w:style w:type="paragraph" w:styleId="Revision">
    <w:name w:val="Revision"/>
    <w:hidden/>
    <w:uiPriority w:val="99"/>
    <w:semiHidden/>
    <w:rsid w:val="009646CF"/>
    <w:pPr>
      <w:spacing w:after="0" w:line="240" w:lineRule="auto"/>
    </w:pPr>
    <w:rPr>
      <w:rFonts w:ascii="Arial" w:hAnsi="Arial"/>
      <w:color w:val="414141"/>
      <w:sz w:val="20"/>
      <w:lang w:val="en-GB"/>
    </w:rPr>
  </w:style>
  <w:style w:type="paragraph" w:customStyle="1" w:styleId="CPDocTitle">
    <w:name w:val="CPDocTitle"/>
    <w:basedOn w:val="BodyText"/>
    <w:qFormat/>
    <w:rsid w:val="00D97BC3"/>
    <w:pPr>
      <w:ind w:left="1440" w:right="1440"/>
    </w:pPr>
    <w:rPr>
      <w:sz w:val="18"/>
    </w:rPr>
  </w:style>
  <w:style w:type="paragraph" w:customStyle="1" w:styleId="CPDocSubTitle">
    <w:name w:val="CPDocSubTitle"/>
    <w:basedOn w:val="Normal"/>
    <w:qFormat/>
    <w:rsid w:val="00D97BC3"/>
    <w:pPr>
      <w:spacing w:before="480" w:after="360"/>
      <w:ind w:left="1440" w:right="1440"/>
    </w:pPr>
    <w:rPr>
      <w:b/>
      <w:sz w:val="52"/>
    </w:rPr>
  </w:style>
  <w:style w:type="paragraph" w:customStyle="1" w:styleId="DocumentCode">
    <w:name w:val="DocumentCode"/>
    <w:basedOn w:val="VersionReleaseNumber"/>
    <w:qFormat/>
    <w:rsid w:val="00D97BC3"/>
    <w:pPr>
      <w:ind w:left="1440"/>
    </w:pPr>
    <w:rPr>
      <w:sz w:val="18"/>
    </w:rPr>
  </w:style>
  <w:style w:type="paragraph" w:customStyle="1" w:styleId="ProductName">
    <w:name w:val="Product Name"/>
    <w:qFormat/>
    <w:rsid w:val="00D97BC3"/>
    <w:pPr>
      <w:tabs>
        <w:tab w:val="right" w:pos="6480"/>
      </w:tabs>
      <w:spacing w:after="120" w:line="240" w:lineRule="auto"/>
      <w:ind w:left="446" w:right="3989"/>
    </w:pPr>
    <w:rPr>
      <w:rFonts w:ascii="Arial" w:hAnsi="Arial"/>
      <w:color w:val="414141"/>
      <w:sz w:val="24"/>
      <w:szCs w:val="32"/>
      <w:lang w:val="en-US"/>
    </w:rPr>
  </w:style>
  <w:style w:type="paragraph" w:customStyle="1" w:styleId="CopyRightHeader">
    <w:name w:val="CopyRightHeader"/>
    <w:basedOn w:val="Normal"/>
    <w:qFormat/>
    <w:rsid w:val="00D97BC3"/>
    <w:pPr>
      <w:spacing w:before="240" w:after="360"/>
    </w:pPr>
    <w:rPr>
      <w:sz w:val="28"/>
    </w:rPr>
  </w:style>
  <w:style w:type="paragraph" w:customStyle="1" w:styleId="CopyRightText">
    <w:name w:val="CopyRightText"/>
    <w:basedOn w:val="Normal"/>
    <w:qFormat/>
    <w:rsid w:val="00D97BC3"/>
    <w:pPr>
      <w:spacing w:before="120"/>
    </w:pPr>
    <w:rPr>
      <w:sz w:val="18"/>
    </w:rPr>
  </w:style>
  <w:style w:type="character" w:customStyle="1" w:styleId="Heading7Char">
    <w:name w:val="Heading 7 Char"/>
    <w:basedOn w:val="DefaultParagraphFont"/>
    <w:link w:val="Heading7"/>
    <w:uiPriority w:val="9"/>
    <w:semiHidden/>
    <w:rsid w:val="00D97BC3"/>
    <w:rPr>
      <w:rFonts w:asciiTheme="majorHAnsi" w:eastAsiaTheme="majorEastAsia" w:hAnsiTheme="majorHAnsi" w:cstheme="majorBidi"/>
      <w:i/>
      <w:iCs/>
      <w:color w:val="243F60" w:themeColor="accent1" w:themeShade="7F"/>
      <w:sz w:val="20"/>
      <w:lang w:val="en-US"/>
    </w:rPr>
  </w:style>
  <w:style w:type="character" w:customStyle="1" w:styleId="Heading8Char">
    <w:name w:val="Heading 8 Char"/>
    <w:basedOn w:val="DefaultParagraphFont"/>
    <w:link w:val="Heading8"/>
    <w:uiPriority w:val="9"/>
    <w:semiHidden/>
    <w:rsid w:val="00D97BC3"/>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D97BC3"/>
    <w:rPr>
      <w:rFonts w:asciiTheme="majorHAnsi" w:eastAsiaTheme="majorEastAsia" w:hAnsiTheme="majorHAnsi" w:cstheme="majorBidi"/>
      <w:i/>
      <w:iCs/>
      <w:color w:val="272727" w:themeColor="text1" w:themeTint="D8"/>
      <w:sz w:val="21"/>
      <w:szCs w:val="21"/>
      <w:lang w:val="en-US"/>
    </w:rPr>
  </w:style>
  <w:style w:type="paragraph" w:customStyle="1" w:styleId="TOCHeader">
    <w:name w:val="TOCHeader"/>
    <w:basedOn w:val="Normal"/>
    <w:qFormat/>
    <w:rsid w:val="00D97BC3"/>
    <w:pPr>
      <w:spacing w:before="240" w:after="600"/>
    </w:pPr>
    <w:rPr>
      <w:caps/>
      <w:color w:val="C137A2"/>
      <w:sz w:val="36"/>
    </w:rPr>
  </w:style>
  <w:style w:type="paragraph" w:customStyle="1" w:styleId="BodyText">
    <w:name w:val="BodyText"/>
    <w:basedOn w:val="Normal"/>
    <w:qFormat/>
    <w:rsid w:val="00D97BC3"/>
  </w:style>
  <w:style w:type="paragraph" w:customStyle="1" w:styleId="BodyTextIndent1">
    <w:name w:val="BodyTextIndent1"/>
    <w:basedOn w:val="BodyText"/>
    <w:qFormat/>
    <w:rsid w:val="00D97BC3"/>
    <w:pPr>
      <w:ind w:left="360"/>
    </w:pPr>
  </w:style>
  <w:style w:type="paragraph" w:customStyle="1" w:styleId="BodyTextIndent2">
    <w:name w:val="BodyTextIndent2"/>
    <w:basedOn w:val="BodyTextIndent1"/>
    <w:qFormat/>
    <w:rsid w:val="00D97BC3"/>
    <w:pPr>
      <w:ind w:left="720"/>
    </w:pPr>
  </w:style>
  <w:style w:type="paragraph" w:customStyle="1" w:styleId="BodyTextIndent3">
    <w:name w:val="BodyTextIndent3"/>
    <w:basedOn w:val="BodyTextIndent1"/>
    <w:qFormat/>
    <w:rsid w:val="00D97BC3"/>
    <w:pPr>
      <w:ind w:left="1080"/>
    </w:pPr>
  </w:style>
  <w:style w:type="paragraph" w:customStyle="1" w:styleId="BulletLevel1">
    <w:name w:val="BulletLevel1"/>
    <w:basedOn w:val="BodyText"/>
    <w:qFormat/>
    <w:rsid w:val="00D97BC3"/>
    <w:pPr>
      <w:numPr>
        <w:numId w:val="1"/>
      </w:numPr>
      <w:tabs>
        <w:tab w:val="left" w:pos="360"/>
      </w:tabs>
      <w:spacing w:before="60" w:after="80"/>
      <w:ind w:left="360"/>
    </w:pPr>
  </w:style>
  <w:style w:type="paragraph" w:customStyle="1" w:styleId="BulletLevel2">
    <w:name w:val="BulletLevel2"/>
    <w:basedOn w:val="BulletLevel1"/>
    <w:qFormat/>
    <w:rsid w:val="00D97BC3"/>
    <w:pPr>
      <w:numPr>
        <w:numId w:val="2"/>
      </w:numPr>
      <w:tabs>
        <w:tab w:val="clear" w:pos="360"/>
        <w:tab w:val="left" w:pos="720"/>
      </w:tabs>
      <w:ind w:left="720"/>
    </w:pPr>
  </w:style>
  <w:style w:type="paragraph" w:customStyle="1" w:styleId="BulletLevel3">
    <w:name w:val="BulletLevel3"/>
    <w:basedOn w:val="BulletLevel1"/>
    <w:qFormat/>
    <w:rsid w:val="00D97BC3"/>
    <w:pPr>
      <w:numPr>
        <w:numId w:val="3"/>
      </w:numPr>
      <w:tabs>
        <w:tab w:val="clear" w:pos="360"/>
        <w:tab w:val="left" w:pos="1080"/>
      </w:tabs>
      <w:ind w:left="1080"/>
    </w:pPr>
  </w:style>
  <w:style w:type="paragraph" w:customStyle="1" w:styleId="NumBulletLevel1">
    <w:name w:val="NumBulletLevel1"/>
    <w:basedOn w:val="BodyText"/>
    <w:qFormat/>
    <w:rsid w:val="00D97BC3"/>
    <w:pPr>
      <w:numPr>
        <w:numId w:val="4"/>
      </w:numPr>
      <w:tabs>
        <w:tab w:val="left" w:pos="360"/>
      </w:tabs>
      <w:spacing w:before="60" w:after="80"/>
      <w:ind w:left="360"/>
    </w:pPr>
  </w:style>
  <w:style w:type="paragraph" w:customStyle="1" w:styleId="NumBulletLevel2">
    <w:name w:val="NumBulletLevel2"/>
    <w:basedOn w:val="NumBulletLevel1"/>
    <w:qFormat/>
    <w:rsid w:val="00D97BC3"/>
    <w:pPr>
      <w:numPr>
        <w:numId w:val="5"/>
      </w:numPr>
      <w:tabs>
        <w:tab w:val="clear" w:pos="360"/>
        <w:tab w:val="left" w:pos="720"/>
      </w:tabs>
      <w:ind w:left="720"/>
    </w:pPr>
  </w:style>
  <w:style w:type="paragraph" w:customStyle="1" w:styleId="NumBulletLevel3">
    <w:name w:val="NumBulletLevel3"/>
    <w:basedOn w:val="NumBulletLevel1"/>
    <w:qFormat/>
    <w:rsid w:val="00D97BC3"/>
    <w:pPr>
      <w:numPr>
        <w:numId w:val="6"/>
      </w:numPr>
      <w:tabs>
        <w:tab w:val="clear" w:pos="360"/>
        <w:tab w:val="left" w:pos="1080"/>
      </w:tabs>
      <w:ind w:left="1080"/>
    </w:pPr>
  </w:style>
  <w:style w:type="paragraph" w:customStyle="1" w:styleId="PrefaceHeader">
    <w:name w:val="PrefaceHeader"/>
    <w:basedOn w:val="Heading1"/>
    <w:qFormat/>
    <w:rsid w:val="00136479"/>
    <w:pPr>
      <w:spacing w:before="960" w:after="960"/>
    </w:pPr>
    <w:rPr>
      <w:bCs w:val="0"/>
      <w:spacing w:val="32"/>
      <w:sz w:val="36"/>
    </w:rPr>
  </w:style>
  <w:style w:type="paragraph" w:customStyle="1" w:styleId="XML1">
    <w:name w:val="XML1"/>
    <w:basedOn w:val="BodyText"/>
    <w:qFormat/>
    <w:rsid w:val="00D97BC3"/>
    <w:pPr>
      <w:spacing w:before="60" w:after="60"/>
    </w:pPr>
    <w:rPr>
      <w:rFonts w:ascii="Courier New" w:hAnsi="Courier New"/>
      <w:color w:val="0000CC"/>
      <w:sz w:val="18"/>
    </w:rPr>
  </w:style>
  <w:style w:type="paragraph" w:customStyle="1" w:styleId="CodeSnippet">
    <w:name w:val="CodeSnippet"/>
    <w:basedOn w:val="Normal"/>
    <w:qFormat/>
    <w:rsid w:val="00D97BC3"/>
    <w:pPr>
      <w:spacing w:before="60" w:after="60"/>
    </w:pPr>
    <w:rPr>
      <w:rFonts w:ascii="Courier New" w:hAnsi="Courier New"/>
      <w:sz w:val="18"/>
    </w:rPr>
  </w:style>
  <w:style w:type="character" w:customStyle="1" w:styleId="CodeInLine">
    <w:name w:val="CodeInLine"/>
    <w:basedOn w:val="DefaultParagraphFont"/>
    <w:uiPriority w:val="1"/>
    <w:qFormat/>
    <w:rsid w:val="00D97BC3"/>
    <w:rPr>
      <w:rFonts w:ascii="Courier New" w:hAnsi="Courier New"/>
      <w:sz w:val="18"/>
    </w:rPr>
  </w:style>
  <w:style w:type="character" w:customStyle="1" w:styleId="FileNameInLine">
    <w:name w:val="FileNameInLine"/>
    <w:basedOn w:val="DefaultParagraphFont"/>
    <w:uiPriority w:val="1"/>
    <w:qFormat/>
    <w:rsid w:val="00D97BC3"/>
    <w:rPr>
      <w:rFonts w:ascii="Courier New" w:hAnsi="Courier New"/>
      <w:color w:val="943634" w:themeColor="accent2" w:themeShade="BF"/>
      <w:sz w:val="18"/>
    </w:rPr>
  </w:style>
  <w:style w:type="character" w:customStyle="1" w:styleId="XMLValue">
    <w:name w:val="XMLValue"/>
    <w:basedOn w:val="DefaultParagraphFont"/>
    <w:uiPriority w:val="1"/>
    <w:qFormat/>
    <w:rsid w:val="00D97BC3"/>
    <w:rPr>
      <w:rFonts w:ascii="Courier New" w:hAnsi="Courier New"/>
      <w:color w:val="008000"/>
      <w:sz w:val="18"/>
    </w:rPr>
  </w:style>
  <w:style w:type="character" w:customStyle="1" w:styleId="TableTextBold">
    <w:name w:val="TableTextBold"/>
    <w:basedOn w:val="DefaultParagraphFont"/>
    <w:uiPriority w:val="1"/>
    <w:qFormat/>
    <w:rsid w:val="00D97BC3"/>
    <w:rPr>
      <w:rFonts w:ascii="Arial" w:hAnsi="Arial"/>
      <w:b/>
      <w:sz w:val="18"/>
    </w:rPr>
  </w:style>
  <w:style w:type="paragraph" w:customStyle="1" w:styleId="TableHead">
    <w:name w:val="TableHead"/>
    <w:basedOn w:val="BodyText"/>
    <w:qFormat/>
    <w:rsid w:val="00D97BC3"/>
    <w:pPr>
      <w:spacing w:before="60" w:after="80"/>
    </w:pPr>
    <w:rPr>
      <w:color w:val="FFFFFF" w:themeColor="background1"/>
      <w:sz w:val="18"/>
    </w:rPr>
  </w:style>
  <w:style w:type="paragraph" w:customStyle="1" w:styleId="TableTextIndent1">
    <w:name w:val="TableTextIndent1"/>
    <w:basedOn w:val="BodyText"/>
    <w:qFormat/>
    <w:rsid w:val="00D97BC3"/>
    <w:pPr>
      <w:spacing w:before="60" w:after="80"/>
      <w:ind w:left="360"/>
    </w:pPr>
    <w:rPr>
      <w:sz w:val="18"/>
    </w:rPr>
  </w:style>
  <w:style w:type="paragraph" w:customStyle="1" w:styleId="TableTextIndent2">
    <w:name w:val="TableTextIndent2"/>
    <w:basedOn w:val="TableText"/>
    <w:rsid w:val="00D97BC3"/>
    <w:pPr>
      <w:ind w:left="720"/>
    </w:pPr>
  </w:style>
  <w:style w:type="paragraph" w:customStyle="1" w:styleId="TableBullet1">
    <w:name w:val="TableBullet1"/>
    <w:basedOn w:val="TableText"/>
    <w:qFormat/>
    <w:rsid w:val="00D97BC3"/>
    <w:pPr>
      <w:numPr>
        <w:numId w:val="7"/>
      </w:numPr>
      <w:tabs>
        <w:tab w:val="left" w:pos="360"/>
      </w:tabs>
      <w:ind w:left="360"/>
    </w:pPr>
  </w:style>
  <w:style w:type="paragraph" w:customStyle="1" w:styleId="TableBullet2">
    <w:name w:val="TableBullet2"/>
    <w:basedOn w:val="TableBullet1"/>
    <w:qFormat/>
    <w:rsid w:val="00D97BC3"/>
    <w:pPr>
      <w:numPr>
        <w:numId w:val="8"/>
      </w:numPr>
      <w:tabs>
        <w:tab w:val="clear" w:pos="360"/>
        <w:tab w:val="left" w:pos="720"/>
      </w:tabs>
    </w:pPr>
  </w:style>
  <w:style w:type="paragraph" w:customStyle="1" w:styleId="TableNumBullet1">
    <w:name w:val="TableNumBullet1"/>
    <w:basedOn w:val="TableBullet1"/>
    <w:qFormat/>
    <w:rsid w:val="00D97BC3"/>
    <w:pPr>
      <w:numPr>
        <w:numId w:val="9"/>
      </w:numPr>
      <w:ind w:left="360"/>
    </w:pPr>
  </w:style>
  <w:style w:type="paragraph" w:customStyle="1" w:styleId="TableNumBullet2">
    <w:name w:val="TableNumBullet2"/>
    <w:basedOn w:val="TableNumBullet1"/>
    <w:rsid w:val="00D97BC3"/>
    <w:pPr>
      <w:numPr>
        <w:numId w:val="10"/>
      </w:numPr>
      <w:tabs>
        <w:tab w:val="clear" w:pos="360"/>
        <w:tab w:val="left" w:pos="720"/>
      </w:tabs>
    </w:pPr>
  </w:style>
  <w:style w:type="paragraph" w:customStyle="1" w:styleId="TableCaption">
    <w:name w:val="TableCaption"/>
    <w:basedOn w:val="BodyText"/>
    <w:qFormat/>
    <w:rsid w:val="00D97BC3"/>
    <w:pPr>
      <w:numPr>
        <w:numId w:val="11"/>
      </w:numPr>
      <w:tabs>
        <w:tab w:val="left" w:pos="1080"/>
      </w:tabs>
      <w:spacing w:before="120" w:after="60"/>
      <w:ind w:hanging="1080"/>
      <w:jc w:val="center"/>
    </w:pPr>
    <w:rPr>
      <w:sz w:val="18"/>
    </w:rPr>
  </w:style>
  <w:style w:type="paragraph" w:customStyle="1" w:styleId="FigureCaption">
    <w:name w:val="FigureCaption"/>
    <w:basedOn w:val="BodyText"/>
    <w:qFormat/>
    <w:rsid w:val="00D97BC3"/>
    <w:pPr>
      <w:numPr>
        <w:numId w:val="12"/>
      </w:numPr>
      <w:pBdr>
        <w:top w:val="single" w:sz="4" w:space="4" w:color="7F7F7F" w:themeColor="text1" w:themeTint="80"/>
      </w:pBdr>
      <w:tabs>
        <w:tab w:val="left" w:pos="1080"/>
      </w:tabs>
      <w:spacing w:before="60"/>
      <w:ind w:left="1080" w:hanging="1080"/>
      <w:jc w:val="center"/>
    </w:pPr>
    <w:rPr>
      <w:sz w:val="18"/>
    </w:rPr>
  </w:style>
  <w:style w:type="character" w:customStyle="1" w:styleId="FolderPath">
    <w:name w:val="FolderPath"/>
    <w:basedOn w:val="DefaultParagraphFont"/>
    <w:uiPriority w:val="1"/>
    <w:qFormat/>
    <w:rsid w:val="00D97BC3"/>
    <w:rPr>
      <w:rFonts w:ascii="Courier New" w:hAnsi="Courier New"/>
      <w:i/>
      <w:sz w:val="18"/>
    </w:rPr>
  </w:style>
  <w:style w:type="paragraph" w:customStyle="1" w:styleId="VersionReleaseNumber">
    <w:name w:val="VersionReleaseNumber"/>
    <w:basedOn w:val="BodyText"/>
    <w:qFormat/>
    <w:rsid w:val="00D97BC3"/>
    <w:pPr>
      <w:spacing w:before="360"/>
    </w:pPr>
    <w:rPr>
      <w:sz w:val="24"/>
    </w:rPr>
  </w:style>
  <w:style w:type="character" w:customStyle="1" w:styleId="Bold">
    <w:name w:val="Bold"/>
    <w:basedOn w:val="DefaultParagraphFont"/>
    <w:uiPriority w:val="1"/>
    <w:qFormat/>
    <w:rsid w:val="00D97BC3"/>
    <w:rPr>
      <w:rFonts w:ascii="Arial" w:hAnsi="Arial"/>
      <w:b/>
      <w:color w:val="414141"/>
      <w:sz w:val="20"/>
    </w:rPr>
  </w:style>
  <w:style w:type="paragraph" w:customStyle="1" w:styleId="CodeSnippetLevel1">
    <w:name w:val="CodeSnippetLevel1"/>
    <w:basedOn w:val="CodeSnippet"/>
    <w:qFormat/>
    <w:rsid w:val="00D97BC3"/>
    <w:pPr>
      <w:ind w:left="360"/>
    </w:pPr>
  </w:style>
  <w:style w:type="paragraph" w:customStyle="1" w:styleId="CodeSnippetLevel2">
    <w:name w:val="CodeSnippetLevel2"/>
    <w:basedOn w:val="CodeSnippetLevel1"/>
    <w:qFormat/>
    <w:rsid w:val="00D97BC3"/>
    <w:pPr>
      <w:ind w:left="720"/>
    </w:pPr>
  </w:style>
  <w:style w:type="paragraph" w:customStyle="1" w:styleId="XML2">
    <w:name w:val="XML2"/>
    <w:basedOn w:val="XML1"/>
    <w:qFormat/>
    <w:rsid w:val="00D97BC3"/>
    <w:pPr>
      <w:ind w:left="360"/>
    </w:pPr>
  </w:style>
  <w:style w:type="paragraph" w:customStyle="1" w:styleId="XML3">
    <w:name w:val="XML3"/>
    <w:basedOn w:val="XML2"/>
    <w:qFormat/>
    <w:rsid w:val="00D97BC3"/>
    <w:pPr>
      <w:ind w:left="720"/>
    </w:pPr>
  </w:style>
  <w:style w:type="paragraph" w:customStyle="1" w:styleId="BodyTextFirstIndent1">
    <w:name w:val="BodyTextFirstIndent1"/>
    <w:basedOn w:val="BodyText"/>
    <w:next w:val="BodyText"/>
    <w:qFormat/>
    <w:rsid w:val="00D97BC3"/>
    <w:pPr>
      <w:spacing w:before="240"/>
      <w:ind w:left="360"/>
    </w:pPr>
  </w:style>
  <w:style w:type="paragraph" w:customStyle="1" w:styleId="ItalicCenter">
    <w:name w:val="ItalicCenter"/>
    <w:basedOn w:val="BodyText"/>
    <w:qFormat/>
    <w:rsid w:val="00D97BC3"/>
    <w:pPr>
      <w:jc w:val="center"/>
    </w:pPr>
    <w:rPr>
      <w:i/>
    </w:rPr>
  </w:style>
  <w:style w:type="character" w:customStyle="1" w:styleId="TableXML">
    <w:name w:val="TableXML"/>
    <w:basedOn w:val="DefaultParagraphFont"/>
    <w:uiPriority w:val="1"/>
    <w:qFormat/>
    <w:rsid w:val="00D97BC3"/>
    <w:rPr>
      <w:rFonts w:ascii="Courier New" w:hAnsi="Courier New"/>
      <w:color w:val="0033CC"/>
      <w:sz w:val="16"/>
    </w:rPr>
  </w:style>
  <w:style w:type="character" w:customStyle="1" w:styleId="TableTextItalic">
    <w:name w:val="TableTextItalic"/>
    <w:basedOn w:val="DefaultParagraphFont"/>
    <w:uiPriority w:val="1"/>
    <w:qFormat/>
    <w:rsid w:val="00D97BC3"/>
    <w:rPr>
      <w:i/>
    </w:rPr>
  </w:style>
  <w:style w:type="character" w:customStyle="1" w:styleId="TableFileName">
    <w:name w:val="TableFileName"/>
    <w:basedOn w:val="DefaultParagraphFont"/>
    <w:uiPriority w:val="1"/>
    <w:qFormat/>
    <w:rsid w:val="00D97BC3"/>
    <w:rPr>
      <w:rFonts w:ascii="Courier New" w:hAnsi="Courier New"/>
      <w:color w:val="943634" w:themeColor="accent2" w:themeShade="BF"/>
      <w:sz w:val="16"/>
    </w:rPr>
  </w:style>
  <w:style w:type="character" w:customStyle="1" w:styleId="TableCode">
    <w:name w:val="TableCode"/>
    <w:basedOn w:val="DefaultParagraphFont"/>
    <w:uiPriority w:val="1"/>
    <w:qFormat/>
    <w:rsid w:val="00D97BC3"/>
    <w:rPr>
      <w:rFonts w:ascii="Courier New" w:hAnsi="Courier New"/>
      <w:sz w:val="16"/>
    </w:rPr>
  </w:style>
  <w:style w:type="character" w:customStyle="1" w:styleId="TableFolderPath">
    <w:name w:val="TableFolderPath"/>
    <w:basedOn w:val="DefaultParagraphFont"/>
    <w:uiPriority w:val="1"/>
    <w:qFormat/>
    <w:rsid w:val="00D97BC3"/>
    <w:rPr>
      <w:rFonts w:ascii="Courier New" w:hAnsi="Courier New"/>
      <w:i/>
      <w:sz w:val="16"/>
    </w:rPr>
  </w:style>
  <w:style w:type="paragraph" w:customStyle="1" w:styleId="BodyTextFirstIndent2">
    <w:name w:val="BodyTextFirstIndent2"/>
    <w:basedOn w:val="BodyTextFirstIndent1"/>
    <w:next w:val="BodyText"/>
    <w:qFormat/>
    <w:rsid w:val="00D97BC3"/>
    <w:pPr>
      <w:ind w:left="720"/>
    </w:pPr>
  </w:style>
  <w:style w:type="paragraph" w:customStyle="1" w:styleId="BodyTextFirstIndent3">
    <w:name w:val="BodyTextFirstIndent3"/>
    <w:basedOn w:val="BodyTextFirstIndent1"/>
    <w:next w:val="BodyText"/>
    <w:qFormat/>
    <w:rsid w:val="00D97BC3"/>
    <w:pPr>
      <w:ind w:left="1080"/>
    </w:pPr>
  </w:style>
  <w:style w:type="paragraph" w:customStyle="1" w:styleId="Heading2TopOfPage">
    <w:name w:val="Heading 2_TopOfPage"/>
    <w:basedOn w:val="Heading2"/>
    <w:qFormat/>
    <w:rsid w:val="00D97BC3"/>
    <w:pPr>
      <w:pageBreakBefore/>
    </w:pPr>
  </w:style>
  <w:style w:type="paragraph" w:customStyle="1" w:styleId="Heading3TopOfPage">
    <w:name w:val="Heading 3_TopOfPage"/>
    <w:basedOn w:val="Heading3"/>
    <w:qFormat/>
    <w:rsid w:val="00D97BC3"/>
    <w:pPr>
      <w:pageBreakBefore/>
    </w:pPr>
  </w:style>
  <w:style w:type="paragraph" w:customStyle="1" w:styleId="Note1">
    <w:name w:val="Note1"/>
    <w:basedOn w:val="BodyText"/>
    <w:qFormat/>
    <w:rsid w:val="00D97BC3"/>
    <w:pPr>
      <w:numPr>
        <w:numId w:val="27"/>
      </w:numPr>
      <w:pBdr>
        <w:top w:val="single" w:sz="8" w:space="6" w:color="CB42AB"/>
        <w:bottom w:val="single" w:sz="8" w:space="6" w:color="CB42AB"/>
      </w:pBdr>
    </w:pPr>
  </w:style>
  <w:style w:type="paragraph" w:customStyle="1" w:styleId="Note2">
    <w:name w:val="Note2"/>
    <w:basedOn w:val="Note1"/>
    <w:qFormat/>
    <w:rsid w:val="00D97BC3"/>
    <w:pPr>
      <w:spacing w:before="120"/>
      <w:ind w:left="1080"/>
    </w:pPr>
  </w:style>
  <w:style w:type="paragraph" w:customStyle="1" w:styleId="Note3">
    <w:name w:val="Note3"/>
    <w:basedOn w:val="Note2"/>
    <w:qFormat/>
    <w:rsid w:val="00D97BC3"/>
    <w:pPr>
      <w:ind w:left="1440"/>
    </w:pPr>
  </w:style>
  <w:style w:type="paragraph" w:customStyle="1" w:styleId="TableNote">
    <w:name w:val="TableNote"/>
    <w:basedOn w:val="TableText"/>
    <w:next w:val="TableText"/>
    <w:qFormat/>
    <w:rsid w:val="00D97BC3"/>
    <w:pPr>
      <w:numPr>
        <w:numId w:val="13"/>
      </w:numPr>
      <w:spacing w:before="120" w:after="120"/>
    </w:pPr>
  </w:style>
  <w:style w:type="character" w:customStyle="1" w:styleId="HeaderItalic">
    <w:name w:val="HeaderItalic"/>
    <w:basedOn w:val="DefaultParagraphFont"/>
    <w:uiPriority w:val="1"/>
    <w:qFormat/>
    <w:rsid w:val="00D97BC3"/>
    <w:rPr>
      <w:i/>
    </w:rPr>
  </w:style>
  <w:style w:type="paragraph" w:customStyle="1" w:styleId="TableTextIndent3">
    <w:name w:val="TableTextIndent3"/>
    <w:basedOn w:val="TableTextIndent2"/>
    <w:qFormat/>
    <w:rsid w:val="00D97BC3"/>
    <w:pPr>
      <w:ind w:left="1080"/>
    </w:pPr>
  </w:style>
  <w:style w:type="paragraph" w:customStyle="1" w:styleId="TableBullet3">
    <w:name w:val="TableBullet3"/>
    <w:basedOn w:val="TableBullet2"/>
    <w:qFormat/>
    <w:rsid w:val="00D97BC3"/>
    <w:pPr>
      <w:numPr>
        <w:numId w:val="14"/>
      </w:numPr>
      <w:ind w:left="1080"/>
    </w:pPr>
  </w:style>
  <w:style w:type="paragraph" w:customStyle="1" w:styleId="TableNumBullet3">
    <w:name w:val="TableNumBullet3"/>
    <w:basedOn w:val="TableNumBullet2"/>
    <w:qFormat/>
    <w:rsid w:val="00D97BC3"/>
    <w:pPr>
      <w:numPr>
        <w:numId w:val="15"/>
      </w:numPr>
      <w:tabs>
        <w:tab w:val="clear" w:pos="720"/>
        <w:tab w:val="left" w:pos="1080"/>
      </w:tabs>
      <w:ind w:left="1080"/>
    </w:pPr>
  </w:style>
  <w:style w:type="paragraph" w:styleId="TOC4">
    <w:name w:val="toc 4"/>
    <w:basedOn w:val="Normal"/>
    <w:next w:val="Normal"/>
    <w:uiPriority w:val="39"/>
    <w:unhideWhenUsed/>
    <w:rsid w:val="00D97BC3"/>
    <w:pPr>
      <w:tabs>
        <w:tab w:val="right" w:leader="dot" w:pos="9016"/>
      </w:tabs>
      <w:ind w:left="720"/>
    </w:pPr>
    <w:rPr>
      <w:noProof/>
      <w:sz w:val="16"/>
    </w:rPr>
  </w:style>
  <w:style w:type="paragraph" w:customStyle="1" w:styleId="BodyTextFirst">
    <w:name w:val="BodyTextFirst"/>
    <w:basedOn w:val="BodyText"/>
    <w:next w:val="BodyText"/>
    <w:qFormat/>
    <w:rsid w:val="00D97BC3"/>
    <w:pPr>
      <w:spacing w:before="240"/>
    </w:pPr>
  </w:style>
  <w:style w:type="paragraph" w:customStyle="1" w:styleId="ChapterTitleInHeader">
    <w:name w:val="ChapterTitleInHeader"/>
    <w:basedOn w:val="BodyText"/>
    <w:qFormat/>
    <w:rsid w:val="00D97BC3"/>
    <w:pPr>
      <w:pBdr>
        <w:bottom w:val="single" w:sz="8" w:space="10" w:color="A6A6A6" w:themeColor="background1" w:themeShade="A6"/>
      </w:pBdr>
    </w:pPr>
    <w:rPr>
      <w:i/>
      <w:sz w:val="16"/>
    </w:rPr>
  </w:style>
  <w:style w:type="character" w:customStyle="1" w:styleId="XMLID">
    <w:name w:val="XMLID"/>
    <w:basedOn w:val="DefaultParagraphFont"/>
    <w:uiPriority w:val="1"/>
    <w:qFormat/>
    <w:rsid w:val="00D97BC3"/>
    <w:rPr>
      <w:rFonts w:ascii="Courier New" w:hAnsi="Courier New"/>
      <w:color w:val="943634" w:themeColor="accent2" w:themeShade="BF"/>
      <w:sz w:val="18"/>
    </w:rPr>
  </w:style>
  <w:style w:type="paragraph" w:customStyle="1" w:styleId="Figure">
    <w:name w:val="Figure"/>
    <w:basedOn w:val="BodyText"/>
    <w:qFormat/>
    <w:rsid w:val="00D97BC3"/>
    <w:pPr>
      <w:spacing w:after="360"/>
      <w:jc w:val="center"/>
    </w:pPr>
    <w:rPr>
      <w:b/>
    </w:rPr>
  </w:style>
  <w:style w:type="character" w:customStyle="1" w:styleId="XMLComment">
    <w:name w:val="XMLComment"/>
    <w:basedOn w:val="DefaultParagraphFont"/>
    <w:uiPriority w:val="1"/>
    <w:qFormat/>
    <w:rsid w:val="00D97BC3"/>
    <w:rPr>
      <w:rFonts w:ascii="Courier New" w:hAnsi="Courier New"/>
      <w:color w:val="6E6E6E"/>
      <w:sz w:val="18"/>
    </w:rPr>
  </w:style>
  <w:style w:type="character" w:styleId="UnresolvedMention">
    <w:name w:val="Unresolved Mention"/>
    <w:basedOn w:val="DefaultParagraphFont"/>
    <w:uiPriority w:val="99"/>
    <w:semiHidden/>
    <w:unhideWhenUsed/>
    <w:rsid w:val="00D97BC3"/>
    <w:rPr>
      <w:color w:val="808080"/>
      <w:shd w:val="clear" w:color="auto" w:fill="E6E6E6"/>
    </w:rPr>
  </w:style>
  <w:style w:type="paragraph" w:styleId="Bibliography">
    <w:name w:val="Bibliography"/>
    <w:basedOn w:val="Normal"/>
    <w:next w:val="Normal"/>
    <w:uiPriority w:val="37"/>
    <w:semiHidden/>
    <w:unhideWhenUsed/>
    <w:rsid w:val="00D97BC3"/>
  </w:style>
  <w:style w:type="paragraph" w:styleId="BlockText">
    <w:name w:val="Block Text"/>
    <w:basedOn w:val="Normal"/>
    <w:uiPriority w:val="99"/>
    <w:semiHidden/>
    <w:unhideWhenUsed/>
    <w:rsid w:val="00D97BC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uiPriority w:val="99"/>
    <w:semiHidden/>
    <w:unhideWhenUsed/>
    <w:rsid w:val="00D97BC3"/>
    <w:pPr>
      <w:spacing w:line="480" w:lineRule="auto"/>
    </w:pPr>
  </w:style>
  <w:style w:type="character" w:customStyle="1" w:styleId="BodyText2Char">
    <w:name w:val="Body Text 2 Char"/>
    <w:basedOn w:val="DefaultParagraphFont"/>
    <w:link w:val="BodyText2"/>
    <w:uiPriority w:val="99"/>
    <w:semiHidden/>
    <w:rsid w:val="00D97BC3"/>
    <w:rPr>
      <w:rFonts w:ascii="Arial" w:hAnsi="Arial"/>
      <w:color w:val="414141"/>
      <w:sz w:val="20"/>
      <w:lang w:val="en-US"/>
    </w:rPr>
  </w:style>
  <w:style w:type="paragraph" w:styleId="BodyText3">
    <w:name w:val="Body Text 3"/>
    <w:basedOn w:val="Normal"/>
    <w:link w:val="BodyText3Char"/>
    <w:uiPriority w:val="99"/>
    <w:semiHidden/>
    <w:unhideWhenUsed/>
    <w:rsid w:val="00D97BC3"/>
    <w:rPr>
      <w:sz w:val="16"/>
      <w:szCs w:val="16"/>
    </w:rPr>
  </w:style>
  <w:style w:type="character" w:customStyle="1" w:styleId="BodyText3Char">
    <w:name w:val="Body Text 3 Char"/>
    <w:basedOn w:val="DefaultParagraphFont"/>
    <w:link w:val="BodyText3"/>
    <w:uiPriority w:val="99"/>
    <w:semiHidden/>
    <w:rsid w:val="00D97BC3"/>
    <w:rPr>
      <w:rFonts w:ascii="Arial" w:hAnsi="Arial"/>
      <w:color w:val="414141"/>
      <w:sz w:val="16"/>
      <w:szCs w:val="16"/>
      <w:lang w:val="en-US"/>
    </w:rPr>
  </w:style>
  <w:style w:type="paragraph" w:styleId="BodyTextFirstIndent">
    <w:name w:val="Body Text First Indent"/>
    <w:basedOn w:val="BodyText0"/>
    <w:link w:val="BodyTextFirstIndentChar"/>
    <w:uiPriority w:val="99"/>
    <w:semiHidden/>
    <w:unhideWhenUsed/>
    <w:rsid w:val="00D97BC3"/>
    <w:pPr>
      <w:ind w:firstLine="360"/>
    </w:pPr>
  </w:style>
  <w:style w:type="character" w:customStyle="1" w:styleId="BodyTextFirstIndentChar">
    <w:name w:val="Body Text First Indent Char"/>
    <w:basedOn w:val="BodyTextChar"/>
    <w:link w:val="BodyTextFirstIndent"/>
    <w:uiPriority w:val="99"/>
    <w:semiHidden/>
    <w:rsid w:val="00D97BC3"/>
    <w:rPr>
      <w:rFonts w:ascii="Arial" w:hAnsi="Arial"/>
      <w:color w:val="414141"/>
      <w:sz w:val="20"/>
      <w:lang w:val="en-US"/>
    </w:rPr>
  </w:style>
  <w:style w:type="paragraph" w:styleId="BodyTextIndent">
    <w:name w:val="Body Text Indent"/>
    <w:basedOn w:val="Normal"/>
    <w:link w:val="BodyTextIndentChar"/>
    <w:uiPriority w:val="99"/>
    <w:semiHidden/>
    <w:unhideWhenUsed/>
    <w:rsid w:val="00D97BC3"/>
    <w:pPr>
      <w:ind w:left="360"/>
    </w:pPr>
  </w:style>
  <w:style w:type="character" w:customStyle="1" w:styleId="BodyTextIndentChar">
    <w:name w:val="Body Text Indent Char"/>
    <w:basedOn w:val="DefaultParagraphFont"/>
    <w:link w:val="BodyTextIndent"/>
    <w:uiPriority w:val="99"/>
    <w:semiHidden/>
    <w:rsid w:val="00D97BC3"/>
    <w:rPr>
      <w:rFonts w:ascii="Arial" w:hAnsi="Arial"/>
      <w:color w:val="414141"/>
      <w:sz w:val="20"/>
      <w:lang w:val="en-US"/>
    </w:rPr>
  </w:style>
  <w:style w:type="paragraph" w:styleId="BodyTextFirstIndent20">
    <w:name w:val="Body Text First Indent 2"/>
    <w:basedOn w:val="BodyTextIndent"/>
    <w:link w:val="BodyTextFirstIndent2Char"/>
    <w:uiPriority w:val="99"/>
    <w:semiHidden/>
    <w:unhideWhenUsed/>
    <w:rsid w:val="00D97BC3"/>
    <w:pPr>
      <w:ind w:firstLine="360"/>
    </w:pPr>
  </w:style>
  <w:style w:type="character" w:customStyle="1" w:styleId="BodyTextFirstIndent2Char">
    <w:name w:val="Body Text First Indent 2 Char"/>
    <w:basedOn w:val="BodyTextIndentChar"/>
    <w:link w:val="BodyTextFirstIndent20"/>
    <w:uiPriority w:val="99"/>
    <w:semiHidden/>
    <w:rsid w:val="00D97BC3"/>
    <w:rPr>
      <w:rFonts w:ascii="Arial" w:hAnsi="Arial"/>
      <w:color w:val="414141"/>
      <w:sz w:val="20"/>
      <w:lang w:val="en-US"/>
    </w:rPr>
  </w:style>
  <w:style w:type="paragraph" w:styleId="BodyTextIndent20">
    <w:name w:val="Body Text Indent 2"/>
    <w:basedOn w:val="Normal"/>
    <w:link w:val="BodyTextIndent2Char"/>
    <w:uiPriority w:val="99"/>
    <w:semiHidden/>
    <w:unhideWhenUsed/>
    <w:rsid w:val="00D97BC3"/>
    <w:pPr>
      <w:spacing w:line="480" w:lineRule="auto"/>
      <w:ind w:left="360"/>
    </w:pPr>
  </w:style>
  <w:style w:type="character" w:customStyle="1" w:styleId="BodyTextIndent2Char">
    <w:name w:val="Body Text Indent 2 Char"/>
    <w:basedOn w:val="DefaultParagraphFont"/>
    <w:link w:val="BodyTextIndent20"/>
    <w:uiPriority w:val="99"/>
    <w:semiHidden/>
    <w:rsid w:val="00D97BC3"/>
    <w:rPr>
      <w:rFonts w:ascii="Arial" w:hAnsi="Arial"/>
      <w:color w:val="414141"/>
      <w:sz w:val="20"/>
      <w:lang w:val="en-US"/>
    </w:rPr>
  </w:style>
  <w:style w:type="paragraph" w:styleId="BodyTextIndent30">
    <w:name w:val="Body Text Indent 3"/>
    <w:basedOn w:val="Normal"/>
    <w:link w:val="BodyTextIndent3Char"/>
    <w:uiPriority w:val="99"/>
    <w:semiHidden/>
    <w:unhideWhenUsed/>
    <w:rsid w:val="00D97BC3"/>
    <w:pPr>
      <w:ind w:left="360"/>
    </w:pPr>
    <w:rPr>
      <w:sz w:val="16"/>
      <w:szCs w:val="16"/>
    </w:rPr>
  </w:style>
  <w:style w:type="character" w:customStyle="1" w:styleId="BodyTextIndent3Char">
    <w:name w:val="Body Text Indent 3 Char"/>
    <w:basedOn w:val="DefaultParagraphFont"/>
    <w:link w:val="BodyTextIndent30"/>
    <w:uiPriority w:val="99"/>
    <w:semiHidden/>
    <w:rsid w:val="00D97BC3"/>
    <w:rPr>
      <w:rFonts w:ascii="Arial" w:hAnsi="Arial"/>
      <w:color w:val="414141"/>
      <w:sz w:val="16"/>
      <w:szCs w:val="16"/>
      <w:lang w:val="en-US"/>
    </w:rPr>
  </w:style>
  <w:style w:type="paragraph" w:styleId="Caption">
    <w:name w:val="caption"/>
    <w:basedOn w:val="Normal"/>
    <w:next w:val="Normal"/>
    <w:uiPriority w:val="35"/>
    <w:semiHidden/>
    <w:unhideWhenUsed/>
    <w:qFormat/>
    <w:rsid w:val="00D97BC3"/>
    <w:pPr>
      <w:spacing w:after="200"/>
    </w:pPr>
    <w:rPr>
      <w:i/>
      <w:iCs/>
      <w:color w:val="1F497D" w:themeColor="text2"/>
      <w:sz w:val="18"/>
      <w:szCs w:val="18"/>
    </w:rPr>
  </w:style>
  <w:style w:type="paragraph" w:styleId="Closing">
    <w:name w:val="Closing"/>
    <w:basedOn w:val="Normal"/>
    <w:link w:val="ClosingChar"/>
    <w:uiPriority w:val="99"/>
    <w:semiHidden/>
    <w:unhideWhenUsed/>
    <w:rsid w:val="00D97BC3"/>
    <w:pPr>
      <w:spacing w:after="0"/>
      <w:ind w:left="4320"/>
    </w:pPr>
  </w:style>
  <w:style w:type="character" w:customStyle="1" w:styleId="ClosingChar">
    <w:name w:val="Closing Char"/>
    <w:basedOn w:val="DefaultParagraphFont"/>
    <w:link w:val="Closing"/>
    <w:uiPriority w:val="99"/>
    <w:semiHidden/>
    <w:rsid w:val="00D97BC3"/>
    <w:rPr>
      <w:rFonts w:ascii="Arial" w:hAnsi="Arial"/>
      <w:color w:val="414141"/>
      <w:sz w:val="20"/>
      <w:lang w:val="en-US"/>
    </w:rPr>
  </w:style>
  <w:style w:type="paragraph" w:styleId="Date">
    <w:name w:val="Date"/>
    <w:basedOn w:val="Normal"/>
    <w:next w:val="Normal"/>
    <w:link w:val="DateChar"/>
    <w:uiPriority w:val="99"/>
    <w:semiHidden/>
    <w:unhideWhenUsed/>
    <w:rsid w:val="00D97BC3"/>
  </w:style>
  <w:style w:type="character" w:customStyle="1" w:styleId="DateChar">
    <w:name w:val="Date Char"/>
    <w:basedOn w:val="DefaultParagraphFont"/>
    <w:link w:val="Date"/>
    <w:uiPriority w:val="99"/>
    <w:semiHidden/>
    <w:rsid w:val="00D97BC3"/>
    <w:rPr>
      <w:rFonts w:ascii="Arial" w:hAnsi="Arial"/>
      <w:color w:val="414141"/>
      <w:sz w:val="20"/>
      <w:lang w:val="en-US"/>
    </w:rPr>
  </w:style>
  <w:style w:type="paragraph" w:styleId="DocumentMap">
    <w:name w:val="Document Map"/>
    <w:basedOn w:val="Normal"/>
    <w:link w:val="DocumentMapChar"/>
    <w:uiPriority w:val="99"/>
    <w:semiHidden/>
    <w:unhideWhenUsed/>
    <w:rsid w:val="00D97BC3"/>
    <w:pPr>
      <w:spacing w:after="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D97BC3"/>
    <w:rPr>
      <w:rFonts w:ascii="Segoe UI" w:hAnsi="Segoe UI" w:cs="Segoe UI"/>
      <w:color w:val="414141"/>
      <w:sz w:val="16"/>
      <w:szCs w:val="16"/>
      <w:lang w:val="en-US"/>
    </w:rPr>
  </w:style>
  <w:style w:type="paragraph" w:styleId="E-mailSignature">
    <w:name w:val="E-mail Signature"/>
    <w:basedOn w:val="Normal"/>
    <w:link w:val="E-mailSignatureChar"/>
    <w:uiPriority w:val="99"/>
    <w:semiHidden/>
    <w:unhideWhenUsed/>
    <w:rsid w:val="00D97BC3"/>
    <w:pPr>
      <w:spacing w:after="0"/>
    </w:pPr>
  </w:style>
  <w:style w:type="character" w:customStyle="1" w:styleId="E-mailSignatureChar">
    <w:name w:val="E-mail Signature Char"/>
    <w:basedOn w:val="DefaultParagraphFont"/>
    <w:link w:val="E-mailSignature"/>
    <w:uiPriority w:val="99"/>
    <w:semiHidden/>
    <w:rsid w:val="00D97BC3"/>
    <w:rPr>
      <w:rFonts w:ascii="Arial" w:hAnsi="Arial"/>
      <w:color w:val="414141"/>
      <w:sz w:val="20"/>
      <w:lang w:val="en-US"/>
    </w:rPr>
  </w:style>
  <w:style w:type="paragraph" w:styleId="EndnoteText">
    <w:name w:val="endnote text"/>
    <w:basedOn w:val="Normal"/>
    <w:link w:val="EndnoteTextChar"/>
    <w:uiPriority w:val="99"/>
    <w:semiHidden/>
    <w:unhideWhenUsed/>
    <w:rsid w:val="00D97BC3"/>
    <w:pPr>
      <w:spacing w:after="0"/>
    </w:pPr>
    <w:rPr>
      <w:szCs w:val="20"/>
    </w:rPr>
  </w:style>
  <w:style w:type="character" w:customStyle="1" w:styleId="EndnoteTextChar">
    <w:name w:val="Endnote Text Char"/>
    <w:basedOn w:val="DefaultParagraphFont"/>
    <w:link w:val="EndnoteText"/>
    <w:uiPriority w:val="99"/>
    <w:semiHidden/>
    <w:rsid w:val="00D97BC3"/>
    <w:rPr>
      <w:rFonts w:ascii="Arial" w:hAnsi="Arial"/>
      <w:color w:val="414141"/>
      <w:sz w:val="20"/>
      <w:szCs w:val="20"/>
      <w:lang w:val="en-US"/>
    </w:rPr>
  </w:style>
  <w:style w:type="paragraph" w:styleId="EnvelopeAddress">
    <w:name w:val="envelope address"/>
    <w:basedOn w:val="Normal"/>
    <w:uiPriority w:val="99"/>
    <w:semiHidden/>
    <w:unhideWhenUsed/>
    <w:rsid w:val="00D97BC3"/>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97BC3"/>
    <w:pPr>
      <w:spacing w:after="0"/>
    </w:pPr>
    <w:rPr>
      <w:rFonts w:asciiTheme="majorHAnsi" w:eastAsiaTheme="majorEastAsia" w:hAnsiTheme="majorHAnsi" w:cstheme="majorBidi"/>
      <w:szCs w:val="20"/>
    </w:rPr>
  </w:style>
  <w:style w:type="paragraph" w:styleId="HTMLAddress">
    <w:name w:val="HTML Address"/>
    <w:basedOn w:val="Normal"/>
    <w:link w:val="HTMLAddressChar"/>
    <w:uiPriority w:val="99"/>
    <w:semiHidden/>
    <w:unhideWhenUsed/>
    <w:rsid w:val="00D97BC3"/>
    <w:pPr>
      <w:spacing w:after="0"/>
    </w:pPr>
    <w:rPr>
      <w:i/>
      <w:iCs/>
    </w:rPr>
  </w:style>
  <w:style w:type="character" w:customStyle="1" w:styleId="HTMLAddressChar">
    <w:name w:val="HTML Address Char"/>
    <w:basedOn w:val="DefaultParagraphFont"/>
    <w:link w:val="HTMLAddress"/>
    <w:uiPriority w:val="99"/>
    <w:semiHidden/>
    <w:rsid w:val="00D97BC3"/>
    <w:rPr>
      <w:rFonts w:ascii="Arial" w:hAnsi="Arial"/>
      <w:i/>
      <w:iCs/>
      <w:color w:val="414141"/>
      <w:sz w:val="20"/>
      <w:lang w:val="en-US"/>
    </w:rPr>
  </w:style>
  <w:style w:type="paragraph" w:styleId="HTMLPreformatted">
    <w:name w:val="HTML Preformatted"/>
    <w:basedOn w:val="Normal"/>
    <w:link w:val="HTMLPreformattedChar"/>
    <w:uiPriority w:val="99"/>
    <w:semiHidden/>
    <w:unhideWhenUsed/>
    <w:rsid w:val="00D97BC3"/>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D97BC3"/>
    <w:rPr>
      <w:rFonts w:ascii="Consolas" w:hAnsi="Consolas"/>
      <w:color w:val="414141"/>
      <w:sz w:val="20"/>
      <w:szCs w:val="20"/>
      <w:lang w:val="en-US"/>
    </w:rPr>
  </w:style>
  <w:style w:type="paragraph" w:styleId="Index1">
    <w:name w:val="index 1"/>
    <w:basedOn w:val="Normal"/>
    <w:next w:val="Normal"/>
    <w:uiPriority w:val="99"/>
    <w:semiHidden/>
    <w:unhideWhenUsed/>
    <w:rsid w:val="00D97BC3"/>
    <w:pPr>
      <w:spacing w:after="0"/>
      <w:ind w:left="200" w:hanging="200"/>
    </w:pPr>
  </w:style>
  <w:style w:type="paragraph" w:styleId="Index2">
    <w:name w:val="index 2"/>
    <w:basedOn w:val="Normal"/>
    <w:next w:val="Normal"/>
    <w:uiPriority w:val="99"/>
    <w:semiHidden/>
    <w:unhideWhenUsed/>
    <w:rsid w:val="00D97BC3"/>
    <w:pPr>
      <w:spacing w:after="0"/>
      <w:ind w:left="400" w:hanging="200"/>
    </w:pPr>
  </w:style>
  <w:style w:type="paragraph" w:styleId="Index3">
    <w:name w:val="index 3"/>
    <w:basedOn w:val="Normal"/>
    <w:next w:val="Normal"/>
    <w:uiPriority w:val="99"/>
    <w:semiHidden/>
    <w:unhideWhenUsed/>
    <w:rsid w:val="00D97BC3"/>
    <w:pPr>
      <w:spacing w:after="0"/>
      <w:ind w:left="600" w:hanging="200"/>
    </w:pPr>
  </w:style>
  <w:style w:type="paragraph" w:styleId="Index4">
    <w:name w:val="index 4"/>
    <w:basedOn w:val="Normal"/>
    <w:next w:val="Normal"/>
    <w:uiPriority w:val="99"/>
    <w:semiHidden/>
    <w:unhideWhenUsed/>
    <w:rsid w:val="00D97BC3"/>
    <w:pPr>
      <w:spacing w:after="0"/>
      <w:ind w:left="800" w:hanging="200"/>
    </w:pPr>
  </w:style>
  <w:style w:type="paragraph" w:styleId="Index5">
    <w:name w:val="index 5"/>
    <w:basedOn w:val="Normal"/>
    <w:next w:val="Normal"/>
    <w:uiPriority w:val="99"/>
    <w:semiHidden/>
    <w:unhideWhenUsed/>
    <w:rsid w:val="00D97BC3"/>
    <w:pPr>
      <w:spacing w:after="0"/>
      <w:ind w:left="1000" w:hanging="200"/>
    </w:pPr>
  </w:style>
  <w:style w:type="paragraph" w:styleId="Index6">
    <w:name w:val="index 6"/>
    <w:basedOn w:val="Normal"/>
    <w:next w:val="Normal"/>
    <w:uiPriority w:val="99"/>
    <w:semiHidden/>
    <w:unhideWhenUsed/>
    <w:rsid w:val="00D97BC3"/>
    <w:pPr>
      <w:spacing w:after="0"/>
      <w:ind w:left="1200" w:hanging="200"/>
    </w:pPr>
  </w:style>
  <w:style w:type="paragraph" w:styleId="Index7">
    <w:name w:val="index 7"/>
    <w:basedOn w:val="Normal"/>
    <w:next w:val="Normal"/>
    <w:uiPriority w:val="99"/>
    <w:semiHidden/>
    <w:unhideWhenUsed/>
    <w:rsid w:val="00D97BC3"/>
    <w:pPr>
      <w:spacing w:after="0"/>
      <w:ind w:left="1400" w:hanging="200"/>
    </w:pPr>
  </w:style>
  <w:style w:type="paragraph" w:styleId="Index8">
    <w:name w:val="index 8"/>
    <w:basedOn w:val="Normal"/>
    <w:next w:val="Normal"/>
    <w:uiPriority w:val="99"/>
    <w:semiHidden/>
    <w:unhideWhenUsed/>
    <w:rsid w:val="00D97BC3"/>
    <w:pPr>
      <w:spacing w:after="0"/>
      <w:ind w:left="1600" w:hanging="200"/>
    </w:pPr>
  </w:style>
  <w:style w:type="paragraph" w:styleId="Index9">
    <w:name w:val="index 9"/>
    <w:basedOn w:val="Normal"/>
    <w:next w:val="Normal"/>
    <w:uiPriority w:val="99"/>
    <w:semiHidden/>
    <w:unhideWhenUsed/>
    <w:rsid w:val="00D97BC3"/>
    <w:pPr>
      <w:spacing w:after="0"/>
      <w:ind w:left="1800" w:hanging="200"/>
    </w:pPr>
  </w:style>
  <w:style w:type="paragraph" w:styleId="IndexHeading">
    <w:name w:val="index heading"/>
    <w:basedOn w:val="Normal"/>
    <w:next w:val="Index1"/>
    <w:uiPriority w:val="99"/>
    <w:semiHidden/>
    <w:unhideWhenUsed/>
    <w:rsid w:val="00D97BC3"/>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D97BC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97BC3"/>
    <w:rPr>
      <w:rFonts w:ascii="Arial" w:hAnsi="Arial"/>
      <w:i/>
      <w:iCs/>
      <w:color w:val="4F81BD" w:themeColor="accent1"/>
      <w:sz w:val="20"/>
      <w:lang w:val="en-US"/>
    </w:rPr>
  </w:style>
  <w:style w:type="paragraph" w:styleId="List">
    <w:name w:val="List"/>
    <w:basedOn w:val="Normal"/>
    <w:uiPriority w:val="99"/>
    <w:semiHidden/>
    <w:unhideWhenUsed/>
    <w:rsid w:val="00D97BC3"/>
    <w:pPr>
      <w:ind w:left="360" w:hanging="360"/>
      <w:contextualSpacing/>
    </w:pPr>
  </w:style>
  <w:style w:type="paragraph" w:styleId="List2">
    <w:name w:val="List 2"/>
    <w:basedOn w:val="Normal"/>
    <w:uiPriority w:val="99"/>
    <w:semiHidden/>
    <w:unhideWhenUsed/>
    <w:rsid w:val="00D97BC3"/>
    <w:pPr>
      <w:ind w:left="720" w:hanging="360"/>
      <w:contextualSpacing/>
    </w:pPr>
  </w:style>
  <w:style w:type="paragraph" w:styleId="List3">
    <w:name w:val="List 3"/>
    <w:basedOn w:val="Normal"/>
    <w:uiPriority w:val="99"/>
    <w:semiHidden/>
    <w:unhideWhenUsed/>
    <w:rsid w:val="00D97BC3"/>
    <w:pPr>
      <w:ind w:left="1080" w:hanging="360"/>
      <w:contextualSpacing/>
    </w:pPr>
  </w:style>
  <w:style w:type="paragraph" w:styleId="List4">
    <w:name w:val="List 4"/>
    <w:basedOn w:val="Normal"/>
    <w:uiPriority w:val="99"/>
    <w:semiHidden/>
    <w:unhideWhenUsed/>
    <w:rsid w:val="00D97BC3"/>
    <w:pPr>
      <w:ind w:left="1440" w:hanging="360"/>
      <w:contextualSpacing/>
    </w:pPr>
  </w:style>
  <w:style w:type="paragraph" w:styleId="List5">
    <w:name w:val="List 5"/>
    <w:basedOn w:val="Normal"/>
    <w:uiPriority w:val="99"/>
    <w:semiHidden/>
    <w:unhideWhenUsed/>
    <w:rsid w:val="00D97BC3"/>
    <w:pPr>
      <w:ind w:left="1800" w:hanging="360"/>
      <w:contextualSpacing/>
    </w:pPr>
  </w:style>
  <w:style w:type="paragraph" w:styleId="ListBullet2">
    <w:name w:val="List Bullet 2"/>
    <w:basedOn w:val="Normal"/>
    <w:uiPriority w:val="99"/>
    <w:semiHidden/>
    <w:unhideWhenUsed/>
    <w:rsid w:val="00D97BC3"/>
    <w:pPr>
      <w:numPr>
        <w:numId w:val="19"/>
      </w:numPr>
      <w:contextualSpacing/>
    </w:pPr>
  </w:style>
  <w:style w:type="paragraph" w:styleId="ListBullet3">
    <w:name w:val="List Bullet 3"/>
    <w:basedOn w:val="Normal"/>
    <w:uiPriority w:val="99"/>
    <w:semiHidden/>
    <w:unhideWhenUsed/>
    <w:rsid w:val="00D97BC3"/>
    <w:pPr>
      <w:numPr>
        <w:numId w:val="20"/>
      </w:numPr>
      <w:contextualSpacing/>
    </w:pPr>
  </w:style>
  <w:style w:type="paragraph" w:styleId="ListBullet4">
    <w:name w:val="List Bullet 4"/>
    <w:basedOn w:val="Normal"/>
    <w:uiPriority w:val="99"/>
    <w:semiHidden/>
    <w:unhideWhenUsed/>
    <w:rsid w:val="00D97BC3"/>
    <w:pPr>
      <w:numPr>
        <w:numId w:val="21"/>
      </w:numPr>
      <w:contextualSpacing/>
    </w:pPr>
  </w:style>
  <w:style w:type="paragraph" w:styleId="ListBullet5">
    <w:name w:val="List Bullet 5"/>
    <w:basedOn w:val="Normal"/>
    <w:uiPriority w:val="99"/>
    <w:semiHidden/>
    <w:unhideWhenUsed/>
    <w:rsid w:val="00D97BC3"/>
    <w:pPr>
      <w:numPr>
        <w:numId w:val="22"/>
      </w:numPr>
      <w:contextualSpacing/>
    </w:pPr>
  </w:style>
  <w:style w:type="paragraph" w:styleId="ListContinue">
    <w:name w:val="List Continue"/>
    <w:basedOn w:val="Normal"/>
    <w:uiPriority w:val="99"/>
    <w:semiHidden/>
    <w:unhideWhenUsed/>
    <w:rsid w:val="00D97BC3"/>
    <w:pPr>
      <w:ind w:left="360"/>
      <w:contextualSpacing/>
    </w:pPr>
  </w:style>
  <w:style w:type="paragraph" w:styleId="ListContinue2">
    <w:name w:val="List Continue 2"/>
    <w:basedOn w:val="Normal"/>
    <w:uiPriority w:val="99"/>
    <w:semiHidden/>
    <w:unhideWhenUsed/>
    <w:rsid w:val="00D97BC3"/>
    <w:pPr>
      <w:ind w:left="720"/>
      <w:contextualSpacing/>
    </w:pPr>
  </w:style>
  <w:style w:type="paragraph" w:styleId="ListContinue3">
    <w:name w:val="List Continue 3"/>
    <w:basedOn w:val="Normal"/>
    <w:uiPriority w:val="99"/>
    <w:semiHidden/>
    <w:unhideWhenUsed/>
    <w:rsid w:val="00D97BC3"/>
    <w:pPr>
      <w:ind w:left="1080"/>
      <w:contextualSpacing/>
    </w:pPr>
  </w:style>
  <w:style w:type="paragraph" w:styleId="ListContinue4">
    <w:name w:val="List Continue 4"/>
    <w:basedOn w:val="Normal"/>
    <w:uiPriority w:val="99"/>
    <w:semiHidden/>
    <w:unhideWhenUsed/>
    <w:rsid w:val="00D97BC3"/>
    <w:pPr>
      <w:ind w:left="1440"/>
      <w:contextualSpacing/>
    </w:pPr>
  </w:style>
  <w:style w:type="paragraph" w:styleId="ListContinue5">
    <w:name w:val="List Continue 5"/>
    <w:basedOn w:val="Normal"/>
    <w:uiPriority w:val="99"/>
    <w:semiHidden/>
    <w:unhideWhenUsed/>
    <w:rsid w:val="00D97BC3"/>
    <w:pPr>
      <w:ind w:left="1800"/>
      <w:contextualSpacing/>
    </w:pPr>
  </w:style>
  <w:style w:type="paragraph" w:styleId="ListNumber">
    <w:name w:val="List Number"/>
    <w:basedOn w:val="Normal"/>
    <w:uiPriority w:val="99"/>
    <w:semiHidden/>
    <w:unhideWhenUsed/>
    <w:rsid w:val="00D97BC3"/>
    <w:pPr>
      <w:numPr>
        <w:numId w:val="23"/>
      </w:numPr>
      <w:contextualSpacing/>
    </w:pPr>
  </w:style>
  <w:style w:type="paragraph" w:styleId="ListNumber2">
    <w:name w:val="List Number 2"/>
    <w:basedOn w:val="Normal"/>
    <w:uiPriority w:val="99"/>
    <w:semiHidden/>
    <w:unhideWhenUsed/>
    <w:rsid w:val="00D97BC3"/>
    <w:pPr>
      <w:numPr>
        <w:numId w:val="24"/>
      </w:numPr>
      <w:contextualSpacing/>
    </w:pPr>
  </w:style>
  <w:style w:type="paragraph" w:styleId="ListNumber3">
    <w:name w:val="List Number 3"/>
    <w:basedOn w:val="Normal"/>
    <w:uiPriority w:val="99"/>
    <w:semiHidden/>
    <w:unhideWhenUsed/>
    <w:rsid w:val="00D97BC3"/>
    <w:pPr>
      <w:numPr>
        <w:numId w:val="17"/>
      </w:numPr>
      <w:contextualSpacing/>
    </w:pPr>
  </w:style>
  <w:style w:type="paragraph" w:styleId="ListNumber4">
    <w:name w:val="List Number 4"/>
    <w:basedOn w:val="Normal"/>
    <w:uiPriority w:val="99"/>
    <w:semiHidden/>
    <w:unhideWhenUsed/>
    <w:rsid w:val="00D97BC3"/>
    <w:pPr>
      <w:numPr>
        <w:numId w:val="25"/>
      </w:numPr>
      <w:contextualSpacing/>
    </w:pPr>
  </w:style>
  <w:style w:type="paragraph" w:styleId="ListNumber5">
    <w:name w:val="List Number 5"/>
    <w:basedOn w:val="Normal"/>
    <w:uiPriority w:val="99"/>
    <w:semiHidden/>
    <w:unhideWhenUsed/>
    <w:rsid w:val="00D97BC3"/>
    <w:pPr>
      <w:numPr>
        <w:numId w:val="26"/>
      </w:numPr>
      <w:contextualSpacing/>
    </w:pPr>
  </w:style>
  <w:style w:type="paragraph" w:styleId="ListParagraph">
    <w:name w:val="List Paragraph"/>
    <w:basedOn w:val="Normal"/>
    <w:uiPriority w:val="34"/>
    <w:qFormat/>
    <w:rsid w:val="00D97BC3"/>
    <w:pPr>
      <w:ind w:left="720"/>
      <w:contextualSpacing/>
    </w:pPr>
  </w:style>
  <w:style w:type="paragraph" w:styleId="MacroText">
    <w:name w:val="macro"/>
    <w:link w:val="MacroTextChar"/>
    <w:uiPriority w:val="99"/>
    <w:semiHidden/>
    <w:unhideWhenUsed/>
    <w:rsid w:val="00D97BC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nsolas" w:hAnsi="Consolas"/>
      <w:color w:val="414141"/>
      <w:sz w:val="20"/>
      <w:szCs w:val="20"/>
      <w:lang w:val="en-US"/>
    </w:rPr>
  </w:style>
  <w:style w:type="character" w:customStyle="1" w:styleId="MacroTextChar">
    <w:name w:val="Macro Text Char"/>
    <w:basedOn w:val="DefaultParagraphFont"/>
    <w:link w:val="MacroText"/>
    <w:uiPriority w:val="99"/>
    <w:semiHidden/>
    <w:rsid w:val="00D97BC3"/>
    <w:rPr>
      <w:rFonts w:ascii="Consolas" w:hAnsi="Consolas"/>
      <w:color w:val="414141"/>
      <w:sz w:val="20"/>
      <w:szCs w:val="20"/>
      <w:lang w:val="en-US"/>
    </w:rPr>
  </w:style>
  <w:style w:type="paragraph" w:styleId="MessageHeader">
    <w:name w:val="Message Header"/>
    <w:basedOn w:val="Normal"/>
    <w:link w:val="MessageHeaderChar"/>
    <w:uiPriority w:val="99"/>
    <w:semiHidden/>
    <w:unhideWhenUsed/>
    <w:rsid w:val="00D97BC3"/>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97BC3"/>
    <w:rPr>
      <w:rFonts w:asciiTheme="majorHAnsi" w:eastAsiaTheme="majorEastAsia" w:hAnsiTheme="majorHAnsi" w:cstheme="majorBidi"/>
      <w:color w:val="414141"/>
      <w:sz w:val="24"/>
      <w:szCs w:val="24"/>
      <w:shd w:val="pct20" w:color="auto" w:fill="auto"/>
      <w:lang w:val="en-US"/>
    </w:rPr>
  </w:style>
  <w:style w:type="paragraph" w:styleId="NoSpacing">
    <w:name w:val="No Spacing"/>
    <w:link w:val="NoSpacingChar"/>
    <w:uiPriority w:val="1"/>
    <w:qFormat/>
    <w:rsid w:val="00D97BC3"/>
    <w:pPr>
      <w:spacing w:after="0" w:line="240" w:lineRule="auto"/>
    </w:pPr>
    <w:rPr>
      <w:rFonts w:ascii="Arial" w:hAnsi="Arial"/>
      <w:color w:val="414141"/>
      <w:sz w:val="20"/>
      <w:lang w:val="en-US"/>
    </w:rPr>
  </w:style>
  <w:style w:type="paragraph" w:styleId="NormalWeb">
    <w:name w:val="Normal (Web)"/>
    <w:basedOn w:val="Normal"/>
    <w:uiPriority w:val="99"/>
    <w:semiHidden/>
    <w:unhideWhenUsed/>
    <w:rsid w:val="00D97BC3"/>
    <w:rPr>
      <w:rFonts w:ascii="Times New Roman" w:hAnsi="Times New Roman" w:cs="Times New Roman"/>
      <w:sz w:val="24"/>
      <w:szCs w:val="24"/>
    </w:rPr>
  </w:style>
  <w:style w:type="paragraph" w:styleId="NormalIndent">
    <w:name w:val="Normal Indent"/>
    <w:basedOn w:val="Normal"/>
    <w:uiPriority w:val="99"/>
    <w:semiHidden/>
    <w:unhideWhenUsed/>
    <w:rsid w:val="00D97BC3"/>
    <w:pPr>
      <w:ind w:left="720"/>
    </w:pPr>
  </w:style>
  <w:style w:type="paragraph" w:styleId="NoteHeading">
    <w:name w:val="Note Heading"/>
    <w:basedOn w:val="Normal"/>
    <w:next w:val="Normal"/>
    <w:link w:val="NoteHeadingChar"/>
    <w:uiPriority w:val="99"/>
    <w:semiHidden/>
    <w:unhideWhenUsed/>
    <w:rsid w:val="00D97BC3"/>
    <w:pPr>
      <w:spacing w:after="0"/>
    </w:pPr>
  </w:style>
  <w:style w:type="character" w:customStyle="1" w:styleId="NoteHeadingChar">
    <w:name w:val="Note Heading Char"/>
    <w:basedOn w:val="DefaultParagraphFont"/>
    <w:link w:val="NoteHeading"/>
    <w:uiPriority w:val="99"/>
    <w:semiHidden/>
    <w:rsid w:val="00D97BC3"/>
    <w:rPr>
      <w:rFonts w:ascii="Arial" w:hAnsi="Arial"/>
      <w:color w:val="414141"/>
      <w:sz w:val="20"/>
      <w:lang w:val="en-US"/>
    </w:rPr>
  </w:style>
  <w:style w:type="paragraph" w:styleId="PlainText">
    <w:name w:val="Plain Text"/>
    <w:basedOn w:val="Normal"/>
    <w:link w:val="PlainTextChar"/>
    <w:uiPriority w:val="99"/>
    <w:semiHidden/>
    <w:unhideWhenUsed/>
    <w:rsid w:val="00D97BC3"/>
    <w:pPr>
      <w:spacing w:after="0"/>
    </w:pPr>
    <w:rPr>
      <w:rFonts w:ascii="Consolas" w:hAnsi="Consolas"/>
      <w:sz w:val="21"/>
      <w:szCs w:val="21"/>
    </w:rPr>
  </w:style>
  <w:style w:type="character" w:customStyle="1" w:styleId="PlainTextChar">
    <w:name w:val="Plain Text Char"/>
    <w:basedOn w:val="DefaultParagraphFont"/>
    <w:link w:val="PlainText"/>
    <w:uiPriority w:val="99"/>
    <w:semiHidden/>
    <w:rsid w:val="00D97BC3"/>
    <w:rPr>
      <w:rFonts w:ascii="Consolas" w:hAnsi="Consolas"/>
      <w:color w:val="414141"/>
      <w:sz w:val="21"/>
      <w:szCs w:val="21"/>
      <w:lang w:val="en-US"/>
    </w:rPr>
  </w:style>
  <w:style w:type="paragraph" w:styleId="Quote">
    <w:name w:val="Quote"/>
    <w:basedOn w:val="Normal"/>
    <w:next w:val="Normal"/>
    <w:link w:val="QuoteChar"/>
    <w:uiPriority w:val="29"/>
    <w:qFormat/>
    <w:rsid w:val="00D97BC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97BC3"/>
    <w:rPr>
      <w:rFonts w:ascii="Arial" w:hAnsi="Arial"/>
      <w:i/>
      <w:iCs/>
      <w:color w:val="404040" w:themeColor="text1" w:themeTint="BF"/>
      <w:sz w:val="20"/>
      <w:lang w:val="en-US"/>
    </w:rPr>
  </w:style>
  <w:style w:type="paragraph" w:styleId="Salutation">
    <w:name w:val="Salutation"/>
    <w:basedOn w:val="Normal"/>
    <w:next w:val="Normal"/>
    <w:link w:val="SalutationChar"/>
    <w:uiPriority w:val="99"/>
    <w:semiHidden/>
    <w:unhideWhenUsed/>
    <w:rsid w:val="00D97BC3"/>
  </w:style>
  <w:style w:type="character" w:customStyle="1" w:styleId="SalutationChar">
    <w:name w:val="Salutation Char"/>
    <w:basedOn w:val="DefaultParagraphFont"/>
    <w:link w:val="Salutation"/>
    <w:uiPriority w:val="99"/>
    <w:semiHidden/>
    <w:rsid w:val="00D97BC3"/>
    <w:rPr>
      <w:rFonts w:ascii="Arial" w:hAnsi="Arial"/>
      <w:color w:val="414141"/>
      <w:sz w:val="20"/>
      <w:lang w:val="en-US"/>
    </w:rPr>
  </w:style>
  <w:style w:type="paragraph" w:styleId="Signature">
    <w:name w:val="Signature"/>
    <w:basedOn w:val="Normal"/>
    <w:link w:val="SignatureChar"/>
    <w:uiPriority w:val="99"/>
    <w:semiHidden/>
    <w:unhideWhenUsed/>
    <w:rsid w:val="00D97BC3"/>
    <w:pPr>
      <w:spacing w:after="0"/>
      <w:ind w:left="4320"/>
    </w:pPr>
  </w:style>
  <w:style w:type="character" w:customStyle="1" w:styleId="SignatureChar">
    <w:name w:val="Signature Char"/>
    <w:basedOn w:val="DefaultParagraphFont"/>
    <w:link w:val="Signature"/>
    <w:uiPriority w:val="99"/>
    <w:semiHidden/>
    <w:rsid w:val="00D97BC3"/>
    <w:rPr>
      <w:rFonts w:ascii="Arial" w:hAnsi="Arial"/>
      <w:color w:val="414141"/>
      <w:sz w:val="20"/>
      <w:lang w:val="en-US"/>
    </w:rPr>
  </w:style>
  <w:style w:type="paragraph" w:styleId="Subtitle">
    <w:name w:val="Subtitle"/>
    <w:basedOn w:val="Normal"/>
    <w:next w:val="Normal"/>
    <w:link w:val="SubtitleChar"/>
    <w:uiPriority w:val="11"/>
    <w:unhideWhenUsed/>
    <w:qFormat/>
    <w:rsid w:val="00D97BC3"/>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D97BC3"/>
    <w:rPr>
      <w:rFonts w:eastAsiaTheme="minorEastAsia"/>
      <w:color w:val="5A5A5A" w:themeColor="text1" w:themeTint="A5"/>
      <w:spacing w:val="15"/>
      <w:lang w:val="en-US"/>
    </w:rPr>
  </w:style>
  <w:style w:type="paragraph" w:styleId="TableofAuthorities">
    <w:name w:val="table of authorities"/>
    <w:basedOn w:val="Normal"/>
    <w:next w:val="Normal"/>
    <w:uiPriority w:val="99"/>
    <w:semiHidden/>
    <w:unhideWhenUsed/>
    <w:rsid w:val="00D97BC3"/>
    <w:pPr>
      <w:spacing w:after="0"/>
      <w:ind w:left="200" w:hanging="200"/>
    </w:pPr>
  </w:style>
  <w:style w:type="paragraph" w:styleId="TableofFigures">
    <w:name w:val="table of figures"/>
    <w:basedOn w:val="Normal"/>
    <w:next w:val="Normal"/>
    <w:uiPriority w:val="99"/>
    <w:semiHidden/>
    <w:unhideWhenUsed/>
    <w:rsid w:val="00D97BC3"/>
    <w:pPr>
      <w:spacing w:after="0"/>
    </w:pPr>
  </w:style>
  <w:style w:type="paragraph" w:styleId="Title">
    <w:name w:val="Title"/>
    <w:basedOn w:val="Normal"/>
    <w:next w:val="Normal"/>
    <w:link w:val="TitleChar"/>
    <w:uiPriority w:val="10"/>
    <w:qFormat/>
    <w:rsid w:val="00D97BC3"/>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97BC3"/>
    <w:rPr>
      <w:rFonts w:asciiTheme="majorHAnsi" w:eastAsiaTheme="majorEastAsia" w:hAnsiTheme="majorHAnsi" w:cstheme="majorBidi"/>
      <w:spacing w:val="-10"/>
      <w:kern w:val="28"/>
      <w:sz w:val="56"/>
      <w:szCs w:val="56"/>
      <w:lang w:val="en-US"/>
    </w:rPr>
  </w:style>
  <w:style w:type="paragraph" w:styleId="TOAHeading">
    <w:name w:val="toa heading"/>
    <w:basedOn w:val="Normal"/>
    <w:next w:val="Normal"/>
    <w:uiPriority w:val="99"/>
    <w:semiHidden/>
    <w:unhideWhenUsed/>
    <w:rsid w:val="00D97BC3"/>
    <w:pPr>
      <w:spacing w:before="120"/>
    </w:pPr>
    <w:rPr>
      <w:rFonts w:asciiTheme="majorHAnsi" w:eastAsiaTheme="majorEastAsia" w:hAnsiTheme="majorHAnsi" w:cstheme="majorBidi"/>
      <w:b/>
      <w:bCs/>
      <w:sz w:val="24"/>
      <w:szCs w:val="24"/>
    </w:rPr>
  </w:style>
  <w:style w:type="paragraph" w:styleId="TOC5">
    <w:name w:val="toc 5"/>
    <w:basedOn w:val="Normal"/>
    <w:next w:val="Normal"/>
    <w:uiPriority w:val="39"/>
    <w:semiHidden/>
    <w:unhideWhenUsed/>
    <w:rsid w:val="00D97BC3"/>
    <w:pPr>
      <w:spacing w:after="100"/>
      <w:ind w:left="800"/>
    </w:pPr>
  </w:style>
  <w:style w:type="paragraph" w:styleId="TOC6">
    <w:name w:val="toc 6"/>
    <w:basedOn w:val="Normal"/>
    <w:next w:val="Normal"/>
    <w:uiPriority w:val="39"/>
    <w:semiHidden/>
    <w:unhideWhenUsed/>
    <w:rsid w:val="00D97BC3"/>
    <w:pPr>
      <w:spacing w:after="100"/>
      <w:ind w:left="1000"/>
    </w:pPr>
  </w:style>
  <w:style w:type="paragraph" w:styleId="TOC7">
    <w:name w:val="toc 7"/>
    <w:basedOn w:val="Normal"/>
    <w:next w:val="Normal"/>
    <w:uiPriority w:val="39"/>
    <w:semiHidden/>
    <w:unhideWhenUsed/>
    <w:rsid w:val="00D97BC3"/>
    <w:pPr>
      <w:spacing w:after="100"/>
      <w:ind w:left="1200"/>
    </w:pPr>
  </w:style>
  <w:style w:type="paragraph" w:styleId="TOC8">
    <w:name w:val="toc 8"/>
    <w:basedOn w:val="Normal"/>
    <w:next w:val="Normal"/>
    <w:uiPriority w:val="39"/>
    <w:semiHidden/>
    <w:unhideWhenUsed/>
    <w:rsid w:val="00D97BC3"/>
    <w:pPr>
      <w:spacing w:after="100"/>
      <w:ind w:left="1400"/>
    </w:pPr>
  </w:style>
  <w:style w:type="paragraph" w:styleId="TOC9">
    <w:name w:val="toc 9"/>
    <w:basedOn w:val="Normal"/>
    <w:next w:val="Normal"/>
    <w:uiPriority w:val="39"/>
    <w:semiHidden/>
    <w:unhideWhenUsed/>
    <w:rsid w:val="00D97BC3"/>
    <w:pPr>
      <w:spacing w:after="100"/>
      <w:ind w:left="1600"/>
    </w:pPr>
  </w:style>
  <w:style w:type="character" w:customStyle="1" w:styleId="OldPN">
    <w:name w:val="OldPN"/>
    <w:basedOn w:val="DefaultParagraphFont"/>
    <w:uiPriority w:val="1"/>
    <w:qFormat/>
    <w:rsid w:val="00D97BC3"/>
    <w:rPr>
      <w:rFonts w:ascii="Arial" w:hAnsi="Arial"/>
      <w:b/>
      <w:i/>
      <w:sz w:val="28"/>
    </w:rPr>
  </w:style>
  <w:style w:type="paragraph" w:customStyle="1" w:styleId="FinastraCoverTitle">
    <w:name w:val="Finastra Cover Title"/>
    <w:autoRedefine/>
    <w:qFormat/>
    <w:rsid w:val="001C5045"/>
    <w:pPr>
      <w:framePr w:hSpace="187" w:wrap="around" w:hAnchor="margin" w:x="-543" w:y="2881"/>
      <w:spacing w:line="240" w:lineRule="auto"/>
    </w:pPr>
    <w:rPr>
      <w:rFonts w:asciiTheme="majorHAnsi" w:eastAsiaTheme="majorEastAsia" w:hAnsiTheme="majorHAnsi" w:cstheme="majorBidi"/>
      <w:b/>
      <w:color w:val="1F497D" w:themeColor="text2"/>
      <w:sz w:val="60"/>
      <w:szCs w:val="60"/>
      <w:lang w:val="en-GB"/>
    </w:rPr>
  </w:style>
  <w:style w:type="paragraph" w:customStyle="1" w:styleId="FinastraCoverSubTitle">
    <w:name w:val="Finastra Cover Sub Title"/>
    <w:autoRedefine/>
    <w:qFormat/>
    <w:rsid w:val="001C5045"/>
    <w:pPr>
      <w:framePr w:hSpace="187" w:wrap="around" w:vAnchor="page" w:hAnchor="page" w:x="802" w:y="2734"/>
      <w:spacing w:line="240" w:lineRule="auto"/>
    </w:pPr>
    <w:rPr>
      <w:rFonts w:eastAsiaTheme="minorEastAsia"/>
      <w:color w:val="FFFFFF" w:themeColor="background1"/>
      <w:sz w:val="24"/>
      <w:szCs w:val="32"/>
      <w:lang w:val="en-GB"/>
    </w:rPr>
  </w:style>
  <w:style w:type="paragraph" w:customStyle="1" w:styleId="FinastraCoverFamilyProductname">
    <w:name w:val="Finastra Cover Family/Product name"/>
    <w:autoRedefine/>
    <w:qFormat/>
    <w:rsid w:val="001C5045"/>
    <w:pPr>
      <w:framePr w:hSpace="187" w:wrap="around" w:hAnchor="margin" w:x="-543" w:y="2881"/>
      <w:tabs>
        <w:tab w:val="left" w:pos="4020"/>
      </w:tabs>
      <w:spacing w:after="0" w:line="240" w:lineRule="auto"/>
    </w:pPr>
    <w:rPr>
      <w:rFonts w:eastAsiaTheme="minorEastAsia"/>
      <w:color w:val="1F497D" w:themeColor="text2"/>
      <w:sz w:val="24"/>
      <w:szCs w:val="24"/>
      <w:lang w:val="en-GB"/>
    </w:rPr>
  </w:style>
  <w:style w:type="character" w:customStyle="1" w:styleId="NoSpacingChar">
    <w:name w:val="No Spacing Char"/>
    <w:basedOn w:val="DefaultParagraphFont"/>
    <w:link w:val="NoSpacing"/>
    <w:uiPriority w:val="1"/>
    <w:rsid w:val="001C5045"/>
    <w:rPr>
      <w:rFonts w:ascii="Arial" w:hAnsi="Arial"/>
      <w:color w:val="414141"/>
      <w:sz w:val="20"/>
      <w:lang w:val="en-US"/>
    </w:rPr>
  </w:style>
  <w:style w:type="paragraph" w:customStyle="1" w:styleId="FinastraTextBody">
    <w:name w:val="Finastra Text: Body"/>
    <w:basedOn w:val="BodyText0"/>
    <w:qFormat/>
    <w:rsid w:val="0064720B"/>
    <w:pPr>
      <w:tabs>
        <w:tab w:val="left" w:pos="3680"/>
      </w:tabs>
      <w:spacing w:after="0"/>
    </w:pPr>
    <w:rPr>
      <w:rFonts w:cstheme="majorHAnsi"/>
      <w:noProof/>
      <w:color w:val="FFFFFF" w:themeColor="background1"/>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672737">
      <w:bodyDiv w:val="1"/>
      <w:marLeft w:val="0"/>
      <w:marRight w:val="0"/>
      <w:marTop w:val="0"/>
      <w:marBottom w:val="0"/>
      <w:divBdr>
        <w:top w:val="none" w:sz="0" w:space="0" w:color="auto"/>
        <w:left w:val="none" w:sz="0" w:space="0" w:color="auto"/>
        <w:bottom w:val="none" w:sz="0" w:space="0" w:color="auto"/>
        <w:right w:val="none" w:sz="0" w:space="0" w:color="auto"/>
      </w:divBdr>
    </w:div>
    <w:div w:id="1321619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Lupa_Documents\New%20Template\New%20Finastra%20Templates\Finastra_UM_A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0E4BBF3CA444045BEE14FFC0CC3540B" ma:contentTypeVersion="8" ma:contentTypeDescription="Create a new document." ma:contentTypeScope="" ma:versionID="354412f651a994f5962f7ab9980a178c">
  <xsd:schema xmlns:xsd="http://www.w3.org/2001/XMLSchema" xmlns:xs="http://www.w3.org/2001/XMLSchema" xmlns:p="http://schemas.microsoft.com/office/2006/metadata/properties" xmlns:ns2="a5357f7f-fcfd-4e78-8650-1861af5c3f44" targetNamespace="http://schemas.microsoft.com/office/2006/metadata/properties" ma:root="true" ma:fieldsID="5ddf04becc915652bbdc71a879e022b2" ns2:_="">
    <xsd:import namespace="a5357f7f-fcfd-4e78-8650-1861af5c3f4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357f7f-fcfd-4e78-8650-1861af5c3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5545CA-71B2-4199-ADC5-AFCB27C368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8E5EC3-0033-49C1-837C-530C82900E31}">
  <ds:schemaRefs>
    <ds:schemaRef ds:uri="http://schemas.microsoft.com/sharepoint/v3/contenttype/forms"/>
  </ds:schemaRefs>
</ds:datastoreItem>
</file>

<file path=customXml/itemProps3.xml><?xml version="1.0" encoding="utf-8"?>
<ds:datastoreItem xmlns:ds="http://schemas.openxmlformats.org/officeDocument/2006/customXml" ds:itemID="{1BB74A65-527F-41C9-8761-B61E69BBCB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357f7f-fcfd-4e78-8650-1861af5c3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F44D6C-BEC0-4727-B354-DB5B6BCFE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Finastra_UM_A4</Template>
  <TotalTime>86</TotalTime>
  <Pages>19</Pages>
  <Words>5986</Words>
  <Characters>34124</Characters>
  <Application>Microsoft Office Word</Application>
  <DocSecurity>0</DocSecurity>
  <Lines>284</Lines>
  <Paragraphs>80</Paragraphs>
  <ScaleCrop>false</ScaleCrop>
  <HeadingPairs>
    <vt:vector size="4" baseType="variant">
      <vt:variant>
        <vt:lpstr>Title</vt:lpstr>
      </vt:variant>
      <vt:variant>
        <vt:i4>1</vt:i4>
      </vt:variant>
      <vt:variant>
        <vt:lpstr>Headings</vt:lpstr>
      </vt:variant>
      <vt:variant>
        <vt:i4>69</vt:i4>
      </vt:variant>
    </vt:vector>
  </HeadingPairs>
  <TitlesOfParts>
    <vt:vector size="70" baseType="lpstr">
      <vt:lpstr>Documentation Overview</vt:lpstr>
      <vt:lpstr>Preface</vt:lpstr>
      <vt:lpstr>User Guides</vt:lpstr>
      <vt:lpstr>    Billing+ User Guide</vt:lpstr>
      <vt:lpstr>    Cash Letters User Guide</vt:lpstr>
      <vt:lpstr>    Clean Bankers Acceptances User Guide</vt:lpstr>
      <vt:lpstr>    Clean Payments User Guide</vt:lpstr>
      <vt:lpstr>    Collection Orders User Guide</vt:lpstr>
      <vt:lpstr>    Common Facilities User Guide</vt:lpstr>
      <vt:lpstr>    </vt:lpstr>
      <vt:lpstr>    Departmental Limits User Guide</vt:lpstr>
      <vt:lpstr>    Export Credit Agency Facilities User Guide</vt:lpstr>
      <vt:lpstr>    Export Letters of Credit User Guide</vt:lpstr>
      <vt:lpstr>    Export Standby Letters of Credit User Guide</vt:lpstr>
      <vt:lpstr>    Financing User Guide</vt:lpstr>
      <vt:lpstr>    Guarantees Issued User Guide</vt:lpstr>
      <vt:lpstr>    Guarantees Received User Guide</vt:lpstr>
      <vt:lpstr>    Import Letters of Credit User Guide</vt:lpstr>
      <vt:lpstr>    Import Standby Letters of Credit User Guide</vt:lpstr>
      <vt:lpstr>    Issued Undertaking User Guide</vt:lpstr>
      <vt:lpstr>    Licenses User Guide</vt:lpstr>
      <vt:lpstr>    Maker Checker User Guide</vt:lpstr>
      <vt:lpstr>    Participated Deals User Guide</vt:lpstr>
      <vt:lpstr>    Received Undertaking User Guide</vt:lpstr>
      <vt:lpstr>    Reimbursement Authorities User Guide</vt:lpstr>
      <vt:lpstr>    Shipping Guarantees User Guide</vt:lpstr>
      <vt:lpstr>    SLA Dashboard User Guide</vt:lpstr>
      <vt:lpstr>    Supply Chain Finance User Guide</vt:lpstr>
      <vt:lpstr>    Transfer Letters of Credit User Guide</vt:lpstr>
      <vt:lpstr>Trade Innovation System Documentation</vt:lpstr>
      <vt:lpstr>    Security Guide</vt:lpstr>
      <vt:lpstr>Set-up and Maintenance</vt:lpstr>
      <vt:lpstr>    Designing Customer Documents</vt:lpstr>
      <vt:lpstr>    Report Tailoring User Guide</vt:lpstr>
      <vt:lpstr>    Static Data Maintenance User Guide</vt:lpstr>
      <vt:lpstr>    System Tailoring User Guide</vt:lpstr>
      <vt:lpstr>    Workflow Tailoring User Guide</vt:lpstr>
      <vt:lpstr>Business Reference and Daily Operations Documentation</vt:lpstr>
      <vt:lpstr>    Business Operations Guide</vt:lpstr>
      <vt:lpstr>    Business Reference Guide</vt:lpstr>
      <vt:lpstr>    Global Processing Implementation Guide</vt:lpstr>
      <vt:lpstr>    Letters of Credit - SWIFT Message Mapping Guide</vt:lpstr>
      <vt:lpstr>    MT798 SCORE – Message Mapping Guide</vt:lpstr>
      <vt:lpstr>    Reports</vt:lpstr>
      <vt:lpstr>    SDK Workflow Implementation Guide</vt:lpstr>
      <vt:lpstr>    Undertakings - SWIFT Message Mapping Guide</vt:lpstr>
      <vt:lpstr>Technical Documents</vt:lpstr>
      <vt:lpstr>    Database Management and Upgrade Guide</vt:lpstr>
      <vt:lpstr>    Deployment Guide - JBoss EAP</vt:lpstr>
      <vt:lpstr>    Deployment Guide – WebLogic</vt:lpstr>
      <vt:lpstr>    Deployment Guide – WebSphere</vt:lpstr>
      <vt:lpstr>    Installation Guide</vt:lpstr>
      <vt:lpstr>    Legacy Upgrade Guide</vt:lpstr>
      <vt:lpstr>    MT798 SCORE Implementation Guide</vt:lpstr>
      <vt:lpstr>    SDK - Application Extension Guide</vt:lpstr>
      <vt:lpstr>    SDK – Common Facilities Guide</vt:lpstr>
      <vt:lpstr>    SDK – Data Management Guide</vt:lpstr>
      <vt:lpstr>    SDK – Screen Tailoring Guide</vt:lpstr>
      <vt:lpstr>    SDK – Systems Integration Guide</vt:lpstr>
      <vt:lpstr>    SDK – Systems Interfacing Guide</vt:lpstr>
      <vt:lpstr>Interface Guides</vt:lpstr>
      <vt:lpstr>    Corporate Channels Interface Guide - TICC Interface</vt:lpstr>
      <vt:lpstr>    DataStoreDSX Integration Overview – TIDSX Interface</vt:lpstr>
      <vt:lpstr>    Equation Interface Guide – TIEQ Interface</vt:lpstr>
      <vt:lpstr>    Revenue Management Interface Guide – TIFRM Interface</vt:lpstr>
      <vt:lpstr>    Firco Continuity Integration Overview – TIFI Interface</vt:lpstr>
      <vt:lpstr>    Firco Continuity Interface Guide – TIFI Interface</vt:lpstr>
      <vt:lpstr>    Insight Interface Guide – TIFBI Interface</vt:lpstr>
      <vt:lpstr>    Loan IQ Interface Guide – TILIQ Interface</vt:lpstr>
      <vt:lpstr>Release Notes</vt:lpstr>
    </vt:vector>
  </TitlesOfParts>
  <Company>Finastra</Company>
  <LinksUpToDate>false</LinksUpToDate>
  <CharactersWithSpaces>40030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Overview</dc:title>
  <dc:creator>Finastra Technical Publications</dc:creator>
  <cp:lastModifiedBy>Dutta, Lupamudra</cp:lastModifiedBy>
  <cp:revision>16</cp:revision>
  <cp:lastPrinted>2017-03-25T10:22:00Z</cp:lastPrinted>
  <dcterms:created xsi:type="dcterms:W3CDTF">2020-05-14T15:11:00Z</dcterms:created>
  <dcterms:modified xsi:type="dcterms:W3CDTF">2024-05-27T10:43:00Z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vt:lpwstr>TRADE INNOVATION</vt:lpwstr>
  </property>
  <property fmtid="{D5CDD505-2E9C-101B-9397-08002B2CF9AE}" pid="3" name="GuideName">
    <vt:lpwstr>Documentation Overview - Trade Innovation 2.10</vt:lpwstr>
  </property>
  <property fmtid="{D5CDD505-2E9C-101B-9397-08002B2CF9AE}" pid="4" name="ReleaseDate">
    <vt:lpwstr>April 2023</vt:lpwstr>
  </property>
  <property fmtid="{D5CDD505-2E9C-101B-9397-08002B2CF9AE}" pid="5" name="SWReleaseNumber">
    <vt:lpwstr>2.10</vt:lpwstr>
  </property>
  <property fmtid="{D5CDD505-2E9C-101B-9397-08002B2CF9AE}" pid="6" name="TICC">
    <vt:lpwstr>Trade Innovation Corporate Channels Interface</vt:lpwstr>
  </property>
  <property fmtid="{D5CDD505-2E9C-101B-9397-08002B2CF9AE}" pid="7" name="DocumentVersion">
    <vt:lpwstr>Version 1.0</vt:lpwstr>
  </property>
  <property fmtid="{D5CDD505-2E9C-101B-9397-08002B2CF9AE}" pid="8" name="FTI">
    <vt:lpwstr>Fusion Trade Innovation</vt:lpwstr>
  </property>
  <property fmtid="{D5CDD505-2E9C-101B-9397-08002B2CF9AE}" pid="9" name="FCC">
    <vt:lpwstr>Fusion Corporate Channels</vt:lpwstr>
  </property>
  <property fmtid="{D5CDD505-2E9C-101B-9397-08002B2CF9AE}" pid="10" name="ProductVersion">
    <vt:lpwstr>2.10</vt:lpwstr>
  </property>
  <property fmtid="{D5CDD505-2E9C-101B-9397-08002B2CF9AE}" pid="11" name="ContentTypeId">
    <vt:lpwstr>0x01010070E4BBF3CA444045BEE14FFC0CC3540B</vt:lpwstr>
  </property>
</Properties>
</file>