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561E" w14:textId="77777777" w:rsidR="009F6996" w:rsidRPr="00EF22E8" w:rsidRDefault="009F6996" w:rsidP="00BE36FC">
      <w:pPr>
        <w:pStyle w:val="ChapterTitle"/>
        <w:rPr>
          <w:lang w:val="en-GB"/>
        </w:rPr>
      </w:pPr>
      <w:bookmarkStart w:id="0" w:name="_Toc317685601"/>
      <w:bookmarkStart w:id="1" w:name="_Toc373150692"/>
      <w:bookmarkStart w:id="2" w:name="_Toc387255681"/>
      <w:bookmarkStart w:id="3" w:name="_Toc388884991"/>
      <w:bookmarkStart w:id="4" w:name="_Toc389605376"/>
      <w:bookmarkStart w:id="5" w:name="_Toc389605811"/>
      <w:bookmarkStart w:id="6" w:name="_Toc390455720"/>
      <w:bookmarkStart w:id="7" w:name="_Toc390458492"/>
      <w:bookmarkStart w:id="8" w:name="_Toc390474489"/>
      <w:bookmarkStart w:id="9" w:name="_Toc390474589"/>
      <w:bookmarkStart w:id="10" w:name="_Toc390474657"/>
      <w:bookmarkStart w:id="11" w:name="_Toc390475309"/>
      <w:bookmarkStart w:id="12" w:name="_Toc166586271"/>
      <w:r w:rsidRPr="00EF22E8">
        <w:rPr>
          <w:lang w:val="en-GB"/>
        </w:rPr>
        <w:t>Preface</w:t>
      </w:r>
      <w:bookmarkEnd w:id="0"/>
      <w:bookmarkEnd w:id="1"/>
      <w:bookmarkEnd w:id="2"/>
      <w:bookmarkEnd w:id="3"/>
      <w:bookmarkEnd w:id="4"/>
      <w:bookmarkEnd w:id="5"/>
      <w:bookmarkEnd w:id="6"/>
      <w:bookmarkEnd w:id="7"/>
      <w:bookmarkEnd w:id="8"/>
      <w:bookmarkEnd w:id="9"/>
      <w:bookmarkEnd w:id="10"/>
      <w:bookmarkEnd w:id="11"/>
      <w:bookmarkEnd w:id="12"/>
    </w:p>
    <w:p w14:paraId="45F5783E" w14:textId="77777777" w:rsidR="009F6996" w:rsidRPr="00EF22E8" w:rsidRDefault="009F6996" w:rsidP="00441A26">
      <w:pPr>
        <w:pStyle w:val="BodyText"/>
      </w:pPr>
      <w:r w:rsidRPr="00EF22E8">
        <w:t xml:space="preserve">This User Guide explains how to use </w:t>
      </w:r>
      <w:r w:rsidR="00C56462" w:rsidRPr="00EF22E8">
        <w:t>the system</w:t>
      </w:r>
      <w:r w:rsidRPr="00EF22E8">
        <w:t xml:space="preserve"> to set up export credit agency facilities and process drawdowns against them. It assumes that you are familiar with the basic principles of trade finance relating to export credit agency facilities, and with web browsers.</w:t>
      </w:r>
    </w:p>
    <w:p w14:paraId="6F40141A" w14:textId="77777777" w:rsidR="009F6996" w:rsidRPr="00EF22E8" w:rsidRDefault="009F6996" w:rsidP="00EF22E8">
      <w:pPr>
        <w:pStyle w:val="Heading1"/>
      </w:pPr>
      <w:bookmarkStart w:id="13" w:name="_Toc317756639"/>
      <w:bookmarkStart w:id="14" w:name="_Toc331499932"/>
      <w:bookmarkStart w:id="15" w:name="_Toc390475312"/>
      <w:bookmarkStart w:id="16" w:name="_Toc411430709"/>
      <w:bookmarkStart w:id="17" w:name="_Ref473074294"/>
      <w:bookmarkStart w:id="18" w:name="_Ref57049754"/>
      <w:bookmarkStart w:id="19" w:name="_Toc166586275"/>
      <w:bookmarkStart w:id="20" w:name="_Toc317760111"/>
      <w:bookmarkStart w:id="21" w:name="_Toc368308675"/>
      <w:bookmarkStart w:id="22" w:name="_Toc390714439"/>
      <w:bookmarkStart w:id="23" w:name="_Toc332185726"/>
      <w:bookmarkStart w:id="24" w:name="_Toc332271170"/>
      <w:bookmarkStart w:id="25" w:name="_Toc320280508"/>
      <w:r w:rsidRPr="00EF22E8">
        <w:lastRenderedPageBreak/>
        <w:t>About Export Credit Agency Facilit</w:t>
      </w:r>
      <w:bookmarkEnd w:id="13"/>
      <w:bookmarkEnd w:id="14"/>
      <w:r w:rsidRPr="00EF22E8">
        <w:t>y</w:t>
      </w:r>
      <w:bookmarkEnd w:id="15"/>
      <w:bookmarkEnd w:id="16"/>
      <w:bookmarkEnd w:id="17"/>
      <w:bookmarkEnd w:id="18"/>
      <w:bookmarkEnd w:id="19"/>
    </w:p>
    <w:p w14:paraId="085026F4" w14:textId="2CA2D68E" w:rsidR="009F6996" w:rsidRPr="00EF22E8" w:rsidRDefault="00717F11" w:rsidP="00441A26">
      <w:pPr>
        <w:pStyle w:val="BodyText"/>
      </w:pPr>
      <w:bookmarkStart w:id="26" w:name="O_52808"/>
      <w:bookmarkEnd w:id="26"/>
      <w:r>
        <w:t>Trade Innovation</w:t>
      </w:r>
      <w:r w:rsidR="009F6996" w:rsidRPr="00EF22E8">
        <w:t xml:space="preserve"> supports </w:t>
      </w:r>
      <w:r w:rsidR="009F6996" w:rsidRPr="00EF22E8">
        <w:rPr>
          <w:rStyle w:val="Italic"/>
        </w:rPr>
        <w:t>export credit agency facilities</w:t>
      </w:r>
      <w:r w:rsidR="009F6996" w:rsidRPr="00EF22E8">
        <w:t xml:space="preserve">, whereby an </w:t>
      </w:r>
      <w:r w:rsidR="009F6996" w:rsidRPr="00EF22E8">
        <w:rPr>
          <w:rStyle w:val="Italic"/>
        </w:rPr>
        <w:t>export credit agency</w:t>
      </w:r>
      <w:r w:rsidR="009F6996" w:rsidRPr="00EF22E8">
        <w:t xml:space="preserve"> lodges funds with your bank for the purpose of providing short-term loans to </w:t>
      </w:r>
      <w:r w:rsidR="009F6996" w:rsidRPr="00EF22E8">
        <w:rPr>
          <w:rStyle w:val="Italic"/>
        </w:rPr>
        <w:t xml:space="preserve">exporters </w:t>
      </w:r>
      <w:r w:rsidR="009F6996" w:rsidRPr="00EF22E8">
        <w:t>who are customers of your bank.</w:t>
      </w:r>
    </w:p>
    <w:p w14:paraId="05F31BB6" w14:textId="77777777" w:rsidR="009F6996" w:rsidRPr="00EF22E8" w:rsidRDefault="009F6996" w:rsidP="00441A26">
      <w:pPr>
        <w:pStyle w:val="BodyText"/>
      </w:pPr>
      <w:r w:rsidRPr="00EF22E8">
        <w:t xml:space="preserve">Each such </w:t>
      </w:r>
      <w:proofErr w:type="spellStart"/>
      <w:r w:rsidRPr="00EF22E8">
        <w:t>lodgement</w:t>
      </w:r>
      <w:proofErr w:type="spellEnd"/>
      <w:r w:rsidRPr="00EF22E8">
        <w:t xml:space="preserve"> of funds is recorded in </w:t>
      </w:r>
      <w:r w:rsidR="00C56462" w:rsidRPr="00EF22E8">
        <w:t xml:space="preserve">the system </w:t>
      </w:r>
      <w:r w:rsidRPr="00EF22E8">
        <w:t xml:space="preserve">using a single product - the Export Credit Agency Facility product. Your bank can distinguish between different types of export credit agency facilities by setting up </w:t>
      </w:r>
      <w:r w:rsidRPr="00EF22E8">
        <w:rPr>
          <w:rStyle w:val="Italic"/>
        </w:rPr>
        <w:t>product types</w:t>
      </w:r>
      <w:r w:rsidRPr="00EF22E8">
        <w:t xml:space="preserve"> for that purpose. </w:t>
      </w:r>
      <w:r w:rsidR="00C56462" w:rsidRPr="00EF22E8">
        <w:t>The</w:t>
      </w:r>
      <w:r w:rsidRPr="00EF22E8">
        <w:t xml:space="preserve"> rules facility can then be used to govern how a facility should be handled, depending on its product type.</w:t>
      </w:r>
    </w:p>
    <w:p w14:paraId="5A7ACA04" w14:textId="77777777" w:rsidR="009F6996" w:rsidRPr="00EF22E8" w:rsidRDefault="009F6996" w:rsidP="00441A26">
      <w:pPr>
        <w:pStyle w:val="BodyText"/>
      </w:pPr>
      <w:r w:rsidRPr="00EF22E8">
        <w:t xml:space="preserve">An export credit agency facility is set up for a specific customer following agreement with the export credit agency (also known as the </w:t>
      </w:r>
      <w:r w:rsidRPr="00EF22E8">
        <w:rPr>
          <w:rStyle w:val="Italic"/>
        </w:rPr>
        <w:t>funding party</w:t>
      </w:r>
      <w:r w:rsidRPr="00EF22E8">
        <w:t>).</w:t>
      </w:r>
    </w:p>
    <w:p w14:paraId="33A4DE6F" w14:textId="77777777" w:rsidR="009F6996" w:rsidRPr="00EF22E8" w:rsidRDefault="009F6996" w:rsidP="00441A26">
      <w:pPr>
        <w:pStyle w:val="BodyText"/>
      </w:pPr>
      <w:r w:rsidRPr="00EF22E8">
        <w:t xml:space="preserve">Loans against an export credit agency facility are handled using </w:t>
      </w:r>
      <w:r w:rsidRPr="00EF22E8">
        <w:rPr>
          <w:rStyle w:val="Italic"/>
        </w:rPr>
        <w:t>financing transactions</w:t>
      </w:r>
      <w:r w:rsidRPr="00EF22E8">
        <w:t>, which are linked to the relevant export credit agency facility. The facility can be set up before the financing tr</w:t>
      </w:r>
      <w:r w:rsidR="00770A33" w:rsidRPr="00EF22E8">
        <w:t>ansaction, or at the same time.</w:t>
      </w:r>
    </w:p>
    <w:p w14:paraId="56F62024" w14:textId="77777777" w:rsidR="009F6996" w:rsidRPr="00EF22E8" w:rsidRDefault="009F6996" w:rsidP="00441A26">
      <w:pPr>
        <w:pStyle w:val="BodyText"/>
      </w:pPr>
      <w:r w:rsidRPr="00EF22E8">
        <w:t>As a financing transaction is linked to a facility, the amount of the facility is reduced by an equivalent amount using an automatically generated Drawdown/Revolve Facility event.</w:t>
      </w:r>
    </w:p>
    <w:p w14:paraId="3B3BDA6C" w14:textId="77777777" w:rsidR="009F6996" w:rsidRPr="00EF22E8" w:rsidRDefault="009F6996" w:rsidP="00441A26">
      <w:pPr>
        <w:pStyle w:val="BodyText"/>
      </w:pPr>
      <w:r w:rsidRPr="00EF22E8">
        <w:t xml:space="preserve">The cost-of-funds interest payments due to export credit agencies are set up using </w:t>
      </w:r>
      <w:r w:rsidRPr="00EF22E8">
        <w:rPr>
          <w:rStyle w:val="Italic"/>
        </w:rPr>
        <w:t>interest types</w:t>
      </w:r>
      <w:r w:rsidRPr="00EF22E8">
        <w:t>, and the scheduled interest payments are calculated and made to the funding party either automatically according to the schedule or when a repayment is made against a linked financing transaction (this is determ</w:t>
      </w:r>
      <w:r w:rsidR="00287098" w:rsidRPr="00EF22E8">
        <w:t>ined by product type settings).</w:t>
      </w:r>
    </w:p>
    <w:p w14:paraId="023736CE" w14:textId="77777777" w:rsidR="009F6996" w:rsidRPr="00EF22E8" w:rsidRDefault="009F6996" w:rsidP="00441A26">
      <w:pPr>
        <w:pStyle w:val="BodyText"/>
      </w:pPr>
      <w:r w:rsidRPr="00EF22E8">
        <w:t>If regular automatic payments are used, overnight processing identifies when payment to facilities belonging to a particular product type are due, and generates a single payment per facility. Each payment includes interest across all the financing transactions linked to the relevant facility.</w:t>
      </w:r>
    </w:p>
    <w:p w14:paraId="1B3E40F3" w14:textId="77777777" w:rsidR="009F6996" w:rsidRPr="00EF22E8" w:rsidRDefault="009F6996" w:rsidP="00441A26">
      <w:pPr>
        <w:pStyle w:val="BodyText"/>
      </w:pPr>
      <w:r w:rsidRPr="00EF22E8">
        <w:t>An export credit agency facility can be blocked at any time by your bank (and subsequently unblocked) if required. This has no effect on financing transactions linked to the facility, but does prevent any further financing transactions from being linked to it.</w:t>
      </w:r>
    </w:p>
    <w:p w14:paraId="3E4E6207" w14:textId="77777777" w:rsidR="009F6996" w:rsidRPr="00EF22E8" w:rsidRDefault="009F6996" w:rsidP="00441A26">
      <w:pPr>
        <w:pStyle w:val="BodyText"/>
      </w:pPr>
      <w:r w:rsidRPr="00EF22E8">
        <w:t xml:space="preserve">This chapter provides an overview of how </w:t>
      </w:r>
      <w:r w:rsidR="00C56462" w:rsidRPr="00EF22E8">
        <w:t xml:space="preserve">the system </w:t>
      </w:r>
      <w:r w:rsidRPr="00EF22E8">
        <w:t>handles export credit agency facilities and introduces the terminology used in this Guide.</w:t>
      </w:r>
    </w:p>
    <w:p w14:paraId="6013766A" w14:textId="77777777" w:rsidR="009F6996" w:rsidRPr="00EF22E8" w:rsidRDefault="009F6996" w:rsidP="00EF22E8">
      <w:pPr>
        <w:pStyle w:val="Heading2"/>
      </w:pPr>
      <w:bookmarkStart w:id="27" w:name="O_52904"/>
      <w:bookmarkStart w:id="28" w:name="_Toc317756641"/>
      <w:bookmarkStart w:id="29" w:name="_Toc331499934"/>
      <w:bookmarkStart w:id="30" w:name="_Toc411430710"/>
      <w:bookmarkStart w:id="31" w:name="_Toc166586276"/>
      <w:bookmarkEnd w:id="27"/>
      <w:r w:rsidRPr="00EF22E8">
        <w:t>Revolving Export Credit Agency Facilities</w:t>
      </w:r>
      <w:bookmarkEnd w:id="28"/>
      <w:bookmarkEnd w:id="29"/>
      <w:bookmarkEnd w:id="30"/>
      <w:bookmarkEnd w:id="31"/>
    </w:p>
    <w:p w14:paraId="65B2B279" w14:textId="77777777" w:rsidR="009F6996" w:rsidRPr="00EF22E8" w:rsidRDefault="009F6996" w:rsidP="00441A26">
      <w:pPr>
        <w:pStyle w:val="BodyText"/>
      </w:pPr>
      <w:r w:rsidRPr="00EF22E8">
        <w:t xml:space="preserve">Export credit agency facilities can be </w:t>
      </w:r>
      <w:r w:rsidRPr="00EF22E8">
        <w:rPr>
          <w:rStyle w:val="Italic"/>
        </w:rPr>
        <w:t>revolving</w:t>
      </w:r>
      <w:r w:rsidRPr="00EF22E8">
        <w:t>. For a revolving export credit agency facility, as financing transactions are linked to the facility, the amount of the facility is reduced by an equivalent amount using an automatically generated Drawdown/Revolve Facility event in the standard way. In addition, an automatically generated Drawdown/Revolve Facility event is generated to increase the facility's available amount (up to the originally agreed total amount) whenever linked financing transactions are paid or expired. For example, if an export credit agency facility is agreed to a total value of 1,000,000 USD and it is linked to two financing transactions of 350,000 USD each, the amount available is reduced to 300,000 USD. If one of the linked financing transactions is subsequently paid off, the amount available against the export credit agency facility would stay at 300,000 USD if the facility is not revolving, but would rise to 650,000 USD if it is revolving.</w:t>
      </w:r>
    </w:p>
    <w:p w14:paraId="1375B05D" w14:textId="77777777" w:rsidR="00106DBA" w:rsidRPr="00EF22E8" w:rsidRDefault="00106DBA" w:rsidP="00441A26">
      <w:pPr>
        <w:pStyle w:val="BodyText"/>
      </w:pPr>
      <w:r w:rsidRPr="00EF22E8">
        <w:br w:type="page"/>
      </w:r>
    </w:p>
    <w:p w14:paraId="24FBA28C" w14:textId="77777777" w:rsidR="009F6996" w:rsidRPr="00EF22E8" w:rsidRDefault="009F6996" w:rsidP="00EF22E8">
      <w:pPr>
        <w:pStyle w:val="Heading2"/>
      </w:pPr>
      <w:bookmarkStart w:id="32" w:name="O_52636"/>
      <w:bookmarkStart w:id="33" w:name="_Toc317756642"/>
      <w:bookmarkStart w:id="34" w:name="_Toc331499935"/>
      <w:bookmarkStart w:id="35" w:name="_Toc411430711"/>
      <w:bookmarkStart w:id="36" w:name="_Toc166586277"/>
      <w:bookmarkEnd w:id="32"/>
      <w:r w:rsidRPr="00EF22E8">
        <w:lastRenderedPageBreak/>
        <w:t>Financing Transactions Used with Export Credit Agency Facilities</w:t>
      </w:r>
      <w:bookmarkEnd w:id="33"/>
      <w:bookmarkEnd w:id="34"/>
      <w:bookmarkEnd w:id="35"/>
      <w:bookmarkEnd w:id="36"/>
    </w:p>
    <w:p w14:paraId="6497A8A1" w14:textId="77777777" w:rsidR="009F6996" w:rsidRPr="00EF22E8" w:rsidRDefault="009F6996" w:rsidP="00441A26">
      <w:pPr>
        <w:pStyle w:val="BodyText"/>
      </w:pPr>
      <w:r w:rsidRPr="00EF22E8">
        <w:t>The following financing products can be linked to an export credit agency facility:</w:t>
      </w:r>
    </w:p>
    <w:p w14:paraId="292D052D" w14:textId="77777777" w:rsidR="009F6996" w:rsidRPr="00EF22E8" w:rsidRDefault="009F6996" w:rsidP="00997F43">
      <w:pPr>
        <w:pStyle w:val="BulletLevel1"/>
      </w:pPr>
      <w:r w:rsidRPr="00EF22E8">
        <w:t>Finance Standalone</w:t>
      </w:r>
    </w:p>
    <w:p w14:paraId="3F2C5D46" w14:textId="77777777" w:rsidR="009F6996" w:rsidRPr="00EF22E8" w:rsidRDefault="009F6996" w:rsidP="00997F43">
      <w:pPr>
        <w:pStyle w:val="BulletLevel1"/>
      </w:pPr>
      <w:r w:rsidRPr="00EF22E8">
        <w:t>Finance Export LC (for export letters of credit, guarantees and standby letters of credit)</w:t>
      </w:r>
    </w:p>
    <w:p w14:paraId="24031CAD" w14:textId="77777777" w:rsidR="009F6996" w:rsidRPr="00EF22E8" w:rsidRDefault="009F6996" w:rsidP="00997F43">
      <w:pPr>
        <w:pStyle w:val="BulletLevel1"/>
      </w:pPr>
      <w:r w:rsidRPr="00EF22E8">
        <w:t>Finance Outward Collection</w:t>
      </w:r>
    </w:p>
    <w:p w14:paraId="266FCEF3" w14:textId="2221C939" w:rsidR="009F6996" w:rsidRPr="00EF22E8" w:rsidRDefault="009F6996" w:rsidP="00441A26">
      <w:pPr>
        <w:pStyle w:val="BodyText"/>
      </w:pPr>
      <w:r w:rsidRPr="00EF22E8">
        <w:t xml:space="preserve">For more information on the different financing products see the </w:t>
      </w:r>
      <w:r w:rsidRPr="00EF22E8">
        <w:rPr>
          <w:rStyle w:val="Italic"/>
        </w:rPr>
        <w:t>Financing User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t>.</w:t>
      </w:r>
    </w:p>
    <w:p w14:paraId="2A62F94D" w14:textId="2ED6C68B" w:rsidR="009F6996" w:rsidRPr="00EF22E8" w:rsidRDefault="009F6996" w:rsidP="00EF22E8">
      <w:pPr>
        <w:pStyle w:val="Heading2"/>
      </w:pPr>
      <w:bookmarkStart w:id="37" w:name="_Toc317756643"/>
      <w:bookmarkStart w:id="38" w:name="_Toc331499936"/>
      <w:bookmarkStart w:id="39" w:name="_Toc390475313"/>
      <w:bookmarkStart w:id="40" w:name="_Toc411430712"/>
      <w:bookmarkStart w:id="41" w:name="_Toc166586278"/>
      <w:r w:rsidRPr="00EF22E8">
        <w:t xml:space="preserve">Using </w:t>
      </w:r>
      <w:r w:rsidR="00717F11">
        <w:t>Trade Innovation</w:t>
      </w:r>
      <w:r w:rsidRPr="00EF22E8">
        <w:t xml:space="preserve"> to Process Export Credit Agency Facilities</w:t>
      </w:r>
      <w:bookmarkEnd w:id="37"/>
      <w:bookmarkEnd w:id="38"/>
      <w:bookmarkEnd w:id="39"/>
      <w:bookmarkEnd w:id="40"/>
      <w:bookmarkEnd w:id="41"/>
    </w:p>
    <w:p w14:paraId="3202BB37" w14:textId="77777777" w:rsidR="009F6996" w:rsidRPr="00EF22E8" w:rsidRDefault="009F6996" w:rsidP="00441A26">
      <w:pPr>
        <w:pStyle w:val="BodyText"/>
      </w:pPr>
      <w:r w:rsidRPr="00EF22E8">
        <w:t xml:space="preserve">The table below list the events covered in this Guide, explaining what each event allows you to do. The table lists the names given to events when </w:t>
      </w:r>
      <w:r w:rsidR="00C56462" w:rsidRPr="00EF22E8">
        <w:t xml:space="preserve">the system </w:t>
      </w:r>
      <w:r w:rsidRPr="00EF22E8">
        <w:t xml:space="preserve">is delivered. Your bank can change these names once the system is installed. Consequently, the names in your version of </w:t>
      </w:r>
      <w:r w:rsidR="00C56462" w:rsidRPr="00EF22E8">
        <w:t xml:space="preserve">the system </w:t>
      </w:r>
      <w:r w:rsidRPr="00EF22E8">
        <w:t>may be different from the ones listed here.</w:t>
      </w:r>
    </w:p>
    <w:p w14:paraId="2DD50852" w14:textId="77777777" w:rsidR="009F6996" w:rsidRPr="00EF22E8" w:rsidRDefault="009F6996" w:rsidP="00441A26">
      <w:pPr>
        <w:pStyle w:val="BodyText"/>
      </w:pPr>
      <w:r w:rsidRPr="00EF22E8">
        <w:t>There are two names for each event:</w:t>
      </w:r>
    </w:p>
    <w:p w14:paraId="60ACF55F" w14:textId="77777777" w:rsidR="009F6996" w:rsidRPr="00EF22E8" w:rsidRDefault="009F6996" w:rsidP="00997F43">
      <w:pPr>
        <w:pStyle w:val="BulletLevel1"/>
      </w:pPr>
      <w:r w:rsidRPr="00EF22E8">
        <w:t>The full name, which is displayed when you choose a new event</w:t>
      </w:r>
    </w:p>
    <w:p w14:paraId="664E3791" w14:textId="77777777" w:rsidR="009F6996" w:rsidRPr="00EF22E8" w:rsidRDefault="009F6996" w:rsidP="00997F43">
      <w:pPr>
        <w:pStyle w:val="BulletLevel1"/>
      </w:pPr>
      <w:r w:rsidRPr="00EF22E8">
        <w:t>The short name, which is displayed in the Work in Progress pane of the Master Summary window</w:t>
      </w:r>
    </w:p>
    <w:p w14:paraId="61B6B1C1" w14:textId="77777777" w:rsidR="009F6996" w:rsidRPr="00EF22E8" w:rsidRDefault="009F6996" w:rsidP="00441A26">
      <w:pPr>
        <w:pStyle w:val="BodyText"/>
      </w:pPr>
      <w:r w:rsidRPr="00EF22E8">
        <w:t>This Guide uses the full name of each event, as delivered with the system.</w:t>
      </w:r>
    </w:p>
    <w:p w14:paraId="38CE3186" w14:textId="166B853C" w:rsidR="009F6996" w:rsidRPr="00EF22E8" w:rsidRDefault="009F6996" w:rsidP="00441A26">
      <w:pPr>
        <w:pStyle w:val="BodyText"/>
      </w:pPr>
      <w:r w:rsidRPr="00EF22E8">
        <w:t xml:space="preserve">In addition to the events listed in the table, you can also use the functionality described in the </w:t>
      </w:r>
      <w:r w:rsidRPr="00EF22E8">
        <w:rPr>
          <w:rStyle w:val="Italic"/>
        </w:rPr>
        <w:t>Common Facilities User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t xml:space="preserve"> when processing transactions in </w:t>
      </w:r>
      <w:r w:rsidR="00C56462" w:rsidRPr="00EF22E8">
        <w:t>the system</w:t>
      </w:r>
      <w:r w:rsidRPr="00EF22E8">
        <w:t>.</w:t>
      </w:r>
    </w:p>
    <w:tbl>
      <w:tblPr>
        <w:tblStyle w:val="TableGrid"/>
        <w:tblW w:w="9090" w:type="dxa"/>
        <w:tblLayout w:type="fixed"/>
        <w:tblLook w:val="0020" w:firstRow="1" w:lastRow="0" w:firstColumn="0" w:lastColumn="0" w:noHBand="0" w:noVBand="0"/>
      </w:tblPr>
      <w:tblGrid>
        <w:gridCol w:w="1890"/>
        <w:gridCol w:w="1440"/>
        <w:gridCol w:w="5760"/>
      </w:tblGrid>
      <w:tr w:rsidR="009F6996" w:rsidRPr="00AD5A12" w14:paraId="33093274" w14:textId="77777777" w:rsidTr="006C33CE">
        <w:trPr>
          <w:cnfStyle w:val="100000000000" w:firstRow="1" w:lastRow="0" w:firstColumn="0" w:lastColumn="0" w:oddVBand="0" w:evenVBand="0" w:oddHBand="0" w:evenHBand="0" w:firstRowFirstColumn="0" w:firstRowLastColumn="0" w:lastRowFirstColumn="0" w:lastRowLastColumn="0"/>
          <w:trHeight w:val="432"/>
        </w:trPr>
        <w:tc>
          <w:tcPr>
            <w:tcW w:w="1890" w:type="dxa"/>
          </w:tcPr>
          <w:p w14:paraId="594EB78C" w14:textId="77777777" w:rsidR="009F6996" w:rsidRPr="00AD5A12" w:rsidRDefault="009F6996" w:rsidP="006A1825">
            <w:pPr>
              <w:pStyle w:val="TableHead"/>
            </w:pPr>
            <w:r w:rsidRPr="00AD5A12">
              <w:t>Full Name</w:t>
            </w:r>
          </w:p>
        </w:tc>
        <w:tc>
          <w:tcPr>
            <w:tcW w:w="1440" w:type="dxa"/>
          </w:tcPr>
          <w:p w14:paraId="3BE455D8" w14:textId="77777777" w:rsidR="009F6996" w:rsidRPr="00AD5A12" w:rsidRDefault="009F6996" w:rsidP="006A1825">
            <w:pPr>
              <w:pStyle w:val="TableHead"/>
            </w:pPr>
            <w:r w:rsidRPr="00AD5A12">
              <w:t>Short Name</w:t>
            </w:r>
          </w:p>
        </w:tc>
        <w:tc>
          <w:tcPr>
            <w:tcW w:w="5760" w:type="dxa"/>
          </w:tcPr>
          <w:p w14:paraId="41BE0D18" w14:textId="77777777" w:rsidR="009F6996" w:rsidRPr="00AD5A12" w:rsidRDefault="009F6996" w:rsidP="006A1825">
            <w:pPr>
              <w:pStyle w:val="TableHead"/>
            </w:pPr>
            <w:r w:rsidRPr="00AD5A12">
              <w:t>What it Does</w:t>
            </w:r>
          </w:p>
        </w:tc>
      </w:tr>
      <w:tr w:rsidR="009F6996" w:rsidRPr="00AD5A12" w14:paraId="7E84E464" w14:textId="77777777" w:rsidTr="006C33CE">
        <w:trPr>
          <w:cnfStyle w:val="000000100000" w:firstRow="0" w:lastRow="0" w:firstColumn="0" w:lastColumn="0" w:oddVBand="0" w:evenVBand="0" w:oddHBand="1" w:evenHBand="0" w:firstRowFirstColumn="0" w:firstRowLastColumn="0" w:lastRowFirstColumn="0" w:lastRowLastColumn="0"/>
        </w:trPr>
        <w:tc>
          <w:tcPr>
            <w:tcW w:w="1890" w:type="dxa"/>
          </w:tcPr>
          <w:p w14:paraId="02E152BA" w14:textId="77777777" w:rsidR="009F6996" w:rsidRPr="00AD5A12" w:rsidRDefault="009F6996" w:rsidP="00990A48">
            <w:pPr>
              <w:pStyle w:val="TableText"/>
            </w:pPr>
            <w:r w:rsidRPr="00AD5A12">
              <w:t>Adjust EC Agency Facility</w:t>
            </w:r>
          </w:p>
        </w:tc>
        <w:tc>
          <w:tcPr>
            <w:tcW w:w="1440" w:type="dxa"/>
          </w:tcPr>
          <w:p w14:paraId="192F6118" w14:textId="77777777" w:rsidR="009F6996" w:rsidRPr="00AD5A12" w:rsidRDefault="009F6996" w:rsidP="00990A48">
            <w:pPr>
              <w:pStyle w:val="TableText"/>
            </w:pPr>
            <w:r w:rsidRPr="00AD5A12">
              <w:t>Adjust</w:t>
            </w:r>
          </w:p>
        </w:tc>
        <w:tc>
          <w:tcPr>
            <w:tcW w:w="5760" w:type="dxa"/>
          </w:tcPr>
          <w:p w14:paraId="49ACA00D" w14:textId="558DFADF" w:rsidR="009F6996" w:rsidRPr="00AD5A12" w:rsidRDefault="009F6996" w:rsidP="00990A48">
            <w:pPr>
              <w:pStyle w:val="TableText"/>
            </w:pPr>
            <w:r w:rsidRPr="00AD5A12">
              <w:t>Allows you to make changes to any of the information held for an export credit agency facility</w:t>
            </w:r>
            <w:bookmarkStart w:id="42" w:name="H_52899"/>
            <w:bookmarkEnd w:id="42"/>
            <w:r w:rsidRPr="00AD5A12">
              <w:t xml:space="preserve"> (see page</w:t>
            </w:r>
            <w:r w:rsidR="00941C5E" w:rsidRPr="00AD5A12">
              <w:t xml:space="preserve"> </w:t>
            </w:r>
            <w:r w:rsidR="00941C5E" w:rsidRPr="00AD5A12">
              <w:fldChar w:fldCharType="begin"/>
            </w:r>
            <w:r w:rsidR="00941C5E" w:rsidRPr="00AD5A12">
              <w:instrText xml:space="preserve"> PAGEREF _Ref432185201 \h </w:instrText>
            </w:r>
            <w:r w:rsidR="00941C5E" w:rsidRPr="00AD5A12">
              <w:fldChar w:fldCharType="separate"/>
            </w:r>
            <w:r w:rsidR="00974B4D">
              <w:rPr>
                <w:noProof/>
              </w:rPr>
              <w:t>19</w:t>
            </w:r>
            <w:r w:rsidR="00941C5E" w:rsidRPr="00AD5A12">
              <w:fldChar w:fldCharType="end"/>
            </w:r>
            <w:r w:rsidRPr="00AD5A12">
              <w:t>).</w:t>
            </w:r>
          </w:p>
        </w:tc>
      </w:tr>
      <w:tr w:rsidR="009F6996" w:rsidRPr="00AD5A12" w14:paraId="5BD216EE" w14:textId="77777777" w:rsidTr="006C33CE">
        <w:trPr>
          <w:cnfStyle w:val="000000010000" w:firstRow="0" w:lastRow="0" w:firstColumn="0" w:lastColumn="0" w:oddVBand="0" w:evenVBand="0" w:oddHBand="0" w:evenHBand="1" w:firstRowFirstColumn="0" w:firstRowLastColumn="0" w:lastRowFirstColumn="0" w:lastRowLastColumn="0"/>
          <w:trHeight w:val="388"/>
        </w:trPr>
        <w:tc>
          <w:tcPr>
            <w:tcW w:w="1890" w:type="dxa"/>
          </w:tcPr>
          <w:p w14:paraId="4B3AD015" w14:textId="77777777" w:rsidR="009F6996" w:rsidRPr="00AD5A12" w:rsidRDefault="009F6996" w:rsidP="00990A48">
            <w:pPr>
              <w:pStyle w:val="TableText"/>
            </w:pPr>
            <w:r w:rsidRPr="00AD5A12">
              <w:t>Amend EC Agency Facility</w:t>
            </w:r>
          </w:p>
        </w:tc>
        <w:tc>
          <w:tcPr>
            <w:tcW w:w="1440" w:type="dxa"/>
          </w:tcPr>
          <w:p w14:paraId="2A4D83EE" w14:textId="77777777" w:rsidR="009F6996" w:rsidRPr="00AD5A12" w:rsidRDefault="009F6996" w:rsidP="00990A48">
            <w:pPr>
              <w:pStyle w:val="TableText"/>
            </w:pPr>
            <w:r w:rsidRPr="00AD5A12">
              <w:t>Amend</w:t>
            </w:r>
          </w:p>
        </w:tc>
        <w:tc>
          <w:tcPr>
            <w:tcW w:w="5760" w:type="dxa"/>
          </w:tcPr>
          <w:p w14:paraId="7ACB142E" w14:textId="60FC4E61" w:rsidR="009F6996" w:rsidRPr="00AD5A12" w:rsidRDefault="009F6996" w:rsidP="00990A48">
            <w:pPr>
              <w:pStyle w:val="TableText"/>
            </w:pPr>
            <w:r w:rsidRPr="00AD5A12">
              <w:t>Allows you to make amendments to the basic details of an export credit agency facility</w:t>
            </w:r>
            <w:bookmarkStart w:id="43" w:name="H_52898"/>
            <w:bookmarkEnd w:id="43"/>
            <w:r w:rsidRPr="00AD5A12">
              <w:t xml:space="preserve"> (see page</w:t>
            </w:r>
            <w:r w:rsidR="00941C5E" w:rsidRPr="00AD5A12">
              <w:t xml:space="preserve"> </w:t>
            </w:r>
            <w:r w:rsidR="00941C5E" w:rsidRPr="00AD5A12">
              <w:fldChar w:fldCharType="begin"/>
            </w:r>
            <w:r w:rsidR="00941C5E" w:rsidRPr="00AD5A12">
              <w:instrText xml:space="preserve"> PAGEREF _Ref432185232 \h </w:instrText>
            </w:r>
            <w:r w:rsidR="00941C5E" w:rsidRPr="00AD5A12">
              <w:fldChar w:fldCharType="separate"/>
            </w:r>
            <w:r w:rsidR="00974B4D">
              <w:rPr>
                <w:noProof/>
              </w:rPr>
              <w:t>18</w:t>
            </w:r>
            <w:r w:rsidR="00941C5E" w:rsidRPr="00AD5A12">
              <w:fldChar w:fldCharType="end"/>
            </w:r>
            <w:r w:rsidRPr="00AD5A12">
              <w:t>).</w:t>
            </w:r>
          </w:p>
        </w:tc>
      </w:tr>
      <w:tr w:rsidR="009F6996" w:rsidRPr="00AD5A12" w14:paraId="74204361" w14:textId="77777777" w:rsidTr="006C33CE">
        <w:trPr>
          <w:cnfStyle w:val="000000100000" w:firstRow="0" w:lastRow="0" w:firstColumn="0" w:lastColumn="0" w:oddVBand="0" w:evenVBand="0" w:oddHBand="1" w:evenHBand="0" w:firstRowFirstColumn="0" w:firstRowLastColumn="0" w:lastRowFirstColumn="0" w:lastRowLastColumn="0"/>
        </w:trPr>
        <w:tc>
          <w:tcPr>
            <w:tcW w:w="1890" w:type="dxa"/>
          </w:tcPr>
          <w:p w14:paraId="25C689CB" w14:textId="77777777" w:rsidR="009F6996" w:rsidRPr="00AD5A12" w:rsidRDefault="009F6996" w:rsidP="00990A48">
            <w:pPr>
              <w:pStyle w:val="TableText"/>
            </w:pPr>
            <w:r w:rsidRPr="00AD5A12">
              <w:t>Cancel EC Agency Facility</w:t>
            </w:r>
          </w:p>
        </w:tc>
        <w:tc>
          <w:tcPr>
            <w:tcW w:w="1440" w:type="dxa"/>
          </w:tcPr>
          <w:p w14:paraId="4CA108B6" w14:textId="77777777" w:rsidR="009F6996" w:rsidRPr="00AD5A12" w:rsidRDefault="009F6996" w:rsidP="00990A48">
            <w:pPr>
              <w:pStyle w:val="TableText"/>
            </w:pPr>
            <w:r w:rsidRPr="00AD5A12">
              <w:t>Cancel</w:t>
            </w:r>
          </w:p>
        </w:tc>
        <w:tc>
          <w:tcPr>
            <w:tcW w:w="5760" w:type="dxa"/>
          </w:tcPr>
          <w:p w14:paraId="58D81165" w14:textId="2297C39D" w:rsidR="009F6996" w:rsidRPr="00AD5A12" w:rsidRDefault="009F6996" w:rsidP="00990A48">
            <w:pPr>
              <w:pStyle w:val="TableText"/>
            </w:pPr>
            <w:r w:rsidRPr="00AD5A12">
              <w:t>Allows you to cancel an export credit agency facility</w:t>
            </w:r>
            <w:bookmarkStart w:id="44" w:name="H_52896"/>
            <w:bookmarkEnd w:id="44"/>
            <w:r w:rsidRPr="00AD5A12">
              <w:t xml:space="preserve"> (see page</w:t>
            </w:r>
            <w:r w:rsidR="00941C5E" w:rsidRPr="00AD5A12">
              <w:t xml:space="preserve"> </w:t>
            </w:r>
            <w:r w:rsidR="00941C5E" w:rsidRPr="00AD5A12">
              <w:fldChar w:fldCharType="begin"/>
            </w:r>
            <w:r w:rsidR="00941C5E" w:rsidRPr="00AD5A12">
              <w:instrText xml:space="preserve"> PAGEREF _Ref432185266 \h </w:instrText>
            </w:r>
            <w:r w:rsidR="00941C5E" w:rsidRPr="00AD5A12">
              <w:fldChar w:fldCharType="separate"/>
            </w:r>
            <w:r w:rsidR="00974B4D">
              <w:rPr>
                <w:noProof/>
              </w:rPr>
              <w:t>22</w:t>
            </w:r>
            <w:r w:rsidR="00941C5E" w:rsidRPr="00AD5A12">
              <w:fldChar w:fldCharType="end"/>
            </w:r>
            <w:r w:rsidRPr="00AD5A12">
              <w:t>).</w:t>
            </w:r>
          </w:p>
        </w:tc>
      </w:tr>
      <w:tr w:rsidR="009F6996" w:rsidRPr="00AD5A12" w14:paraId="715496EC" w14:textId="77777777" w:rsidTr="006C33CE">
        <w:trPr>
          <w:cnfStyle w:val="000000010000" w:firstRow="0" w:lastRow="0" w:firstColumn="0" w:lastColumn="0" w:oddVBand="0" w:evenVBand="0" w:oddHBand="0" w:evenHBand="1" w:firstRowFirstColumn="0" w:firstRowLastColumn="0" w:lastRowFirstColumn="0" w:lastRowLastColumn="0"/>
        </w:trPr>
        <w:tc>
          <w:tcPr>
            <w:tcW w:w="1890" w:type="dxa"/>
          </w:tcPr>
          <w:p w14:paraId="14C5CB77" w14:textId="77777777" w:rsidR="009F6996" w:rsidRPr="00AD5A12" w:rsidRDefault="009F6996" w:rsidP="00990A48">
            <w:pPr>
              <w:pStyle w:val="TableText"/>
            </w:pPr>
            <w:r w:rsidRPr="00AD5A12">
              <w:t>Create EC Agency Facility</w:t>
            </w:r>
          </w:p>
        </w:tc>
        <w:tc>
          <w:tcPr>
            <w:tcW w:w="1440" w:type="dxa"/>
          </w:tcPr>
          <w:p w14:paraId="031B4503" w14:textId="77777777" w:rsidR="009F6996" w:rsidRPr="00AD5A12" w:rsidRDefault="009F6996" w:rsidP="00990A48">
            <w:pPr>
              <w:pStyle w:val="TableText"/>
            </w:pPr>
            <w:r w:rsidRPr="00AD5A12">
              <w:t>Create</w:t>
            </w:r>
          </w:p>
        </w:tc>
        <w:tc>
          <w:tcPr>
            <w:tcW w:w="5760" w:type="dxa"/>
          </w:tcPr>
          <w:p w14:paraId="48334115" w14:textId="09551CA5" w:rsidR="009F6996" w:rsidRPr="00AD5A12" w:rsidRDefault="009F6996" w:rsidP="00990A48">
            <w:pPr>
              <w:pStyle w:val="TableText"/>
            </w:pPr>
            <w:r w:rsidRPr="00AD5A12">
              <w:t>Allows you to create a new export credit agency facility (see page</w:t>
            </w:r>
            <w:r w:rsidR="00941C5E" w:rsidRPr="00AD5A12">
              <w:t xml:space="preserve"> </w:t>
            </w:r>
            <w:r w:rsidR="00941C5E" w:rsidRPr="00AD5A12">
              <w:fldChar w:fldCharType="begin"/>
            </w:r>
            <w:r w:rsidR="00941C5E" w:rsidRPr="00AD5A12">
              <w:instrText xml:space="preserve"> PAGEREF _Ref432185338 \h </w:instrText>
            </w:r>
            <w:r w:rsidR="00941C5E" w:rsidRPr="00AD5A12">
              <w:fldChar w:fldCharType="separate"/>
            </w:r>
            <w:r w:rsidR="00974B4D">
              <w:rPr>
                <w:noProof/>
              </w:rPr>
              <w:t>7</w:t>
            </w:r>
            <w:r w:rsidR="00941C5E" w:rsidRPr="00AD5A12">
              <w:fldChar w:fldCharType="end"/>
            </w:r>
            <w:r w:rsidRPr="00AD5A12">
              <w:t>).</w:t>
            </w:r>
          </w:p>
        </w:tc>
      </w:tr>
      <w:tr w:rsidR="009F6996" w:rsidRPr="00AD5A12" w14:paraId="45C83B02" w14:textId="77777777" w:rsidTr="006C33CE">
        <w:trPr>
          <w:cnfStyle w:val="000000100000" w:firstRow="0" w:lastRow="0" w:firstColumn="0" w:lastColumn="0" w:oddVBand="0" w:evenVBand="0" w:oddHBand="1" w:evenHBand="0" w:firstRowFirstColumn="0" w:firstRowLastColumn="0" w:lastRowFirstColumn="0" w:lastRowLastColumn="0"/>
        </w:trPr>
        <w:tc>
          <w:tcPr>
            <w:tcW w:w="1890" w:type="dxa"/>
          </w:tcPr>
          <w:p w14:paraId="552ED9D6" w14:textId="77777777" w:rsidR="009F6996" w:rsidRPr="00AD5A12" w:rsidRDefault="009F6996" w:rsidP="00990A48">
            <w:pPr>
              <w:pStyle w:val="TableText"/>
            </w:pPr>
            <w:r w:rsidRPr="00AD5A12">
              <w:t>Drawdown/Revolve Facility</w:t>
            </w:r>
          </w:p>
        </w:tc>
        <w:tc>
          <w:tcPr>
            <w:tcW w:w="1440" w:type="dxa"/>
          </w:tcPr>
          <w:p w14:paraId="0167DB8F" w14:textId="77777777" w:rsidR="009F6996" w:rsidRPr="00AD5A12" w:rsidRDefault="009F6996" w:rsidP="00990A48">
            <w:pPr>
              <w:pStyle w:val="TableText"/>
            </w:pPr>
            <w:proofErr w:type="spellStart"/>
            <w:r w:rsidRPr="00AD5A12">
              <w:t>Drawdn</w:t>
            </w:r>
            <w:proofErr w:type="spellEnd"/>
            <w:r w:rsidRPr="00AD5A12">
              <w:t>/Rev</w:t>
            </w:r>
          </w:p>
        </w:tc>
        <w:tc>
          <w:tcPr>
            <w:tcW w:w="5760" w:type="dxa"/>
          </w:tcPr>
          <w:p w14:paraId="085EB73F" w14:textId="1345B0D7" w:rsidR="009F6996" w:rsidRPr="00AD5A12" w:rsidRDefault="009F6996" w:rsidP="00990A48">
            <w:pPr>
              <w:pStyle w:val="TableText"/>
            </w:pPr>
            <w:r w:rsidRPr="00AD5A12">
              <w:t>Decreases the amount available against an export credit agency facility when a financing transaction is linked to it (see page</w:t>
            </w:r>
            <w:r w:rsidR="00941C5E" w:rsidRPr="00AD5A12">
              <w:t xml:space="preserve"> </w:t>
            </w:r>
            <w:r w:rsidR="00941C5E" w:rsidRPr="00AD5A12">
              <w:fldChar w:fldCharType="begin"/>
            </w:r>
            <w:r w:rsidR="00941C5E" w:rsidRPr="00AD5A12">
              <w:instrText xml:space="preserve"> PAGEREF _Ref432185435 \h </w:instrText>
            </w:r>
            <w:r w:rsidR="00941C5E" w:rsidRPr="00AD5A12">
              <w:fldChar w:fldCharType="separate"/>
            </w:r>
            <w:r w:rsidR="00974B4D">
              <w:rPr>
                <w:noProof/>
              </w:rPr>
              <w:t>23</w:t>
            </w:r>
            <w:r w:rsidR="00941C5E" w:rsidRPr="00AD5A12">
              <w:fldChar w:fldCharType="end"/>
            </w:r>
            <w:r w:rsidRPr="00AD5A12">
              <w:t>).</w:t>
            </w:r>
          </w:p>
          <w:p w14:paraId="34A8AB81" w14:textId="0A59B0AA" w:rsidR="009F6996" w:rsidRPr="00AD5A12" w:rsidRDefault="009F6996" w:rsidP="00990A48">
            <w:pPr>
              <w:pStyle w:val="TableText"/>
            </w:pPr>
            <w:r w:rsidRPr="00AD5A12">
              <w:t>For revolving export credit agency facilities, this event reinstates the corresponding amount when a repayment is made against a financing transaction</w:t>
            </w:r>
            <w:bookmarkStart w:id="45" w:name="H_52868"/>
            <w:bookmarkEnd w:id="45"/>
            <w:r w:rsidRPr="00AD5A12">
              <w:t xml:space="preserve"> (see page</w:t>
            </w:r>
            <w:r w:rsidR="00941C5E" w:rsidRPr="00AD5A12">
              <w:t xml:space="preserve"> </w:t>
            </w:r>
            <w:r w:rsidR="00941C5E" w:rsidRPr="00AD5A12">
              <w:fldChar w:fldCharType="begin"/>
            </w:r>
            <w:r w:rsidR="00941C5E" w:rsidRPr="00AD5A12">
              <w:instrText xml:space="preserve"> PAGEREF _Ref432185460 \h </w:instrText>
            </w:r>
            <w:r w:rsidR="00941C5E" w:rsidRPr="00AD5A12">
              <w:fldChar w:fldCharType="separate"/>
            </w:r>
            <w:r w:rsidR="00974B4D">
              <w:rPr>
                <w:noProof/>
              </w:rPr>
              <w:t>23</w:t>
            </w:r>
            <w:r w:rsidR="00941C5E" w:rsidRPr="00AD5A12">
              <w:fldChar w:fldCharType="end"/>
            </w:r>
            <w:r w:rsidRPr="00AD5A12">
              <w:t>).</w:t>
            </w:r>
          </w:p>
        </w:tc>
      </w:tr>
    </w:tbl>
    <w:p w14:paraId="2D8C9455" w14:textId="77777777" w:rsidR="00F7401A" w:rsidRPr="00EF22E8" w:rsidRDefault="00F7401A" w:rsidP="00EF22E8">
      <w:pPr>
        <w:pStyle w:val="Heading2"/>
      </w:pPr>
      <w:bookmarkStart w:id="46" w:name="_Toc411430713"/>
      <w:bookmarkStart w:id="47" w:name="_Toc166586279"/>
      <w:bookmarkStart w:id="48" w:name="_Toc317756644"/>
      <w:bookmarkStart w:id="49" w:name="_Toc331499937"/>
      <w:bookmarkStart w:id="50" w:name="_Toc390475314"/>
      <w:r w:rsidRPr="00EF22E8">
        <w:t>Using Deal Templates to Create an Export Credit Agency Facility</w:t>
      </w:r>
      <w:bookmarkEnd w:id="46"/>
      <w:bookmarkEnd w:id="47"/>
    </w:p>
    <w:p w14:paraId="05233F86" w14:textId="3B41C5B4" w:rsidR="00F7401A" w:rsidRPr="00EF22E8" w:rsidRDefault="00F7401A" w:rsidP="00441A26">
      <w:pPr>
        <w:pStyle w:val="BodyText"/>
      </w:pPr>
      <w:r w:rsidRPr="00EF22E8">
        <w:t xml:space="preserve">Trade Innovation permits you to create deals (transactions) from templates and/or, if you have the capability </w:t>
      </w:r>
      <w:proofErr w:type="spellStart"/>
      <w:r w:rsidRPr="00EF22E8">
        <w:t>ManageDealTemplates</w:t>
      </w:r>
      <w:proofErr w:type="spellEnd"/>
      <w:r w:rsidRPr="00EF22E8">
        <w:t xml:space="preserve"> assigned, to add, update and delete deal templates.</w:t>
      </w:r>
    </w:p>
    <w:p w14:paraId="3448A576" w14:textId="77777777" w:rsidR="00F7401A" w:rsidRPr="00EF22E8" w:rsidRDefault="00F7401A" w:rsidP="00441A26">
      <w:pPr>
        <w:pStyle w:val="BodyText"/>
      </w:pPr>
      <w:r w:rsidRPr="00EF22E8">
        <w:t>You can create a new export credit agency facility from a template at one of three points:</w:t>
      </w:r>
    </w:p>
    <w:p w14:paraId="62007908" w14:textId="77777777" w:rsidR="00F7401A" w:rsidRPr="00EF22E8" w:rsidRDefault="00F7401A" w:rsidP="00997F43">
      <w:pPr>
        <w:pStyle w:val="BulletLevel1"/>
      </w:pPr>
      <w:r w:rsidRPr="00EF22E8">
        <w:t xml:space="preserve">From within the TI Dashboard. In the New Master pane, the Create from Template button allows you to select the template to use. You must specify the Team, the </w:t>
      </w:r>
      <w:proofErr w:type="gramStart"/>
      <w:r w:rsidRPr="00EF22E8">
        <w:t>Branch</w:t>
      </w:r>
      <w:proofErr w:type="gramEnd"/>
      <w:r w:rsidRPr="00EF22E8">
        <w:t xml:space="preserve"> and the Product  </w:t>
      </w:r>
    </w:p>
    <w:p w14:paraId="47300797" w14:textId="77777777" w:rsidR="00F7401A" w:rsidRPr="00EF22E8" w:rsidRDefault="00F7401A" w:rsidP="00997F43">
      <w:pPr>
        <w:pStyle w:val="BulletLevel1"/>
      </w:pPr>
      <w:r w:rsidRPr="00EF22E8">
        <w:t xml:space="preserve">From within the Master Browser window. In the New Master pane, the Create from Template button allows you to select the template to use. You must specify the Team, the </w:t>
      </w:r>
      <w:proofErr w:type="gramStart"/>
      <w:r w:rsidRPr="00EF22E8">
        <w:t>Branch</w:t>
      </w:r>
      <w:proofErr w:type="gramEnd"/>
      <w:r w:rsidRPr="00EF22E8">
        <w:t xml:space="preserve"> and the Product</w:t>
      </w:r>
    </w:p>
    <w:p w14:paraId="18A003F9" w14:textId="77777777" w:rsidR="00F7401A" w:rsidRPr="00EF22E8" w:rsidRDefault="00F7401A" w:rsidP="00997F43">
      <w:pPr>
        <w:pStyle w:val="BulletLevel1"/>
      </w:pPr>
      <w:r w:rsidRPr="00EF22E8">
        <w:t>From within a transaction, during the Input step of an event that is creating a new master record. The Create from Template link allows you to select the template to use</w:t>
      </w:r>
    </w:p>
    <w:p w14:paraId="4DC5324F" w14:textId="7E055365" w:rsidR="00F7401A" w:rsidRPr="00EF22E8" w:rsidRDefault="00F7401A" w:rsidP="00F7401A">
      <w:pPr>
        <w:pStyle w:val="SpaceBefore"/>
        <w:ind w:left="720"/>
        <w:rPr>
          <w:i/>
        </w:rPr>
      </w:pPr>
      <w:r w:rsidRPr="00EF22E8">
        <w:t>See the</w:t>
      </w:r>
      <w:r w:rsidRPr="00EF22E8">
        <w:rPr>
          <w:i/>
        </w:rPr>
        <w:t xml:space="preserve"> Common Facil</w:t>
      </w:r>
      <w:r w:rsidR="009B2629" w:rsidRPr="00EF22E8">
        <w:rPr>
          <w:i/>
        </w:rPr>
        <w:t xml:space="preserve">ities User Guide – </w:t>
      </w:r>
      <w:r w:rsidR="00717F11">
        <w:rPr>
          <w:i/>
        </w:rPr>
        <w:t>Trade Innovation</w:t>
      </w:r>
      <w:r w:rsidR="009B2629" w:rsidRPr="00EF22E8">
        <w:t xml:space="preserve"> for further details</w:t>
      </w:r>
      <w:r w:rsidR="009B2629" w:rsidRPr="00EF22E8">
        <w:rPr>
          <w:i/>
        </w:rPr>
        <w:t>.</w:t>
      </w:r>
    </w:p>
    <w:p w14:paraId="2127EC26" w14:textId="77777777" w:rsidR="009F6996" w:rsidRPr="00EF22E8" w:rsidRDefault="009F6996" w:rsidP="00EF22E8">
      <w:pPr>
        <w:pStyle w:val="Heading1"/>
      </w:pPr>
      <w:bookmarkStart w:id="51" w:name="_Toc411430714"/>
      <w:bookmarkStart w:id="52" w:name="_Ref57049763"/>
      <w:bookmarkStart w:id="53" w:name="_Toc166586280"/>
      <w:r w:rsidRPr="00EF22E8">
        <w:lastRenderedPageBreak/>
        <w:t>Before you Begin</w:t>
      </w:r>
      <w:bookmarkEnd w:id="48"/>
      <w:bookmarkEnd w:id="49"/>
      <w:bookmarkEnd w:id="50"/>
      <w:bookmarkEnd w:id="51"/>
      <w:bookmarkEnd w:id="52"/>
      <w:bookmarkEnd w:id="53"/>
    </w:p>
    <w:p w14:paraId="139B336B" w14:textId="77777777" w:rsidR="009F6996" w:rsidRPr="00EF22E8" w:rsidRDefault="009F6996" w:rsidP="00441A26">
      <w:pPr>
        <w:pStyle w:val="BodyText"/>
      </w:pPr>
      <w:r w:rsidRPr="00EF22E8">
        <w:t xml:space="preserve">There are some steps that your bank must take before it can begin using </w:t>
      </w:r>
      <w:r w:rsidR="00C56462" w:rsidRPr="00EF22E8">
        <w:t xml:space="preserve">the system </w:t>
      </w:r>
      <w:r w:rsidRPr="00EF22E8">
        <w:t>to process export credit agency facilities. This chapter identifies each of these steps.</w:t>
      </w:r>
    </w:p>
    <w:p w14:paraId="44103988" w14:textId="0617C17C" w:rsidR="009F6996" w:rsidRPr="00EF22E8" w:rsidRDefault="009F6996" w:rsidP="00441A26">
      <w:pPr>
        <w:pStyle w:val="BodyText"/>
      </w:pPr>
      <w:r w:rsidRPr="00EF22E8">
        <w:t xml:space="preserve">In addition to the system tailoring discussed in this chapter, your bank will also need to set up postings, charges, customer documents, </w:t>
      </w:r>
      <w:proofErr w:type="gramStart"/>
      <w:r w:rsidRPr="00EF22E8">
        <w:t>clauses</w:t>
      </w:r>
      <w:proofErr w:type="gramEnd"/>
      <w:r w:rsidRPr="00EF22E8">
        <w:t xml:space="preserve"> and tracers for export credit agency facilities in the usual way. See the </w:t>
      </w:r>
      <w:r w:rsidRPr="00EF22E8">
        <w:rPr>
          <w:rStyle w:val="Italic"/>
        </w:rPr>
        <w:t>System Tailoring User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t xml:space="preserve"> for instructions.</w:t>
      </w:r>
    </w:p>
    <w:p w14:paraId="3D7BEFF2" w14:textId="77777777" w:rsidR="009F6996" w:rsidRPr="00EF22E8" w:rsidRDefault="009F6996" w:rsidP="00EF22E8">
      <w:pPr>
        <w:pStyle w:val="Heading2"/>
      </w:pPr>
      <w:bookmarkStart w:id="54" w:name="O_52802"/>
      <w:bookmarkStart w:id="55" w:name="_Toc317756645"/>
      <w:bookmarkStart w:id="56" w:name="_Toc331499938"/>
      <w:bookmarkStart w:id="57" w:name="_Toc390475315"/>
      <w:bookmarkStart w:id="58" w:name="_Toc411430715"/>
      <w:bookmarkStart w:id="59" w:name="_Toc166586281"/>
      <w:bookmarkEnd w:id="54"/>
      <w:r w:rsidRPr="00EF22E8">
        <w:t>Product Types</w:t>
      </w:r>
      <w:bookmarkEnd w:id="55"/>
      <w:bookmarkEnd w:id="56"/>
      <w:bookmarkEnd w:id="57"/>
      <w:bookmarkEnd w:id="58"/>
      <w:bookmarkEnd w:id="59"/>
    </w:p>
    <w:p w14:paraId="56B0F313" w14:textId="77777777" w:rsidR="009F6996" w:rsidRPr="00EF22E8" w:rsidRDefault="009F6996" w:rsidP="00441A26">
      <w:pPr>
        <w:pStyle w:val="BodyText"/>
      </w:pPr>
      <w:r w:rsidRPr="00EF22E8">
        <w:t xml:space="preserve">Product types are used to </w:t>
      </w:r>
      <w:proofErr w:type="spellStart"/>
      <w:r w:rsidRPr="00EF22E8">
        <w:t>categorise</w:t>
      </w:r>
      <w:proofErr w:type="spellEnd"/>
      <w:r w:rsidRPr="00EF22E8">
        <w:t xml:space="preserve"> transactions and, for financing transaction, to provide default processing options. Your bank can define a separate product type for each type of export credit agency facility it handles. When a new export credit agency facility is created, the user can then select the relevant product type to flag the facility as, for example, involving pre-shipment export credit refinancing or a clean banker's acceptance.</w:t>
      </w:r>
    </w:p>
    <w:p w14:paraId="5D6A09C6" w14:textId="77777777" w:rsidR="009F6996" w:rsidRPr="00EF22E8" w:rsidRDefault="009F6996" w:rsidP="00441A26">
      <w:pPr>
        <w:pStyle w:val="BodyText"/>
      </w:pPr>
      <w:r w:rsidRPr="00EF22E8">
        <w:t>Product types can be used as filters when running reports and when setting up working profiles. They can also be used as criteria when setting rules governing how transactions are handled, allowing your bank to process different types of export credit agency facilities in different ways.</w:t>
      </w:r>
    </w:p>
    <w:p w14:paraId="4805E405" w14:textId="77777777" w:rsidR="009F6996" w:rsidRPr="00EF22E8" w:rsidRDefault="006C33CE" w:rsidP="00A72810">
      <w:pPr>
        <w:pStyle w:val="Note1"/>
      </w:pPr>
      <w:r>
        <w:t>Finastra</w:t>
      </w:r>
      <w:r w:rsidR="009F6996" w:rsidRPr="00EF22E8">
        <w:t xml:space="preserve"> recommend that you set the product type to be mandatory for the Export Credit Agency facility product.</w:t>
      </w:r>
    </w:p>
    <w:p w14:paraId="25096DA8" w14:textId="3296E920" w:rsidR="009F6996" w:rsidRPr="00EF22E8" w:rsidRDefault="009F6996" w:rsidP="00441A26">
      <w:pPr>
        <w:pStyle w:val="BodyText"/>
      </w:pPr>
      <w:r w:rsidRPr="00EF22E8">
        <w:t xml:space="preserve">See the </w:t>
      </w:r>
      <w:r w:rsidRPr="00EF22E8">
        <w:rPr>
          <w:rStyle w:val="Italic"/>
        </w:rPr>
        <w:t>System Tailoring User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t xml:space="preserve"> for instructions on setting up product types and product options.</w:t>
      </w:r>
    </w:p>
    <w:p w14:paraId="75C097B3" w14:textId="77777777" w:rsidR="009F6996" w:rsidRPr="00EF22E8" w:rsidRDefault="009F6996" w:rsidP="00EF22E8">
      <w:pPr>
        <w:pStyle w:val="Heading2"/>
      </w:pPr>
      <w:bookmarkStart w:id="60" w:name="O_52803"/>
      <w:bookmarkStart w:id="61" w:name="_Toc317756646"/>
      <w:bookmarkStart w:id="62" w:name="_Toc331499939"/>
      <w:bookmarkStart w:id="63" w:name="_Toc390475316"/>
      <w:bookmarkStart w:id="64" w:name="_Toc411430716"/>
      <w:bookmarkStart w:id="65" w:name="_Toc166586282"/>
      <w:bookmarkEnd w:id="60"/>
      <w:r w:rsidRPr="00EF22E8">
        <w:t>Interest Types</w:t>
      </w:r>
      <w:bookmarkEnd w:id="61"/>
      <w:bookmarkEnd w:id="62"/>
      <w:bookmarkEnd w:id="63"/>
      <w:bookmarkEnd w:id="64"/>
      <w:bookmarkEnd w:id="65"/>
    </w:p>
    <w:p w14:paraId="7888ADC7" w14:textId="77777777" w:rsidR="009F6996" w:rsidRPr="00EF22E8" w:rsidRDefault="009F6996" w:rsidP="00441A26">
      <w:pPr>
        <w:pStyle w:val="BodyText"/>
      </w:pPr>
      <w:r w:rsidRPr="00EF22E8">
        <w:t>Your bank will need to set up the interest types and schedules to be used by financing transactions related to export credit agency facilities. Interest types and schedules allow your bank to define how interest for your bank and interest to cover cost of funding for the export credit agency is to be calculated.</w:t>
      </w:r>
    </w:p>
    <w:p w14:paraId="2E7F9FF5" w14:textId="77777777" w:rsidR="009F6996" w:rsidRPr="00EF22E8" w:rsidRDefault="009F6996" w:rsidP="00441A26">
      <w:pPr>
        <w:pStyle w:val="BodyText"/>
      </w:pPr>
      <w:r w:rsidRPr="00EF22E8">
        <w:t xml:space="preserve">Your bank </w:t>
      </w:r>
      <w:proofErr w:type="gramStart"/>
      <w:r w:rsidRPr="00EF22E8">
        <w:t>is able to</w:t>
      </w:r>
      <w:proofErr w:type="gramEnd"/>
      <w:r w:rsidRPr="00EF22E8">
        <w:t xml:space="preserve"> set up separate schedules for the main term of the deal and for the 'past due' period.</w:t>
      </w:r>
    </w:p>
    <w:p w14:paraId="71284CCC" w14:textId="67932FBE" w:rsidR="009F6996" w:rsidRPr="00EF22E8" w:rsidRDefault="009F6996" w:rsidP="00441A26">
      <w:pPr>
        <w:pStyle w:val="BodyText"/>
      </w:pPr>
      <w:r w:rsidRPr="00EF22E8">
        <w:t xml:space="preserve">See the </w:t>
      </w:r>
      <w:r w:rsidRPr="00EF22E8">
        <w:rPr>
          <w:rStyle w:val="Italic"/>
        </w:rPr>
        <w:t>System Tailoring User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t xml:space="preserve"> for instructions on setting up interest types and schedules.</w:t>
      </w:r>
    </w:p>
    <w:p w14:paraId="3217234C" w14:textId="77777777" w:rsidR="00830BED" w:rsidRPr="00EF22E8" w:rsidRDefault="00830BED" w:rsidP="00441A26">
      <w:pPr>
        <w:pStyle w:val="BodyText"/>
      </w:pPr>
      <w:r w:rsidRPr="00EF22E8">
        <w:br w:type="page"/>
      </w:r>
    </w:p>
    <w:p w14:paraId="3CB1F7BF" w14:textId="77777777" w:rsidR="009F6996" w:rsidRPr="00EF22E8" w:rsidRDefault="009F6996" w:rsidP="00EF22E8">
      <w:pPr>
        <w:pStyle w:val="Heading2"/>
      </w:pPr>
      <w:bookmarkStart w:id="66" w:name="O_52804"/>
      <w:bookmarkStart w:id="67" w:name="_Toc317756647"/>
      <w:bookmarkStart w:id="68" w:name="_Toc331499940"/>
      <w:bookmarkStart w:id="69" w:name="_Toc390475317"/>
      <w:bookmarkStart w:id="70" w:name="_Toc411430717"/>
      <w:bookmarkStart w:id="71" w:name="_Toc166586283"/>
      <w:bookmarkEnd w:id="66"/>
      <w:r w:rsidRPr="00EF22E8">
        <w:lastRenderedPageBreak/>
        <w:t>System Options</w:t>
      </w:r>
      <w:bookmarkEnd w:id="67"/>
      <w:bookmarkEnd w:id="68"/>
      <w:bookmarkEnd w:id="69"/>
      <w:bookmarkEnd w:id="70"/>
      <w:bookmarkEnd w:id="71"/>
    </w:p>
    <w:p w14:paraId="127A2BC3" w14:textId="77777777" w:rsidR="009F6996" w:rsidRPr="00EF22E8" w:rsidRDefault="009F6996" w:rsidP="00E4287B">
      <w:pPr>
        <w:pStyle w:val="NoSpaceAfter"/>
      </w:pPr>
      <w:r w:rsidRPr="00EF22E8">
        <w:t xml:space="preserve">The following system options are relevant to the processing of </w:t>
      </w:r>
      <w:r w:rsidR="00E4287B" w:rsidRPr="00EF22E8">
        <w:t>export credit agency facilities:</w:t>
      </w:r>
    </w:p>
    <w:p w14:paraId="73ED955A" w14:textId="77777777" w:rsidR="009F6996" w:rsidRPr="00EF22E8" w:rsidRDefault="009F6996" w:rsidP="005375DF">
      <w:pPr>
        <w:pStyle w:val="NoSpaceAfter"/>
      </w:pPr>
      <w:r w:rsidRPr="00EF22E8">
        <w:t>Under the category 'General':</w:t>
      </w:r>
    </w:p>
    <w:tbl>
      <w:tblPr>
        <w:tblStyle w:val="TableGrid"/>
        <w:tblW w:w="9090" w:type="dxa"/>
        <w:tblLayout w:type="fixed"/>
        <w:tblLook w:val="0000" w:firstRow="0" w:lastRow="0" w:firstColumn="0" w:lastColumn="0" w:noHBand="0" w:noVBand="0"/>
      </w:tblPr>
      <w:tblGrid>
        <w:gridCol w:w="3298"/>
        <w:gridCol w:w="5792"/>
      </w:tblGrid>
      <w:tr w:rsidR="009F6996" w:rsidRPr="00EF22E8" w14:paraId="085D376E" w14:textId="77777777" w:rsidTr="006C33CE">
        <w:trPr>
          <w:cnfStyle w:val="000000100000" w:firstRow="0" w:lastRow="0" w:firstColumn="0" w:lastColumn="0" w:oddVBand="0" w:evenVBand="0" w:oddHBand="1" w:evenHBand="0" w:firstRowFirstColumn="0" w:firstRowLastColumn="0" w:lastRowFirstColumn="0" w:lastRowLastColumn="0"/>
        </w:trPr>
        <w:tc>
          <w:tcPr>
            <w:tcW w:w="3298" w:type="dxa"/>
          </w:tcPr>
          <w:p w14:paraId="7C87A2C4" w14:textId="77777777" w:rsidR="009F6996" w:rsidRPr="00EF22E8" w:rsidRDefault="009F6996" w:rsidP="00990A48">
            <w:pPr>
              <w:pStyle w:val="TableText"/>
            </w:pPr>
            <w:proofErr w:type="spellStart"/>
            <w:r w:rsidRPr="00EF22E8">
              <w:t>CalendarUnexpectedHolidays</w:t>
            </w:r>
            <w:proofErr w:type="spellEnd"/>
          </w:p>
        </w:tc>
        <w:tc>
          <w:tcPr>
            <w:tcW w:w="5792" w:type="dxa"/>
          </w:tcPr>
          <w:p w14:paraId="7A7C29D1" w14:textId="77777777" w:rsidR="009F6996" w:rsidRPr="00EF22E8" w:rsidRDefault="009F6996" w:rsidP="00990A48">
            <w:pPr>
              <w:pStyle w:val="TableText"/>
            </w:pPr>
            <w:r w:rsidRPr="00EF22E8">
              <w:t xml:space="preserve">If the flag is checked (Yes), then </w:t>
            </w:r>
            <w:r w:rsidR="00C56462" w:rsidRPr="00EF22E8">
              <w:t xml:space="preserve">the system </w:t>
            </w:r>
            <w:r w:rsidRPr="00EF22E8">
              <w:t>will allow unexpected holidays to be recorded against calendars in the static data maintenance application.</w:t>
            </w:r>
          </w:p>
        </w:tc>
      </w:tr>
    </w:tbl>
    <w:p w14:paraId="7B243E37" w14:textId="77777777" w:rsidR="009F6996" w:rsidRPr="00EF22E8" w:rsidRDefault="009F6996" w:rsidP="005375DF">
      <w:pPr>
        <w:pStyle w:val="NoSpaceAfter"/>
      </w:pPr>
      <w:r w:rsidRPr="00EF22E8">
        <w:t>Under the category 'Financing':</w:t>
      </w:r>
    </w:p>
    <w:tbl>
      <w:tblPr>
        <w:tblStyle w:val="TableGrid"/>
        <w:tblW w:w="9090" w:type="dxa"/>
        <w:tblLayout w:type="fixed"/>
        <w:tblLook w:val="0000" w:firstRow="0" w:lastRow="0" w:firstColumn="0" w:lastColumn="0" w:noHBand="0" w:noVBand="0"/>
      </w:tblPr>
      <w:tblGrid>
        <w:gridCol w:w="3304"/>
        <w:gridCol w:w="5786"/>
      </w:tblGrid>
      <w:tr w:rsidR="009F6996" w:rsidRPr="00EF22E8" w14:paraId="20120510" w14:textId="77777777" w:rsidTr="006C33CE">
        <w:trPr>
          <w:cnfStyle w:val="000000100000" w:firstRow="0" w:lastRow="0" w:firstColumn="0" w:lastColumn="0" w:oddVBand="0" w:evenVBand="0" w:oddHBand="1" w:evenHBand="0" w:firstRowFirstColumn="0" w:firstRowLastColumn="0" w:lastRowFirstColumn="0" w:lastRowLastColumn="0"/>
        </w:trPr>
        <w:tc>
          <w:tcPr>
            <w:tcW w:w="3304" w:type="dxa"/>
          </w:tcPr>
          <w:p w14:paraId="3873BA38" w14:textId="77777777" w:rsidR="009F6996" w:rsidRPr="00EF22E8" w:rsidRDefault="009F6996" w:rsidP="00990A48">
            <w:pPr>
              <w:pStyle w:val="TableText"/>
            </w:pPr>
            <w:proofErr w:type="spellStart"/>
            <w:r w:rsidRPr="00EF22E8">
              <w:t>CustCOFAccrualAccType</w:t>
            </w:r>
            <w:proofErr w:type="spellEnd"/>
          </w:p>
        </w:tc>
        <w:tc>
          <w:tcPr>
            <w:tcW w:w="5786" w:type="dxa"/>
          </w:tcPr>
          <w:p w14:paraId="4ABBC219" w14:textId="77777777" w:rsidR="009F6996" w:rsidRPr="00EF22E8" w:rsidRDefault="009F6996" w:rsidP="00990A48">
            <w:pPr>
              <w:pStyle w:val="TableText"/>
            </w:pPr>
            <w:r w:rsidRPr="00EF22E8">
              <w:t>If this is present, cost-of-funds accruals will be posted to customer accounts, using the account type specified in the Value field.</w:t>
            </w:r>
          </w:p>
        </w:tc>
      </w:tr>
      <w:tr w:rsidR="009F6996" w:rsidRPr="00EF22E8" w14:paraId="5BAE04B2" w14:textId="77777777" w:rsidTr="006C33CE">
        <w:trPr>
          <w:cnfStyle w:val="000000010000" w:firstRow="0" w:lastRow="0" w:firstColumn="0" w:lastColumn="0" w:oddVBand="0" w:evenVBand="0" w:oddHBand="0" w:evenHBand="1" w:firstRowFirstColumn="0" w:firstRowLastColumn="0" w:lastRowFirstColumn="0" w:lastRowLastColumn="0"/>
        </w:trPr>
        <w:tc>
          <w:tcPr>
            <w:tcW w:w="3304" w:type="dxa"/>
          </w:tcPr>
          <w:p w14:paraId="6E58F154" w14:textId="77777777" w:rsidR="009F6996" w:rsidRPr="00EF22E8" w:rsidRDefault="009F6996" w:rsidP="00990A48">
            <w:pPr>
              <w:pStyle w:val="TableText"/>
            </w:pPr>
            <w:proofErr w:type="spellStart"/>
            <w:r w:rsidRPr="00EF22E8">
              <w:t>EnableSeparateCostOfFunds</w:t>
            </w:r>
            <w:proofErr w:type="spellEnd"/>
          </w:p>
        </w:tc>
        <w:tc>
          <w:tcPr>
            <w:tcW w:w="5786" w:type="dxa"/>
          </w:tcPr>
          <w:p w14:paraId="652F1E65" w14:textId="77777777" w:rsidR="009F6996" w:rsidRPr="00EF22E8" w:rsidRDefault="009F6996" w:rsidP="00990A48">
            <w:pPr>
              <w:pStyle w:val="TableText"/>
            </w:pPr>
            <w:r w:rsidRPr="00EF22E8">
              <w:t>If the flag is checked (Yes), then functionality will be enabled, allowing relevant financing transactions to be linked to an export credit agency as they are created.</w:t>
            </w:r>
          </w:p>
        </w:tc>
      </w:tr>
    </w:tbl>
    <w:p w14:paraId="3DF7121B" w14:textId="3DB0B923" w:rsidR="009F6996" w:rsidRPr="00EF22E8" w:rsidRDefault="009F6996" w:rsidP="00830BED">
      <w:pPr>
        <w:pStyle w:val="SpaceBefore"/>
      </w:pPr>
      <w:r w:rsidRPr="00EF22E8">
        <w:t xml:space="preserve">For instructions on setting these system options see the </w:t>
      </w:r>
      <w:r w:rsidRPr="00EF22E8">
        <w:rPr>
          <w:rStyle w:val="Italic"/>
        </w:rPr>
        <w:t>System Tailoring User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t>.</w:t>
      </w:r>
    </w:p>
    <w:p w14:paraId="4A7E6FCC" w14:textId="77777777" w:rsidR="009F6996" w:rsidRPr="00EF22E8" w:rsidRDefault="009F6996" w:rsidP="00EF22E8">
      <w:pPr>
        <w:pStyle w:val="Heading2"/>
      </w:pPr>
      <w:bookmarkStart w:id="72" w:name="_Toc317756648"/>
      <w:bookmarkStart w:id="73" w:name="_Toc331499941"/>
      <w:bookmarkStart w:id="74" w:name="_Toc390475318"/>
      <w:bookmarkStart w:id="75" w:name="_Toc411430718"/>
      <w:bookmarkStart w:id="76" w:name="_Toc166586284"/>
      <w:r w:rsidRPr="00EF22E8">
        <w:t>Overnight Batch Processing</w:t>
      </w:r>
      <w:bookmarkEnd w:id="72"/>
      <w:bookmarkEnd w:id="73"/>
      <w:bookmarkEnd w:id="74"/>
      <w:bookmarkEnd w:id="75"/>
      <w:bookmarkEnd w:id="76"/>
    </w:p>
    <w:p w14:paraId="6F93C4B7" w14:textId="77777777" w:rsidR="009F6996" w:rsidRPr="00EF22E8" w:rsidRDefault="009F6996" w:rsidP="00441A26">
      <w:pPr>
        <w:pStyle w:val="BodyText"/>
      </w:pPr>
      <w:r w:rsidRPr="00EF22E8">
        <w:t>Overnight batch proce</w:t>
      </w:r>
      <w:r w:rsidR="00C56462" w:rsidRPr="00EF22E8">
        <w:t xml:space="preserve">ssing includes the following </w:t>
      </w:r>
      <w:r w:rsidRPr="00EF22E8">
        <w:t>action to handle the calculation and payment of month-end interest to the funding party:</w:t>
      </w:r>
    </w:p>
    <w:p w14:paraId="12EE97FF" w14:textId="77777777" w:rsidR="009F6996" w:rsidRPr="00EF22E8" w:rsidRDefault="009F6996" w:rsidP="00997F43">
      <w:pPr>
        <w:pStyle w:val="BulletLevel1"/>
      </w:pPr>
      <w:r w:rsidRPr="00EF22E8">
        <w:t>Financing Auto Cost of Funds</w:t>
      </w:r>
    </w:p>
    <w:p w14:paraId="6649BA52" w14:textId="77777777" w:rsidR="009F6996" w:rsidRPr="00EF22E8" w:rsidRDefault="009F6996" w:rsidP="00441A26">
      <w:pPr>
        <w:pStyle w:val="BodyText"/>
      </w:pPr>
      <w:r w:rsidRPr="00EF22E8">
        <w:t>This action generates monthly interest payments to the funding party for all financing transactions associated with an export credit agency facility.</w:t>
      </w:r>
    </w:p>
    <w:p w14:paraId="357DCDD5" w14:textId="2E622939" w:rsidR="009F6996" w:rsidRPr="00EF22E8" w:rsidRDefault="009F6996" w:rsidP="00441A26">
      <w:pPr>
        <w:pStyle w:val="BodyText"/>
      </w:pPr>
      <w:r w:rsidRPr="00EF22E8">
        <w:t xml:space="preserve">See the </w:t>
      </w:r>
      <w:r w:rsidRPr="00EF22E8">
        <w:rPr>
          <w:rStyle w:val="Italic"/>
        </w:rPr>
        <w:t>Business Operations</w:t>
      </w:r>
      <w:r w:rsidR="00C80064" w:rsidRPr="00EF22E8">
        <w:rPr>
          <w:rStyle w:val="Italic"/>
        </w:rPr>
        <w:t xml:space="preserve"> User</w:t>
      </w:r>
      <w:r w:rsidRPr="00EF22E8">
        <w:rPr>
          <w:rStyle w:val="Italic"/>
        </w:rPr>
        <w:t xml:space="preserve">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t xml:space="preserve"> for more details.</w:t>
      </w:r>
    </w:p>
    <w:p w14:paraId="364E2964" w14:textId="77777777" w:rsidR="009F6996" w:rsidRPr="00EF22E8" w:rsidRDefault="009F6996" w:rsidP="00EF22E8">
      <w:pPr>
        <w:pStyle w:val="Heading2"/>
      </w:pPr>
      <w:bookmarkStart w:id="77" w:name="O_52805"/>
      <w:bookmarkStart w:id="78" w:name="_Toc317756649"/>
      <w:bookmarkStart w:id="79" w:name="_Toc331499942"/>
      <w:bookmarkStart w:id="80" w:name="_Toc390475319"/>
      <w:bookmarkStart w:id="81" w:name="_Toc411430719"/>
      <w:bookmarkStart w:id="82" w:name="_Toc166586285"/>
      <w:bookmarkEnd w:id="77"/>
      <w:r w:rsidRPr="00EF22E8">
        <w:t>Security</w:t>
      </w:r>
      <w:bookmarkEnd w:id="78"/>
      <w:bookmarkEnd w:id="79"/>
      <w:bookmarkEnd w:id="80"/>
      <w:bookmarkEnd w:id="81"/>
      <w:bookmarkEnd w:id="82"/>
    </w:p>
    <w:p w14:paraId="6F969FF7" w14:textId="77777777" w:rsidR="009F6996" w:rsidRPr="00EF22E8" w:rsidRDefault="009F6996" w:rsidP="00441A26">
      <w:pPr>
        <w:pStyle w:val="BodyText"/>
      </w:pPr>
      <w:r w:rsidRPr="00EF22E8">
        <w:t xml:space="preserve">The financing transaction capability </w:t>
      </w:r>
      <w:proofErr w:type="spellStart"/>
      <w:r w:rsidRPr="00EF22E8">
        <w:t>UpdateFundingPartyRate</w:t>
      </w:r>
      <w:proofErr w:type="spellEnd"/>
      <w:r w:rsidRPr="00EF22E8">
        <w:t xml:space="preserve"> is used to control whether users can amend the interest rate used to calculate the cost of funding for funding parties during Create, Amend, Adjust events and repayment events for financing transactions. The setting on the product type will override the capability setting for individual users.</w:t>
      </w:r>
    </w:p>
    <w:p w14:paraId="0083C13E" w14:textId="355EA2D8" w:rsidR="009F6996" w:rsidRPr="00EF22E8" w:rsidRDefault="009F6996" w:rsidP="00441A26">
      <w:pPr>
        <w:pStyle w:val="BodyText"/>
      </w:pPr>
      <w:r w:rsidRPr="00EF22E8">
        <w:t xml:space="preserve">For instructions on setting this capability see the </w:t>
      </w:r>
      <w:r w:rsidRPr="00EF22E8">
        <w:rPr>
          <w:rStyle w:val="Italic"/>
        </w:rPr>
        <w:t>Security</w:t>
      </w:r>
      <w:r w:rsidR="00C80064" w:rsidRPr="00EF22E8">
        <w:rPr>
          <w:rStyle w:val="Italic"/>
        </w:rPr>
        <w:t xml:space="preserve"> User</w:t>
      </w:r>
      <w:r w:rsidRPr="00EF22E8">
        <w:rPr>
          <w:rStyle w:val="Italic"/>
        </w:rPr>
        <w:t xml:space="preserve">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t>.</w:t>
      </w:r>
    </w:p>
    <w:p w14:paraId="59991A66" w14:textId="77777777" w:rsidR="00830BED" w:rsidRPr="00EF22E8" w:rsidRDefault="00830BED" w:rsidP="00441A26">
      <w:pPr>
        <w:pStyle w:val="BodyText"/>
      </w:pPr>
      <w:r w:rsidRPr="00EF22E8">
        <w:br w:type="page"/>
      </w:r>
    </w:p>
    <w:p w14:paraId="6196A1B5" w14:textId="77777777" w:rsidR="009F6996" w:rsidRPr="00EF22E8" w:rsidRDefault="009F6996" w:rsidP="00EF22E8">
      <w:pPr>
        <w:pStyle w:val="Heading2"/>
      </w:pPr>
      <w:bookmarkStart w:id="83" w:name="O_52807"/>
      <w:bookmarkStart w:id="84" w:name="_Toc317756650"/>
      <w:bookmarkStart w:id="85" w:name="_Toc331499943"/>
      <w:bookmarkStart w:id="86" w:name="_Toc390475320"/>
      <w:bookmarkStart w:id="87" w:name="_Toc411430720"/>
      <w:bookmarkStart w:id="88" w:name="_Toc166586286"/>
      <w:bookmarkEnd w:id="83"/>
      <w:r w:rsidRPr="00EF22E8">
        <w:lastRenderedPageBreak/>
        <w:t>Additional System Tailoring</w:t>
      </w:r>
      <w:bookmarkEnd w:id="84"/>
      <w:bookmarkEnd w:id="85"/>
      <w:bookmarkEnd w:id="86"/>
      <w:bookmarkEnd w:id="87"/>
      <w:bookmarkEnd w:id="88"/>
    </w:p>
    <w:p w14:paraId="6AC67C36" w14:textId="77777777" w:rsidR="009F6996" w:rsidRPr="00EF22E8" w:rsidRDefault="009F6996" w:rsidP="00441A26">
      <w:pPr>
        <w:pStyle w:val="BodyText"/>
      </w:pPr>
      <w:r w:rsidRPr="00EF22E8">
        <w:t xml:space="preserve">The product type attached to an export credit agency facility in </w:t>
      </w:r>
      <w:r w:rsidR="00C56462" w:rsidRPr="00EF22E8">
        <w:t xml:space="preserve">the system </w:t>
      </w:r>
      <w:r w:rsidRPr="00EF22E8">
        <w:t xml:space="preserve">can be used as a criterion in setting rules, allowing your bank to differentiate between how different types of facility are handled. The product type can also be used as a criterion when defining error messages and warning messages, allowing your bank to highlight issues relating, for example, to breaches of limits on amounts and maximum finance periods. Again, the product type can be used to differentiate between how such issues are handled, allowing your bank to configure </w:t>
      </w:r>
      <w:r w:rsidR="00C56462" w:rsidRPr="00EF22E8">
        <w:t xml:space="preserve">the system </w:t>
      </w:r>
      <w:r w:rsidRPr="00EF22E8">
        <w:t>to produce a warning message for one type of facility (allowing the input clerk to complete the event without having to correct the data already entered) whilst producing an error message (which forces the input clerk to correct the data) for another.</w:t>
      </w:r>
    </w:p>
    <w:p w14:paraId="5B980D31" w14:textId="77777777" w:rsidR="009F6996" w:rsidRPr="00EF22E8" w:rsidRDefault="00C56462" w:rsidP="00441A26">
      <w:pPr>
        <w:pStyle w:val="BodyText"/>
      </w:pPr>
      <w:r w:rsidRPr="00EF22E8">
        <w:t>The</w:t>
      </w:r>
      <w:r w:rsidR="009F6996" w:rsidRPr="00EF22E8">
        <w:t xml:space="preserve"> system tailoring application allows you to define up to five different fields (and associated values) for each product. During transaction processing the input clerk selects the appropriate value in each field. These bank-definable fields can be used to enter additional data against an export credit agency facility or a related financing transaction.</w:t>
      </w:r>
    </w:p>
    <w:p w14:paraId="733EE817" w14:textId="77777777" w:rsidR="009F6996" w:rsidRPr="00EF22E8" w:rsidRDefault="009F6996" w:rsidP="00441A26">
      <w:pPr>
        <w:pStyle w:val="BodyText"/>
      </w:pPr>
      <w:r w:rsidRPr="00EF22E8">
        <w:t xml:space="preserve">If your bank uses </w:t>
      </w:r>
      <w:r w:rsidR="00C56462" w:rsidRPr="00EF22E8">
        <w:t>the</w:t>
      </w:r>
      <w:r w:rsidRPr="00EF22E8">
        <w:t xml:space="preserve"> customisation facilities, your bank can further extend the information recorded against export credit agency facilities.</w:t>
      </w:r>
    </w:p>
    <w:p w14:paraId="4F5AABA5" w14:textId="7303D6ED" w:rsidR="009F6996" w:rsidRPr="00EF22E8" w:rsidRDefault="009F6996" w:rsidP="00441A26">
      <w:pPr>
        <w:pStyle w:val="BodyText"/>
      </w:pPr>
      <w:r w:rsidRPr="00EF22E8">
        <w:t xml:space="preserve">See the </w:t>
      </w:r>
      <w:r w:rsidRPr="00EF22E8">
        <w:rPr>
          <w:rStyle w:val="Italic"/>
        </w:rPr>
        <w:t>System Tailoring User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t xml:space="preserve"> for instructions on setting up rules, error and warning messages and bank-definable fields; and the </w:t>
      </w:r>
      <w:r w:rsidRPr="00EF22E8">
        <w:rPr>
          <w:rStyle w:val="Italic"/>
        </w:rPr>
        <w:t>Customisation</w:t>
      </w:r>
      <w:r w:rsidR="00C80064" w:rsidRPr="00EF22E8">
        <w:rPr>
          <w:rStyle w:val="Italic"/>
        </w:rPr>
        <w:t xml:space="preserve"> User</w:t>
      </w:r>
      <w:r w:rsidRPr="00EF22E8">
        <w:rPr>
          <w:rStyle w:val="Italic"/>
        </w:rPr>
        <w:t xml:space="preserve">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rPr>
          <w:rStyle w:val="Italic"/>
        </w:rPr>
        <w:t xml:space="preserve"> </w:t>
      </w:r>
      <w:r w:rsidRPr="00087EDA">
        <w:rPr>
          <w:rStyle w:val="Italic"/>
          <w:i w:val="0"/>
        </w:rPr>
        <w:t>for</w:t>
      </w:r>
      <w:r w:rsidRPr="00087EDA">
        <w:rPr>
          <w:i/>
        </w:rPr>
        <w:t xml:space="preserve"> </w:t>
      </w:r>
      <w:r w:rsidRPr="00EF22E8">
        <w:t xml:space="preserve">information on </w:t>
      </w:r>
      <w:proofErr w:type="spellStart"/>
      <w:r w:rsidRPr="00EF22E8">
        <w:t>customising</w:t>
      </w:r>
      <w:proofErr w:type="spellEnd"/>
      <w:r w:rsidRPr="00EF22E8">
        <w:t xml:space="preserve"> your installation.</w:t>
      </w:r>
    </w:p>
    <w:p w14:paraId="6477CB5B" w14:textId="77777777" w:rsidR="009F6996" w:rsidRPr="00EF22E8" w:rsidRDefault="009F6996" w:rsidP="00EF22E8">
      <w:pPr>
        <w:pStyle w:val="Heading2"/>
      </w:pPr>
      <w:bookmarkStart w:id="89" w:name="O_55289"/>
      <w:bookmarkStart w:id="90" w:name="_Toc317756651"/>
      <w:bookmarkStart w:id="91" w:name="_Toc331499944"/>
      <w:bookmarkStart w:id="92" w:name="_Toc390475321"/>
      <w:bookmarkStart w:id="93" w:name="_Toc411430721"/>
      <w:bookmarkStart w:id="94" w:name="_Toc166586287"/>
      <w:bookmarkEnd w:id="89"/>
      <w:r w:rsidRPr="00EF22E8">
        <w:t>Setting Up a Debit Interest Reconciliation Report</w:t>
      </w:r>
      <w:bookmarkEnd w:id="90"/>
      <w:bookmarkEnd w:id="91"/>
      <w:bookmarkEnd w:id="92"/>
      <w:bookmarkEnd w:id="93"/>
      <w:bookmarkEnd w:id="94"/>
    </w:p>
    <w:p w14:paraId="62C149E8" w14:textId="54F4A032" w:rsidR="009F6996" w:rsidRPr="00EF22E8" w:rsidRDefault="00C56462" w:rsidP="00441A26">
      <w:pPr>
        <w:pStyle w:val="BodyText"/>
      </w:pPr>
      <w:r w:rsidRPr="00EF22E8">
        <w:t xml:space="preserve">The system </w:t>
      </w:r>
      <w:r w:rsidR="009F6996" w:rsidRPr="00EF22E8">
        <w:t xml:space="preserve">allows your bank to design its own reports, as described in the </w:t>
      </w:r>
      <w:r w:rsidR="009F6996" w:rsidRPr="00EF22E8">
        <w:rPr>
          <w:rStyle w:val="Italic"/>
        </w:rPr>
        <w:t>Report Tailoring</w:t>
      </w:r>
      <w:r w:rsidR="00C80064" w:rsidRPr="00EF22E8">
        <w:rPr>
          <w:rStyle w:val="Italic"/>
        </w:rPr>
        <w:t xml:space="preserve"> User</w:t>
      </w:r>
      <w:r w:rsidR="009F6996" w:rsidRPr="00EF22E8">
        <w:rPr>
          <w:rStyle w:val="Italic"/>
        </w:rPr>
        <w:t xml:space="preserve"> Guide</w:t>
      </w:r>
      <w:r w:rsidR="00E50A00" w:rsidRPr="00EF22E8">
        <w:rPr>
          <w:rStyle w:val="Italic"/>
        </w:rPr>
        <w:t xml:space="preserve"> </w:t>
      </w:r>
      <w:r w:rsidR="00E50A00" w:rsidRPr="00235B54">
        <w:rPr>
          <w:rStyle w:val="Italic"/>
        </w:rPr>
        <w:t xml:space="preserve">– </w:t>
      </w:r>
      <w:r w:rsidR="00717F11">
        <w:rPr>
          <w:rStyle w:val="Italic"/>
        </w:rPr>
        <w:t>Trade Innovation</w:t>
      </w:r>
      <w:r w:rsidR="009F6996" w:rsidRPr="00EF22E8">
        <w:t>.</w:t>
      </w:r>
    </w:p>
    <w:p w14:paraId="2C3D400B" w14:textId="77777777" w:rsidR="009F6996" w:rsidRPr="00EF22E8" w:rsidRDefault="009F6996" w:rsidP="00441A26">
      <w:pPr>
        <w:pStyle w:val="BodyText"/>
      </w:pPr>
      <w:r w:rsidRPr="00EF22E8">
        <w:t xml:space="preserve">The reporting view Funding Party Debits is provided to allow your bank to set up a report that facilitates the reconciliation of scheduled interest debit accounting entries. The report can be set up to include basic information from the master record, including the branch, customer, finance debit party identifier and master/financing transaction reference numbers </w:t>
      </w:r>
      <w:proofErr w:type="gramStart"/>
      <w:r w:rsidRPr="00EF22E8">
        <w:t>and also</w:t>
      </w:r>
      <w:proofErr w:type="gramEnd"/>
      <w:r w:rsidRPr="00EF22E8">
        <w:t xml:space="preserve"> the following detailed information:</w:t>
      </w:r>
    </w:p>
    <w:p w14:paraId="44CEBC04" w14:textId="77777777" w:rsidR="009F6996" w:rsidRPr="00EF22E8" w:rsidRDefault="009F6996" w:rsidP="00997F43">
      <w:pPr>
        <w:pStyle w:val="BulletLevel1"/>
      </w:pPr>
      <w:r w:rsidRPr="00EF22E8">
        <w:t>The cost-of-funds interest start and end dates</w:t>
      </w:r>
    </w:p>
    <w:p w14:paraId="4A0FAD02" w14:textId="77777777" w:rsidR="009F6996" w:rsidRPr="00EF22E8" w:rsidRDefault="009F6996" w:rsidP="00997F43">
      <w:pPr>
        <w:pStyle w:val="BulletLevel1"/>
      </w:pPr>
      <w:r w:rsidRPr="00EF22E8">
        <w:t>The amount of the loan outstanding (and currency)</w:t>
      </w:r>
    </w:p>
    <w:p w14:paraId="566D1179" w14:textId="77777777" w:rsidR="009F6996" w:rsidRPr="00EF22E8" w:rsidRDefault="009F6996" w:rsidP="00997F43">
      <w:pPr>
        <w:pStyle w:val="BulletLevel1"/>
      </w:pPr>
      <w:r w:rsidRPr="00EF22E8">
        <w:t>The number of days interest</w:t>
      </w:r>
    </w:p>
    <w:p w14:paraId="31443071" w14:textId="77777777" w:rsidR="009F6996" w:rsidRPr="00EF22E8" w:rsidRDefault="009F6996" w:rsidP="00997F43">
      <w:pPr>
        <w:pStyle w:val="BulletLevel1"/>
      </w:pPr>
      <w:r w:rsidRPr="00EF22E8">
        <w:t>The cost-of-funds rate</w:t>
      </w:r>
    </w:p>
    <w:p w14:paraId="20031E98" w14:textId="77777777" w:rsidR="009F6996" w:rsidRPr="00EF22E8" w:rsidRDefault="009F6996" w:rsidP="00997F43">
      <w:pPr>
        <w:pStyle w:val="BulletLevel1"/>
      </w:pPr>
      <w:r w:rsidRPr="00EF22E8">
        <w:t>The cost-of-funds amount</w:t>
      </w:r>
    </w:p>
    <w:p w14:paraId="32B961E5" w14:textId="77777777" w:rsidR="009F6996" w:rsidRPr="00EF22E8" w:rsidRDefault="009F6996" w:rsidP="00EF22E8">
      <w:pPr>
        <w:pStyle w:val="Heading1"/>
      </w:pPr>
      <w:bookmarkStart w:id="95" w:name="_Toc317756652"/>
      <w:bookmarkStart w:id="96" w:name="_Toc331499945"/>
      <w:bookmarkStart w:id="97" w:name="_Toc390475322"/>
      <w:bookmarkStart w:id="98" w:name="_Toc411430722"/>
      <w:bookmarkStart w:id="99" w:name="_Ref57049772"/>
      <w:bookmarkStart w:id="100" w:name="_Toc166586288"/>
      <w:r w:rsidRPr="00EF22E8">
        <w:lastRenderedPageBreak/>
        <w:t>Creating an Export Credit Agency Facility</w:t>
      </w:r>
      <w:bookmarkEnd w:id="95"/>
      <w:bookmarkEnd w:id="96"/>
      <w:bookmarkEnd w:id="97"/>
      <w:bookmarkEnd w:id="98"/>
      <w:bookmarkEnd w:id="99"/>
      <w:bookmarkEnd w:id="100"/>
    </w:p>
    <w:p w14:paraId="0CED5C45" w14:textId="77777777" w:rsidR="009F6996" w:rsidRPr="00EF22E8" w:rsidRDefault="009F6996" w:rsidP="00441A26">
      <w:pPr>
        <w:pStyle w:val="BodyText"/>
      </w:pPr>
      <w:r w:rsidRPr="00EF22E8">
        <w:t xml:space="preserve">This chapter explains how to use </w:t>
      </w:r>
      <w:r w:rsidR="00C56462" w:rsidRPr="00EF22E8">
        <w:t xml:space="preserve">the system </w:t>
      </w:r>
      <w:r w:rsidRPr="00EF22E8">
        <w:t>to create an export credit agency facility, either directly or from within a related financing transaction.</w:t>
      </w:r>
    </w:p>
    <w:p w14:paraId="08F980E3" w14:textId="77777777" w:rsidR="009F6996" w:rsidRPr="00EF22E8" w:rsidRDefault="009F6996" w:rsidP="00EF22E8">
      <w:pPr>
        <w:pStyle w:val="Heading2"/>
      </w:pPr>
      <w:bookmarkStart w:id="101" w:name="O_54533"/>
      <w:bookmarkStart w:id="102" w:name="_Toc317756653"/>
      <w:bookmarkStart w:id="103" w:name="_Toc331499946"/>
      <w:bookmarkStart w:id="104" w:name="_Toc390475323"/>
      <w:bookmarkStart w:id="105" w:name="_Toc411430723"/>
      <w:bookmarkStart w:id="106" w:name="_Ref432185325"/>
      <w:bookmarkStart w:id="107" w:name="_Ref432185338"/>
      <w:bookmarkStart w:id="108" w:name="_Ref432185610"/>
      <w:bookmarkStart w:id="109" w:name="_Toc166586289"/>
      <w:bookmarkEnd w:id="101"/>
      <w:r w:rsidRPr="00EF22E8">
        <w:t>Creating an Export Credit Agency Facility in Advance</w:t>
      </w:r>
      <w:bookmarkEnd w:id="102"/>
      <w:bookmarkEnd w:id="103"/>
      <w:bookmarkEnd w:id="104"/>
      <w:bookmarkEnd w:id="105"/>
      <w:bookmarkEnd w:id="106"/>
      <w:bookmarkEnd w:id="107"/>
      <w:bookmarkEnd w:id="108"/>
      <w:bookmarkEnd w:id="109"/>
    </w:p>
    <w:p w14:paraId="66D23252" w14:textId="76FA84B4" w:rsidR="009F6996" w:rsidRPr="00EF22E8" w:rsidRDefault="009F6996" w:rsidP="00441A26">
      <w:pPr>
        <w:pStyle w:val="BodyText"/>
      </w:pPr>
      <w:r w:rsidRPr="00EF22E8">
        <w:t xml:space="preserve">To create an export credit agency facility in advance, in the Masters window, select the Team and Behalf of branch and use the drop-down list in the New Masters pane to select 'Export Credit Agency Facility', then press New. </w:t>
      </w:r>
      <w:r w:rsidR="00C56462" w:rsidRPr="00EF22E8">
        <w:t xml:space="preserve">The system </w:t>
      </w:r>
      <w:r w:rsidRPr="00EF22E8">
        <w:t xml:space="preserve">creates a Create event at either a Log step or an Input step, depending on how the Workflow orchestration controlling the event is configured. See the </w:t>
      </w:r>
      <w:r w:rsidRPr="00EF22E8">
        <w:rPr>
          <w:i/>
        </w:rPr>
        <w:t>Workflow Tailoring User Guide</w:t>
      </w:r>
      <w:r w:rsidR="00E50A00" w:rsidRPr="00EF22E8">
        <w:rPr>
          <w:i/>
        </w:rPr>
        <w:t xml:space="preserve"> </w:t>
      </w:r>
      <w:r w:rsidR="00E50A00" w:rsidRPr="00235B54">
        <w:rPr>
          <w:rStyle w:val="Italic"/>
        </w:rPr>
        <w:t xml:space="preserve">– </w:t>
      </w:r>
      <w:r w:rsidR="00717F11">
        <w:rPr>
          <w:rStyle w:val="Italic"/>
        </w:rPr>
        <w:t>Trade Innovation</w:t>
      </w:r>
      <w:r w:rsidRPr="00EF22E8">
        <w:t xml:space="preserve"> for details.</w:t>
      </w:r>
    </w:p>
    <w:p w14:paraId="28E153EC" w14:textId="57325B94" w:rsidR="009F6996" w:rsidRPr="00EF22E8" w:rsidRDefault="009F6996" w:rsidP="00441A26">
      <w:pPr>
        <w:pStyle w:val="BodyText"/>
      </w:pPr>
      <w:r w:rsidRPr="00EF22E8">
        <w:rPr>
          <w:noProof/>
          <w:lang w:eastAsia="en-GB"/>
        </w:rPr>
        <w:drawing>
          <wp:inline distT="0" distB="0" distL="0" distR="0" wp14:anchorId="5BE778D7" wp14:editId="5A13AA51">
            <wp:extent cx="5400675" cy="2733675"/>
            <wp:effectExtent l="0" t="0" r="9525" b="9525"/>
            <wp:docPr id="36" name="Picture 36" descr="ECF - Creating an Export Credit Agency Facility in Advance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F - Creating an Export Credit Agency Facility in Advance (1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2733675"/>
                    </a:xfrm>
                    <a:prstGeom prst="rect">
                      <a:avLst/>
                    </a:prstGeom>
                    <a:noFill/>
                    <a:ln>
                      <a:noFill/>
                    </a:ln>
                  </pic:spPr>
                </pic:pic>
              </a:graphicData>
            </a:graphic>
          </wp:inline>
        </w:drawing>
      </w:r>
      <w:r w:rsidR="00367E0A" w:rsidRPr="00367E0A">
        <w:rPr>
          <w:noProof/>
        </w:rPr>
        <w:t xml:space="preserve"> </w:t>
      </w:r>
      <w:r w:rsidR="00367E0A">
        <w:rPr>
          <w:noProof/>
        </w:rPr>
        <w:drawing>
          <wp:inline distT="0" distB="0" distL="0" distR="0" wp14:anchorId="07742DC8" wp14:editId="600796F9">
            <wp:extent cx="5731510" cy="22656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65680"/>
                    </a:xfrm>
                    <a:prstGeom prst="rect">
                      <a:avLst/>
                    </a:prstGeom>
                  </pic:spPr>
                </pic:pic>
              </a:graphicData>
            </a:graphic>
          </wp:inline>
        </w:drawing>
      </w:r>
      <w:r w:rsidRPr="00EF22E8">
        <w:rPr>
          <w:noProof/>
          <w:lang w:eastAsia="en-GB"/>
        </w:rPr>
        <w:drawing>
          <wp:inline distT="0" distB="0" distL="0" distR="0" wp14:anchorId="70482E57" wp14:editId="0983834B">
            <wp:extent cx="5400675" cy="476250"/>
            <wp:effectExtent l="0" t="0" r="9525" b="0"/>
            <wp:docPr id="4" name="Picture 34" descr="ECF - Creating an Export Credit Agency Facility in Advance (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F - Creating an Export Credit Agency Facility in Advance (1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476250"/>
                    </a:xfrm>
                    <a:prstGeom prst="rect">
                      <a:avLst/>
                    </a:prstGeom>
                    <a:noFill/>
                    <a:ln>
                      <a:noFill/>
                    </a:ln>
                  </pic:spPr>
                </pic:pic>
              </a:graphicData>
            </a:graphic>
          </wp:inline>
        </w:drawing>
      </w:r>
    </w:p>
    <w:p w14:paraId="675D604B" w14:textId="41F02BE2" w:rsidR="009F6996" w:rsidRPr="00EF22E8" w:rsidRDefault="00A16177" w:rsidP="00441A26">
      <w:pPr>
        <w:pStyle w:val="BodyText"/>
      </w:pPr>
      <w:r w:rsidRPr="00A16177">
        <w:rPr>
          <w:noProof/>
        </w:rPr>
        <w:lastRenderedPageBreak/>
        <w:t xml:space="preserve"> </w:t>
      </w:r>
      <w:r>
        <w:rPr>
          <w:noProof/>
        </w:rPr>
        <w:drawing>
          <wp:inline distT="0" distB="0" distL="0" distR="0" wp14:anchorId="0D2679F4" wp14:editId="1B5B21D2">
            <wp:extent cx="5731510" cy="16611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61160"/>
                    </a:xfrm>
                    <a:prstGeom prst="rect">
                      <a:avLst/>
                    </a:prstGeom>
                  </pic:spPr>
                </pic:pic>
              </a:graphicData>
            </a:graphic>
          </wp:inline>
        </w:drawing>
      </w:r>
      <w:r w:rsidR="009F6996" w:rsidRPr="00EF22E8">
        <w:rPr>
          <w:noProof/>
          <w:lang w:eastAsia="en-GB"/>
        </w:rPr>
        <w:drawing>
          <wp:inline distT="0" distB="0" distL="0" distR="0" wp14:anchorId="014D2CE1" wp14:editId="08BF52B0">
            <wp:extent cx="5400675" cy="1104900"/>
            <wp:effectExtent l="0" t="0" r="9525" b="0"/>
            <wp:docPr id="32" name="Picture 32" descr="ECF - Creating an Export Credit Agency Facility in Advance (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F - Creating an Export Credit Agency Facility in Advance (1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675" cy="1104900"/>
                    </a:xfrm>
                    <a:prstGeom prst="rect">
                      <a:avLst/>
                    </a:prstGeom>
                    <a:noFill/>
                    <a:ln>
                      <a:noFill/>
                    </a:ln>
                  </pic:spPr>
                </pic:pic>
              </a:graphicData>
            </a:graphic>
          </wp:inline>
        </w:drawing>
      </w:r>
    </w:p>
    <w:p w14:paraId="04441C1B" w14:textId="77777777" w:rsidR="009F6996" w:rsidRPr="00EF22E8" w:rsidRDefault="009F6996" w:rsidP="00441A26">
      <w:pPr>
        <w:pStyle w:val="BodyText"/>
      </w:pPr>
      <w:r w:rsidRPr="00EF22E8">
        <w:t>The Create event enables you to enter full details of a new export credit agency facility. The window opened for this purpose uses the following panes:</w:t>
      </w:r>
    </w:p>
    <w:p w14:paraId="43F6D8C7" w14:textId="788F550E" w:rsidR="009F6996" w:rsidRPr="00EF22E8" w:rsidRDefault="009F6996" w:rsidP="00997F43">
      <w:pPr>
        <w:pStyle w:val="BulletLevel1"/>
      </w:pPr>
      <w:r w:rsidRPr="00EF22E8">
        <w:t>The Facility Deal Details pane</w:t>
      </w:r>
      <w:bookmarkStart w:id="110" w:name="H_52813"/>
      <w:bookmarkEnd w:id="110"/>
      <w:r w:rsidRPr="00EF22E8">
        <w:t xml:space="preserve"> (see page</w:t>
      </w:r>
      <w:r w:rsidR="00941C5E">
        <w:t xml:space="preserve"> </w:t>
      </w:r>
      <w:r w:rsidR="00941C5E">
        <w:fldChar w:fldCharType="begin"/>
      </w:r>
      <w:r w:rsidR="00941C5E">
        <w:instrText xml:space="preserve"> PAGEREF _Ref432185516 \h </w:instrText>
      </w:r>
      <w:r w:rsidR="00941C5E">
        <w:fldChar w:fldCharType="separate"/>
      </w:r>
      <w:r w:rsidR="00977F6F">
        <w:rPr>
          <w:noProof/>
        </w:rPr>
        <w:t>8</w:t>
      </w:r>
      <w:r w:rsidR="00941C5E">
        <w:fldChar w:fldCharType="end"/>
      </w:r>
      <w:r w:rsidRPr="00EF22E8">
        <w:t>)</w:t>
      </w:r>
    </w:p>
    <w:p w14:paraId="6FE72122" w14:textId="0F36616E" w:rsidR="009F6996" w:rsidRPr="00EF22E8" w:rsidRDefault="009F6996" w:rsidP="00997F43">
      <w:pPr>
        <w:pStyle w:val="BulletLevel1"/>
      </w:pPr>
      <w:r w:rsidRPr="00EF22E8">
        <w:t>The Customer Details pane</w:t>
      </w:r>
      <w:bookmarkStart w:id="111" w:name="H_52814"/>
      <w:bookmarkEnd w:id="111"/>
      <w:r w:rsidRPr="00EF22E8">
        <w:t xml:space="preserve"> (see page</w:t>
      </w:r>
      <w:r w:rsidR="00941C5E">
        <w:t xml:space="preserve"> </w:t>
      </w:r>
      <w:r w:rsidR="00941C5E">
        <w:fldChar w:fldCharType="begin"/>
      </w:r>
      <w:r w:rsidR="00941C5E">
        <w:instrText xml:space="preserve"> PAGEREF _Ref432185528 \h </w:instrText>
      </w:r>
      <w:r w:rsidR="00941C5E">
        <w:fldChar w:fldCharType="separate"/>
      </w:r>
      <w:r w:rsidR="00977F6F">
        <w:rPr>
          <w:noProof/>
        </w:rPr>
        <w:t>10</w:t>
      </w:r>
      <w:r w:rsidR="00941C5E">
        <w:fldChar w:fldCharType="end"/>
      </w:r>
      <w:r w:rsidRPr="00EF22E8">
        <w:t>)</w:t>
      </w:r>
    </w:p>
    <w:p w14:paraId="10EF0333" w14:textId="35D06541" w:rsidR="009F6996" w:rsidRPr="00EF22E8" w:rsidRDefault="009F6996" w:rsidP="00997F43">
      <w:pPr>
        <w:pStyle w:val="BulletLevel1"/>
      </w:pPr>
      <w:r w:rsidRPr="00EF22E8">
        <w:t>The Charge Details pane</w:t>
      </w:r>
      <w:bookmarkStart w:id="112" w:name="H_52815"/>
      <w:bookmarkEnd w:id="112"/>
      <w:r w:rsidRPr="00EF22E8">
        <w:t xml:space="preserve"> (see page</w:t>
      </w:r>
      <w:r w:rsidR="00941C5E">
        <w:t xml:space="preserve"> </w:t>
      </w:r>
      <w:r w:rsidR="00941C5E">
        <w:fldChar w:fldCharType="begin"/>
      </w:r>
      <w:r w:rsidR="00941C5E">
        <w:instrText xml:space="preserve"> PAGEREF _Ref432185537 \h </w:instrText>
      </w:r>
      <w:r w:rsidR="00941C5E">
        <w:fldChar w:fldCharType="separate"/>
      </w:r>
      <w:r w:rsidR="00977F6F">
        <w:rPr>
          <w:noProof/>
        </w:rPr>
        <w:t>11</w:t>
      </w:r>
      <w:r w:rsidR="00941C5E">
        <w:fldChar w:fldCharType="end"/>
      </w:r>
      <w:r w:rsidRPr="00EF22E8">
        <w:t>)</w:t>
      </w:r>
    </w:p>
    <w:p w14:paraId="3C5A7A18" w14:textId="6D02589D" w:rsidR="009F6996" w:rsidRPr="00EF22E8" w:rsidRDefault="009F6996" w:rsidP="00997F43">
      <w:pPr>
        <w:pStyle w:val="BulletLevel1"/>
      </w:pPr>
      <w:r w:rsidRPr="00EF22E8">
        <w:t>The Party Details pane</w:t>
      </w:r>
      <w:bookmarkStart w:id="113" w:name="H_52816"/>
      <w:bookmarkEnd w:id="113"/>
      <w:r w:rsidRPr="00EF22E8">
        <w:t xml:space="preserve"> (see page</w:t>
      </w:r>
      <w:r w:rsidR="00941C5E">
        <w:t xml:space="preserve"> </w:t>
      </w:r>
      <w:r w:rsidR="00941C5E">
        <w:fldChar w:fldCharType="begin"/>
      </w:r>
      <w:r w:rsidR="00941C5E">
        <w:instrText xml:space="preserve"> PAGEREF _Ref432185546 \h </w:instrText>
      </w:r>
      <w:r w:rsidR="00941C5E">
        <w:fldChar w:fldCharType="separate"/>
      </w:r>
      <w:r w:rsidR="00977F6F">
        <w:rPr>
          <w:noProof/>
        </w:rPr>
        <w:t>12</w:t>
      </w:r>
      <w:r w:rsidR="00941C5E">
        <w:fldChar w:fldCharType="end"/>
      </w:r>
      <w:r w:rsidRPr="00EF22E8">
        <w:t>)</w:t>
      </w:r>
    </w:p>
    <w:p w14:paraId="760AB7E4" w14:textId="16C93486" w:rsidR="009F6996" w:rsidRPr="00EF22E8" w:rsidRDefault="009F6996" w:rsidP="00997F43">
      <w:pPr>
        <w:pStyle w:val="BulletLevel1"/>
      </w:pPr>
      <w:r w:rsidRPr="00EF22E8">
        <w:t>The Other Details pane</w:t>
      </w:r>
      <w:bookmarkStart w:id="114" w:name="H_52817"/>
      <w:bookmarkEnd w:id="114"/>
      <w:r w:rsidRPr="00EF22E8">
        <w:t xml:space="preserve"> (see page</w:t>
      </w:r>
      <w:r w:rsidR="00941C5E">
        <w:t xml:space="preserve"> </w:t>
      </w:r>
      <w:r w:rsidR="00941C5E">
        <w:fldChar w:fldCharType="begin"/>
      </w:r>
      <w:r w:rsidR="00941C5E">
        <w:instrText xml:space="preserve"> PAGEREF _Ref432185556 \h </w:instrText>
      </w:r>
      <w:r w:rsidR="00941C5E">
        <w:fldChar w:fldCharType="separate"/>
      </w:r>
      <w:r w:rsidR="00977F6F">
        <w:rPr>
          <w:noProof/>
        </w:rPr>
        <w:t>12</w:t>
      </w:r>
      <w:r w:rsidR="00941C5E">
        <w:fldChar w:fldCharType="end"/>
      </w:r>
      <w:r w:rsidRPr="00EF22E8">
        <w:t>)</w:t>
      </w:r>
    </w:p>
    <w:p w14:paraId="143DA97B" w14:textId="77777777" w:rsidR="009F6996" w:rsidRPr="00EF22E8" w:rsidRDefault="009F6996" w:rsidP="00EF22E8">
      <w:pPr>
        <w:pStyle w:val="Heading3"/>
      </w:pPr>
      <w:bookmarkStart w:id="115" w:name="O_54571"/>
      <w:bookmarkStart w:id="116" w:name="_Toc317756654"/>
      <w:bookmarkStart w:id="117" w:name="_Toc331499947"/>
      <w:bookmarkStart w:id="118" w:name="_Toc411430724"/>
      <w:bookmarkStart w:id="119" w:name="_Ref432185516"/>
      <w:bookmarkStart w:id="120" w:name="_Toc166586290"/>
      <w:bookmarkEnd w:id="115"/>
      <w:r w:rsidRPr="00EF22E8">
        <w:t>The Facility Details Pane</w:t>
      </w:r>
      <w:bookmarkEnd w:id="116"/>
      <w:bookmarkEnd w:id="117"/>
      <w:bookmarkEnd w:id="118"/>
      <w:bookmarkEnd w:id="119"/>
      <w:bookmarkEnd w:id="120"/>
    </w:p>
    <w:p w14:paraId="1C9B8CB5" w14:textId="77777777" w:rsidR="009F6996" w:rsidRPr="00EF22E8" w:rsidRDefault="009F6996" w:rsidP="00441A26">
      <w:pPr>
        <w:pStyle w:val="BodyText"/>
      </w:pPr>
      <w:r w:rsidRPr="00EF22E8">
        <w:rPr>
          <w:noProof/>
          <w:lang w:eastAsia="en-GB"/>
        </w:rPr>
        <w:drawing>
          <wp:inline distT="0" distB="0" distL="0" distR="0" wp14:anchorId="2ED3DE17" wp14:editId="10FBE785">
            <wp:extent cx="5400675" cy="2733675"/>
            <wp:effectExtent l="0" t="0" r="9525" b="9525"/>
            <wp:docPr id="31" name="Picture 31" descr="ECF - The Facility Details Pa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F - The Facility Details Pan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2733675"/>
                    </a:xfrm>
                    <a:prstGeom prst="rect">
                      <a:avLst/>
                    </a:prstGeom>
                    <a:noFill/>
                    <a:ln>
                      <a:noFill/>
                    </a:ln>
                  </pic:spPr>
                </pic:pic>
              </a:graphicData>
            </a:graphic>
          </wp:inline>
        </w:drawing>
      </w:r>
    </w:p>
    <w:p w14:paraId="1671B800" w14:textId="77777777" w:rsidR="009F6996" w:rsidRPr="00EF22E8" w:rsidRDefault="002D3DC4" w:rsidP="00917ECD">
      <w:pPr>
        <w:pStyle w:val="NoSpaceAfter"/>
      </w:pPr>
      <w:r w:rsidRPr="00EF22E8">
        <w:br w:type="page"/>
      </w:r>
      <w:r w:rsidR="009F6996" w:rsidRPr="00EF22E8">
        <w:lastRenderedPageBreak/>
        <w:t xml:space="preserve">The following table explains what to </w:t>
      </w:r>
      <w:proofErr w:type="gramStart"/>
      <w:r w:rsidR="009F6996" w:rsidRPr="00EF22E8">
        <w:t>enter into</w:t>
      </w:r>
      <w:proofErr w:type="gramEnd"/>
      <w:r w:rsidR="009F6996" w:rsidRPr="00EF22E8">
        <w:t xml:space="preserve"> the fields in the Facility Details pane:</w:t>
      </w:r>
    </w:p>
    <w:tbl>
      <w:tblPr>
        <w:tblStyle w:val="TableGrid"/>
        <w:tblW w:w="9090" w:type="dxa"/>
        <w:tblLayout w:type="fixed"/>
        <w:tblLook w:val="0020" w:firstRow="1" w:lastRow="0" w:firstColumn="0" w:lastColumn="0" w:noHBand="0" w:noVBand="0"/>
      </w:tblPr>
      <w:tblGrid>
        <w:gridCol w:w="450"/>
        <w:gridCol w:w="1588"/>
        <w:gridCol w:w="7052"/>
      </w:tblGrid>
      <w:tr w:rsidR="009F6996" w:rsidRPr="00EF22E8" w14:paraId="4507890A" w14:textId="77777777" w:rsidTr="75FDCB8A">
        <w:trPr>
          <w:cnfStyle w:val="100000000000" w:firstRow="1" w:lastRow="0" w:firstColumn="0" w:lastColumn="0" w:oddVBand="0" w:evenVBand="0" w:oddHBand="0" w:evenHBand="0" w:firstRowFirstColumn="0" w:firstRowLastColumn="0" w:lastRowFirstColumn="0" w:lastRowLastColumn="0"/>
          <w:trHeight w:val="432"/>
          <w:tblHeader/>
        </w:trPr>
        <w:tc>
          <w:tcPr>
            <w:tcW w:w="450" w:type="dxa"/>
          </w:tcPr>
          <w:p w14:paraId="23AC8CFA" w14:textId="77777777" w:rsidR="009F6996" w:rsidRPr="00EF22E8" w:rsidRDefault="009F6996" w:rsidP="006119C6">
            <w:pPr>
              <w:pStyle w:val="TableHead2"/>
              <w:rPr>
                <w:noProof w:val="0"/>
              </w:rPr>
            </w:pPr>
          </w:p>
        </w:tc>
        <w:tc>
          <w:tcPr>
            <w:tcW w:w="1588" w:type="dxa"/>
          </w:tcPr>
          <w:p w14:paraId="2DA91668" w14:textId="77777777" w:rsidR="009F6996" w:rsidRPr="00EF22E8" w:rsidRDefault="009F6996" w:rsidP="006A1825">
            <w:pPr>
              <w:pStyle w:val="TableHead"/>
            </w:pPr>
            <w:r w:rsidRPr="00EF22E8">
              <w:t>Field</w:t>
            </w:r>
          </w:p>
        </w:tc>
        <w:tc>
          <w:tcPr>
            <w:tcW w:w="7052" w:type="dxa"/>
          </w:tcPr>
          <w:p w14:paraId="4ACD677A" w14:textId="77777777" w:rsidR="009F6996" w:rsidRPr="00EF22E8" w:rsidRDefault="009F6996" w:rsidP="006A1825">
            <w:pPr>
              <w:pStyle w:val="TableHead"/>
            </w:pPr>
            <w:r w:rsidRPr="00EF22E8">
              <w:t>What to Enter</w:t>
            </w:r>
          </w:p>
        </w:tc>
      </w:tr>
      <w:tr w:rsidR="009F6996" w:rsidRPr="00EF22E8" w14:paraId="2A5BC6E1" w14:textId="77777777" w:rsidTr="75FDCB8A">
        <w:trPr>
          <w:cnfStyle w:val="000000100000" w:firstRow="0" w:lastRow="0" w:firstColumn="0" w:lastColumn="0" w:oddVBand="0" w:evenVBand="0" w:oddHBand="1" w:evenHBand="0" w:firstRowFirstColumn="0" w:firstRowLastColumn="0" w:lastRowFirstColumn="0" w:lastRowLastColumn="0"/>
        </w:trPr>
        <w:tc>
          <w:tcPr>
            <w:tcW w:w="450" w:type="dxa"/>
          </w:tcPr>
          <w:p w14:paraId="4D2116AE" w14:textId="77777777" w:rsidR="009F6996" w:rsidRPr="00EF22E8" w:rsidRDefault="009F6996" w:rsidP="006119C6">
            <w:pPr>
              <w:pStyle w:val="TableText"/>
            </w:pPr>
          </w:p>
        </w:tc>
        <w:tc>
          <w:tcPr>
            <w:tcW w:w="1588" w:type="dxa"/>
          </w:tcPr>
          <w:p w14:paraId="096FE715" w14:textId="77777777" w:rsidR="009F6996" w:rsidRPr="00EF22E8" w:rsidRDefault="009F6996" w:rsidP="00990A48">
            <w:pPr>
              <w:pStyle w:val="TableText"/>
            </w:pPr>
            <w:r w:rsidRPr="00EF22E8">
              <w:t>Customer</w:t>
            </w:r>
          </w:p>
        </w:tc>
        <w:tc>
          <w:tcPr>
            <w:tcW w:w="7052" w:type="dxa"/>
          </w:tcPr>
          <w:p w14:paraId="2500CA40" w14:textId="4306EFEE" w:rsidR="009F6996" w:rsidRPr="00EF22E8" w:rsidRDefault="009F6996" w:rsidP="75FDCB8A">
            <w:pPr>
              <w:pStyle w:val="TableText"/>
            </w:pPr>
            <w:r>
              <w:t>Once you select a customer (using the next pane) the customer's name is displayed here.</w:t>
            </w:r>
            <w:r w:rsidR="10E629C8">
              <w:t xml:space="preserve"> </w:t>
            </w:r>
          </w:p>
        </w:tc>
      </w:tr>
      <w:tr w:rsidR="009F6996" w:rsidRPr="00EF22E8" w14:paraId="0530C455" w14:textId="77777777" w:rsidTr="75FDCB8A">
        <w:trPr>
          <w:cnfStyle w:val="000000010000" w:firstRow="0" w:lastRow="0" w:firstColumn="0" w:lastColumn="0" w:oddVBand="0" w:evenVBand="0" w:oddHBand="0" w:evenHBand="1" w:firstRowFirstColumn="0" w:firstRowLastColumn="0" w:lastRowFirstColumn="0" w:lastRowLastColumn="0"/>
        </w:trPr>
        <w:tc>
          <w:tcPr>
            <w:tcW w:w="450" w:type="dxa"/>
          </w:tcPr>
          <w:p w14:paraId="1DE9601C" w14:textId="77777777" w:rsidR="009F6996" w:rsidRPr="00EF22E8" w:rsidRDefault="00223B42" w:rsidP="00990A48">
            <w:pPr>
              <w:pStyle w:val="TableText"/>
            </w:pPr>
            <w:r w:rsidRPr="00EF22E8">
              <w:rPr>
                <w:noProof/>
                <w:lang w:eastAsia="en-GB"/>
              </w:rPr>
              <w:drawing>
                <wp:inline distT="0" distB="0" distL="0" distR="0" wp14:anchorId="2AED9C44" wp14:editId="7890AEB6">
                  <wp:extent cx="150019" cy="13573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BEBA8EAE-BF5A-486C-A8C5-ECC9F3942E4B}">
                                <a14:imgProps xmlns:a14="http://schemas.microsoft.com/office/drawing/2010/main">
                                  <a14:imgLayer r:embed="rId18">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588" w:type="dxa"/>
          </w:tcPr>
          <w:p w14:paraId="1D18D8C2" w14:textId="77777777" w:rsidR="009F6996" w:rsidRPr="00EF22E8" w:rsidRDefault="009F6996" w:rsidP="009F24AF">
            <w:pPr>
              <w:pStyle w:val="TableText"/>
            </w:pPr>
            <w:r w:rsidRPr="00EF22E8">
              <w:t>Agreement Date</w:t>
            </w:r>
          </w:p>
        </w:tc>
        <w:tc>
          <w:tcPr>
            <w:tcW w:w="7052" w:type="dxa"/>
          </w:tcPr>
          <w:p w14:paraId="5D4041FF" w14:textId="77777777" w:rsidR="009F6996" w:rsidRPr="00EF22E8" w:rsidRDefault="009F6996" w:rsidP="009F24AF">
            <w:pPr>
              <w:pStyle w:val="TableText"/>
            </w:pPr>
            <w:r w:rsidRPr="00EF22E8">
              <w:t xml:space="preserve">The date that the facility was created. </w:t>
            </w:r>
            <w:r w:rsidR="00C56462" w:rsidRPr="00EF22E8">
              <w:t xml:space="preserve">The system </w:t>
            </w:r>
            <w:r w:rsidRPr="00EF22E8">
              <w:t>uses today's processing date as the default.</w:t>
            </w:r>
          </w:p>
        </w:tc>
      </w:tr>
      <w:tr w:rsidR="009F6996" w:rsidRPr="00EF22E8" w14:paraId="34BE9CD8" w14:textId="77777777" w:rsidTr="75FDCB8A">
        <w:trPr>
          <w:cnfStyle w:val="000000100000" w:firstRow="0" w:lastRow="0" w:firstColumn="0" w:lastColumn="0" w:oddVBand="0" w:evenVBand="0" w:oddHBand="1" w:evenHBand="0" w:firstRowFirstColumn="0" w:firstRowLastColumn="0" w:lastRowFirstColumn="0" w:lastRowLastColumn="0"/>
        </w:trPr>
        <w:tc>
          <w:tcPr>
            <w:tcW w:w="450" w:type="dxa"/>
          </w:tcPr>
          <w:p w14:paraId="3AE8AB8C" w14:textId="77777777" w:rsidR="009F6996" w:rsidRPr="00EF22E8" w:rsidRDefault="00223B42" w:rsidP="009F24AF">
            <w:pPr>
              <w:pStyle w:val="TableText"/>
            </w:pPr>
            <w:r w:rsidRPr="00EF22E8">
              <w:rPr>
                <w:noProof/>
                <w:lang w:eastAsia="en-GB"/>
              </w:rPr>
              <w:drawing>
                <wp:inline distT="0" distB="0" distL="0" distR="0" wp14:anchorId="618B61AE" wp14:editId="3B2F4579">
                  <wp:extent cx="150019" cy="13573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BEBA8EAE-BF5A-486C-A8C5-ECC9F3942E4B}">
                                <a14:imgProps xmlns:a14="http://schemas.microsoft.com/office/drawing/2010/main">
                                  <a14:imgLayer r:embed="rId18">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588" w:type="dxa"/>
          </w:tcPr>
          <w:p w14:paraId="0B09FC52" w14:textId="77777777" w:rsidR="009F6996" w:rsidRPr="00EF22E8" w:rsidRDefault="009F6996" w:rsidP="009F24AF">
            <w:pPr>
              <w:pStyle w:val="TableText"/>
            </w:pPr>
            <w:r w:rsidRPr="00EF22E8">
              <w:t>Effective Date</w:t>
            </w:r>
          </w:p>
        </w:tc>
        <w:tc>
          <w:tcPr>
            <w:tcW w:w="7052" w:type="dxa"/>
          </w:tcPr>
          <w:p w14:paraId="19217CD4" w14:textId="77777777" w:rsidR="009F6996" w:rsidRPr="00EF22E8" w:rsidRDefault="009F6996" w:rsidP="009F24AF">
            <w:pPr>
              <w:pStyle w:val="TableText"/>
            </w:pPr>
            <w:r w:rsidRPr="00EF22E8">
              <w:t xml:space="preserve">The date from which the facility can be used. This must be before the Expiry Date, and may be a past date. </w:t>
            </w:r>
            <w:r w:rsidR="00C56462" w:rsidRPr="00EF22E8">
              <w:t xml:space="preserve">The system </w:t>
            </w:r>
            <w:r w:rsidRPr="00EF22E8">
              <w:t>uses today's processing date as the default.</w:t>
            </w:r>
          </w:p>
        </w:tc>
      </w:tr>
      <w:tr w:rsidR="009F6996" w:rsidRPr="00EF22E8" w14:paraId="601E967D" w14:textId="77777777" w:rsidTr="75FDCB8A">
        <w:trPr>
          <w:cnfStyle w:val="000000010000" w:firstRow="0" w:lastRow="0" w:firstColumn="0" w:lastColumn="0" w:oddVBand="0" w:evenVBand="0" w:oddHBand="0" w:evenHBand="1" w:firstRowFirstColumn="0" w:firstRowLastColumn="0" w:lastRowFirstColumn="0" w:lastRowLastColumn="0"/>
        </w:trPr>
        <w:tc>
          <w:tcPr>
            <w:tcW w:w="450" w:type="dxa"/>
          </w:tcPr>
          <w:p w14:paraId="0F93DD6B" w14:textId="77777777" w:rsidR="009F6996" w:rsidRPr="00EF22E8" w:rsidRDefault="00223B42" w:rsidP="009F24AF">
            <w:pPr>
              <w:pStyle w:val="TableText"/>
            </w:pPr>
            <w:r w:rsidRPr="00EF22E8">
              <w:rPr>
                <w:noProof/>
                <w:lang w:eastAsia="en-GB"/>
              </w:rPr>
              <w:drawing>
                <wp:inline distT="0" distB="0" distL="0" distR="0" wp14:anchorId="1F891710" wp14:editId="69468E10">
                  <wp:extent cx="150019" cy="135731"/>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BEBA8EAE-BF5A-486C-A8C5-ECC9F3942E4B}">
                                <a14:imgProps xmlns:a14="http://schemas.microsoft.com/office/drawing/2010/main">
                                  <a14:imgLayer r:embed="rId18">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588" w:type="dxa"/>
          </w:tcPr>
          <w:p w14:paraId="36A20845" w14:textId="77777777" w:rsidR="009F6996" w:rsidRPr="00EF22E8" w:rsidRDefault="009F6996" w:rsidP="009F24AF">
            <w:pPr>
              <w:pStyle w:val="TableText"/>
            </w:pPr>
            <w:r w:rsidRPr="00EF22E8">
              <w:t>Expiry Date</w:t>
            </w:r>
          </w:p>
        </w:tc>
        <w:tc>
          <w:tcPr>
            <w:tcW w:w="7052" w:type="dxa"/>
          </w:tcPr>
          <w:p w14:paraId="012413F7" w14:textId="77777777" w:rsidR="009F6996" w:rsidRPr="00EF22E8" w:rsidRDefault="009F6996" w:rsidP="009F24AF">
            <w:pPr>
              <w:pStyle w:val="TableText"/>
            </w:pPr>
            <w:r w:rsidRPr="00EF22E8">
              <w:t>The date that the facility expires. After this date, this deal cannot be linked to new financing transactions. This must be after the Effective Date.</w:t>
            </w:r>
          </w:p>
        </w:tc>
      </w:tr>
      <w:tr w:rsidR="009F6996" w:rsidRPr="00EF22E8" w14:paraId="2A605BBC" w14:textId="77777777" w:rsidTr="75FDCB8A">
        <w:trPr>
          <w:cnfStyle w:val="000000100000" w:firstRow="0" w:lastRow="0" w:firstColumn="0" w:lastColumn="0" w:oddVBand="0" w:evenVBand="0" w:oddHBand="1" w:evenHBand="0" w:firstRowFirstColumn="0" w:firstRowLastColumn="0" w:lastRowFirstColumn="0" w:lastRowLastColumn="0"/>
        </w:trPr>
        <w:tc>
          <w:tcPr>
            <w:tcW w:w="450" w:type="dxa"/>
          </w:tcPr>
          <w:p w14:paraId="10801640" w14:textId="77777777" w:rsidR="009F6996" w:rsidRPr="00EF22E8" w:rsidRDefault="009F6996" w:rsidP="006119C6">
            <w:pPr>
              <w:pStyle w:val="TableText"/>
            </w:pPr>
          </w:p>
        </w:tc>
        <w:tc>
          <w:tcPr>
            <w:tcW w:w="1588" w:type="dxa"/>
          </w:tcPr>
          <w:p w14:paraId="1CE25637" w14:textId="77777777" w:rsidR="009F6996" w:rsidRPr="00EF22E8" w:rsidRDefault="009F6996" w:rsidP="009F24AF">
            <w:pPr>
              <w:pStyle w:val="TableText"/>
            </w:pPr>
            <w:r w:rsidRPr="00EF22E8">
              <w:t>Restrict to Named Customer</w:t>
            </w:r>
          </w:p>
        </w:tc>
        <w:tc>
          <w:tcPr>
            <w:tcW w:w="7052" w:type="dxa"/>
          </w:tcPr>
          <w:p w14:paraId="321241F7" w14:textId="77777777" w:rsidR="008475C0" w:rsidRPr="00FC2A7C" w:rsidRDefault="008475C0" w:rsidP="00990A48">
            <w:pPr>
              <w:pStyle w:val="TableText"/>
            </w:pPr>
            <w:r w:rsidRPr="00FC2A7C">
              <w:t xml:space="preserve">Check this field if the deal is restricted for use with the named customer only. By </w:t>
            </w:r>
            <w:r w:rsidRPr="00990A48">
              <w:t>default</w:t>
            </w:r>
            <w:r w:rsidRPr="00FC2A7C">
              <w:t>, this is checked and the deal is restricted.</w:t>
            </w:r>
          </w:p>
          <w:p w14:paraId="01796D3D" w14:textId="77777777" w:rsidR="009F6996" w:rsidRPr="00EF22E8" w:rsidRDefault="008475C0" w:rsidP="009F24AF">
            <w:pPr>
              <w:pStyle w:val="TableText"/>
            </w:pPr>
            <w:r w:rsidRPr="00FC2A7C">
              <w:t>You might want to leave this field blank if the participation deal is intended for use with the transactions of several related customers, such as a group of companies.</w:t>
            </w:r>
          </w:p>
        </w:tc>
      </w:tr>
      <w:tr w:rsidR="009F6996" w:rsidRPr="00EF22E8" w14:paraId="78D1E730" w14:textId="77777777" w:rsidTr="75FDCB8A">
        <w:trPr>
          <w:cnfStyle w:val="000000010000" w:firstRow="0" w:lastRow="0" w:firstColumn="0" w:lastColumn="0" w:oddVBand="0" w:evenVBand="0" w:oddHBand="0" w:evenHBand="1" w:firstRowFirstColumn="0" w:firstRowLastColumn="0" w:lastRowFirstColumn="0" w:lastRowLastColumn="0"/>
        </w:trPr>
        <w:tc>
          <w:tcPr>
            <w:tcW w:w="450" w:type="dxa"/>
          </w:tcPr>
          <w:p w14:paraId="4DABF2F8" w14:textId="77777777" w:rsidR="009F6996" w:rsidRPr="00EF22E8" w:rsidRDefault="009F6996" w:rsidP="006119C6">
            <w:pPr>
              <w:pStyle w:val="TableText"/>
            </w:pPr>
          </w:p>
        </w:tc>
        <w:tc>
          <w:tcPr>
            <w:tcW w:w="1588" w:type="dxa"/>
          </w:tcPr>
          <w:p w14:paraId="5894F7DC" w14:textId="77777777" w:rsidR="009F6996" w:rsidRPr="00EF22E8" w:rsidRDefault="009F6996" w:rsidP="009F24AF">
            <w:pPr>
              <w:pStyle w:val="TableText"/>
            </w:pPr>
            <w:r w:rsidRPr="00EF22E8">
              <w:t>Amount Available is Revolving</w:t>
            </w:r>
          </w:p>
        </w:tc>
        <w:tc>
          <w:tcPr>
            <w:tcW w:w="7052" w:type="dxa"/>
          </w:tcPr>
          <w:p w14:paraId="65F59A52" w14:textId="77777777" w:rsidR="009F6996" w:rsidRPr="00EF22E8" w:rsidRDefault="009F6996" w:rsidP="009F24AF">
            <w:pPr>
              <w:pStyle w:val="TableText"/>
            </w:pPr>
            <w:r w:rsidRPr="00EF22E8">
              <w:t>Check this field if the facility is revolving. For a revolving facility, the commitment amount available is increased when related financing transactions are paid or expired. This is achieved by the relevant event in the financing transaction creating a subsidiary Drawdown/Revolve Facility event against the related export credit agency facility that increases its available amount.</w:t>
            </w:r>
          </w:p>
          <w:p w14:paraId="1A2E2F1B" w14:textId="77777777" w:rsidR="009F6996" w:rsidRPr="00EF22E8" w:rsidRDefault="009F6996" w:rsidP="009F24AF">
            <w:pPr>
              <w:pStyle w:val="TableText"/>
            </w:pPr>
            <w:r w:rsidRPr="00EF22E8">
              <w:t>By default, this field is not checked and the facility is not revolving.</w:t>
            </w:r>
          </w:p>
        </w:tc>
      </w:tr>
      <w:tr w:rsidR="009F6996" w:rsidRPr="00EF22E8" w14:paraId="1C6D7D23" w14:textId="77777777" w:rsidTr="75FDCB8A">
        <w:trPr>
          <w:cnfStyle w:val="000000100000" w:firstRow="0" w:lastRow="0" w:firstColumn="0" w:lastColumn="0" w:oddVBand="0" w:evenVBand="0" w:oddHBand="1" w:evenHBand="0" w:firstRowFirstColumn="0" w:firstRowLastColumn="0" w:lastRowFirstColumn="0" w:lastRowLastColumn="0"/>
        </w:trPr>
        <w:tc>
          <w:tcPr>
            <w:tcW w:w="450" w:type="dxa"/>
          </w:tcPr>
          <w:p w14:paraId="279F081C" w14:textId="77777777" w:rsidR="009F6996" w:rsidRPr="00EF22E8" w:rsidRDefault="009F6996" w:rsidP="006119C6">
            <w:pPr>
              <w:pStyle w:val="TableText"/>
            </w:pPr>
          </w:p>
        </w:tc>
        <w:tc>
          <w:tcPr>
            <w:tcW w:w="1588" w:type="dxa"/>
          </w:tcPr>
          <w:p w14:paraId="1B06F4C3" w14:textId="77777777" w:rsidR="009F6996" w:rsidRPr="00EF22E8" w:rsidRDefault="009F6996" w:rsidP="009F24AF">
            <w:pPr>
              <w:pStyle w:val="TableText"/>
            </w:pPr>
            <w:r w:rsidRPr="00EF22E8">
              <w:t>Product Type</w:t>
            </w:r>
          </w:p>
        </w:tc>
        <w:tc>
          <w:tcPr>
            <w:tcW w:w="7052" w:type="dxa"/>
          </w:tcPr>
          <w:p w14:paraId="74E8A777" w14:textId="77777777" w:rsidR="009F6996" w:rsidRPr="00EF22E8" w:rsidRDefault="009F6996" w:rsidP="009F24AF">
            <w:pPr>
              <w:pStyle w:val="TableText"/>
            </w:pPr>
            <w:r w:rsidRPr="00EF22E8">
              <w:t>Select the appropriate product type from the drop-down list in this field. Depending on how your system has been configured, this field may be mandatory.</w:t>
            </w:r>
          </w:p>
        </w:tc>
      </w:tr>
      <w:tr w:rsidR="009F6996" w:rsidRPr="00EF22E8" w14:paraId="716E1E48" w14:textId="77777777" w:rsidTr="75FDCB8A">
        <w:trPr>
          <w:cnfStyle w:val="000000010000" w:firstRow="0" w:lastRow="0" w:firstColumn="0" w:lastColumn="0" w:oddVBand="0" w:evenVBand="0" w:oddHBand="0" w:evenHBand="1" w:firstRowFirstColumn="0" w:firstRowLastColumn="0" w:lastRowFirstColumn="0" w:lastRowLastColumn="0"/>
        </w:trPr>
        <w:tc>
          <w:tcPr>
            <w:tcW w:w="450" w:type="dxa"/>
          </w:tcPr>
          <w:p w14:paraId="2F6679C3" w14:textId="77777777" w:rsidR="009F6996" w:rsidRPr="00EF22E8" w:rsidRDefault="009F6996" w:rsidP="006119C6">
            <w:pPr>
              <w:pStyle w:val="TableText"/>
            </w:pPr>
          </w:p>
        </w:tc>
        <w:tc>
          <w:tcPr>
            <w:tcW w:w="1588" w:type="dxa"/>
          </w:tcPr>
          <w:p w14:paraId="095A03B6" w14:textId="77777777" w:rsidR="009F6996" w:rsidRPr="00EF22E8" w:rsidRDefault="009F6996" w:rsidP="009F24AF">
            <w:pPr>
              <w:pStyle w:val="TableText"/>
            </w:pPr>
            <w:r w:rsidRPr="00EF22E8">
              <w:t>Manual Rollover</w:t>
            </w:r>
          </w:p>
        </w:tc>
        <w:tc>
          <w:tcPr>
            <w:tcW w:w="7052" w:type="dxa"/>
          </w:tcPr>
          <w:p w14:paraId="5D4D16BC" w14:textId="77777777" w:rsidR="009F6996" w:rsidRPr="00EF22E8" w:rsidRDefault="009F6996" w:rsidP="009F24AF">
            <w:pPr>
              <w:pStyle w:val="TableText"/>
            </w:pPr>
            <w:r w:rsidRPr="00EF22E8">
              <w:t>If there has already been a rollover against the related Master Certificate of Performance check this flag.</w:t>
            </w:r>
          </w:p>
        </w:tc>
      </w:tr>
      <w:tr w:rsidR="009F6996" w:rsidRPr="00EF22E8" w14:paraId="64825258" w14:textId="77777777" w:rsidTr="75FDCB8A">
        <w:trPr>
          <w:cnfStyle w:val="000000100000" w:firstRow="0" w:lastRow="0" w:firstColumn="0" w:lastColumn="0" w:oddVBand="0" w:evenVBand="0" w:oddHBand="1" w:evenHBand="0" w:firstRowFirstColumn="0" w:firstRowLastColumn="0" w:lastRowFirstColumn="0" w:lastRowLastColumn="0"/>
        </w:trPr>
        <w:tc>
          <w:tcPr>
            <w:tcW w:w="450" w:type="dxa"/>
          </w:tcPr>
          <w:p w14:paraId="288CB741" w14:textId="77777777" w:rsidR="009F6996" w:rsidRPr="00EF22E8" w:rsidRDefault="009F6996" w:rsidP="006119C6">
            <w:pPr>
              <w:pStyle w:val="TableText"/>
            </w:pPr>
          </w:p>
        </w:tc>
        <w:tc>
          <w:tcPr>
            <w:tcW w:w="1588" w:type="dxa"/>
          </w:tcPr>
          <w:p w14:paraId="395EFF45" w14:textId="77777777" w:rsidR="009F6996" w:rsidRPr="00EF22E8" w:rsidRDefault="009F6996" w:rsidP="009F24AF">
            <w:pPr>
              <w:pStyle w:val="TableText"/>
            </w:pPr>
            <w:r w:rsidRPr="00EF22E8">
              <w:t>Underlying Facility Amount</w:t>
            </w:r>
          </w:p>
        </w:tc>
        <w:tc>
          <w:tcPr>
            <w:tcW w:w="7052" w:type="dxa"/>
          </w:tcPr>
          <w:p w14:paraId="0C73DEEC" w14:textId="77777777" w:rsidR="009F6996" w:rsidRPr="00EF22E8" w:rsidRDefault="009F6996" w:rsidP="009F24AF">
            <w:pPr>
              <w:pStyle w:val="TableText"/>
            </w:pPr>
            <w:r w:rsidRPr="00EF22E8">
              <w:t>The available amount of underlying instrument, for example an Export Letter of Credit.</w:t>
            </w:r>
          </w:p>
          <w:p w14:paraId="543BC9F1" w14:textId="77777777" w:rsidR="009F6996" w:rsidRPr="00EF22E8" w:rsidRDefault="009F6996" w:rsidP="009F24AF">
            <w:pPr>
              <w:pStyle w:val="TableText"/>
            </w:pPr>
            <w:r w:rsidRPr="00EF22E8">
              <w:t>This amount is either:</w:t>
            </w:r>
          </w:p>
          <w:p w14:paraId="14BF03F6" w14:textId="77777777" w:rsidR="009F6996" w:rsidRPr="00EF22E8" w:rsidRDefault="009F6996" w:rsidP="009D0D89">
            <w:pPr>
              <w:pStyle w:val="TableBullet1"/>
            </w:pPr>
            <w:r w:rsidRPr="00EF22E8">
              <w:t>automatically defaulted when you browse on and select the related transaction via the “Under</w:t>
            </w:r>
            <w:r w:rsidR="00770A33" w:rsidRPr="00EF22E8">
              <w:t>lying facility reference” field</w:t>
            </w:r>
          </w:p>
          <w:p w14:paraId="7F07ACEF" w14:textId="77777777" w:rsidR="009F6996" w:rsidRPr="00EF22E8" w:rsidRDefault="009F6996" w:rsidP="009D0D89">
            <w:pPr>
              <w:pStyle w:val="TableBullet1"/>
            </w:pPr>
            <w:r w:rsidRPr="00EF22E8">
              <w:t>manually entered if an underlying facility reference is not entered or selected</w:t>
            </w:r>
          </w:p>
        </w:tc>
      </w:tr>
      <w:tr w:rsidR="009F6996" w:rsidRPr="00EF22E8" w14:paraId="45A9CC91" w14:textId="77777777" w:rsidTr="75FDCB8A">
        <w:trPr>
          <w:cnfStyle w:val="000000010000" w:firstRow="0" w:lastRow="0" w:firstColumn="0" w:lastColumn="0" w:oddVBand="0" w:evenVBand="0" w:oddHBand="0" w:evenHBand="1" w:firstRowFirstColumn="0" w:firstRowLastColumn="0" w:lastRowFirstColumn="0" w:lastRowLastColumn="0"/>
        </w:trPr>
        <w:tc>
          <w:tcPr>
            <w:tcW w:w="450" w:type="dxa"/>
          </w:tcPr>
          <w:p w14:paraId="769DEE2E" w14:textId="77777777" w:rsidR="009F6996" w:rsidRPr="00EF22E8" w:rsidRDefault="009F6996" w:rsidP="006119C6">
            <w:pPr>
              <w:pStyle w:val="TableText"/>
            </w:pPr>
          </w:p>
        </w:tc>
        <w:tc>
          <w:tcPr>
            <w:tcW w:w="1588" w:type="dxa"/>
          </w:tcPr>
          <w:p w14:paraId="23C7505A" w14:textId="77777777" w:rsidR="009F6996" w:rsidRPr="00EF22E8" w:rsidRDefault="009F6996" w:rsidP="009F24AF">
            <w:pPr>
              <w:pStyle w:val="TableText"/>
            </w:pPr>
            <w:r w:rsidRPr="00EF22E8">
              <w:t>Underlying Facility Reference</w:t>
            </w:r>
          </w:p>
        </w:tc>
        <w:tc>
          <w:tcPr>
            <w:tcW w:w="7052" w:type="dxa"/>
          </w:tcPr>
          <w:p w14:paraId="30624711" w14:textId="77777777" w:rsidR="009F6996" w:rsidRPr="00EF22E8" w:rsidRDefault="009F6996" w:rsidP="009F24AF">
            <w:pPr>
              <w:pStyle w:val="TableText"/>
            </w:pPr>
            <w:r w:rsidRPr="00EF22E8">
              <w:t>The reference of the underlying instrument</w:t>
            </w:r>
            <w:r w:rsidR="00287098" w:rsidRPr="00EF22E8">
              <w:t>.</w:t>
            </w:r>
          </w:p>
          <w:p w14:paraId="454D1DC2" w14:textId="77777777" w:rsidR="009F6996" w:rsidRPr="00EF22E8" w:rsidRDefault="009F6996" w:rsidP="009F24AF">
            <w:pPr>
              <w:pStyle w:val="TableText"/>
            </w:pPr>
            <w:r w:rsidRPr="00EF22E8">
              <w:t>You may enter the reference (if known) or browse on and select the underlying instrument, for example an Export Letter of Credit. However, any product/master may be selected.</w:t>
            </w:r>
          </w:p>
          <w:p w14:paraId="3A7B795D" w14:textId="77777777" w:rsidR="009F6996" w:rsidRPr="00EF22E8" w:rsidRDefault="009F6996" w:rsidP="009F24AF">
            <w:pPr>
              <w:pStyle w:val="TableText"/>
            </w:pPr>
            <w:r w:rsidRPr="00EF22E8">
              <w:t>This field is initially blank. If you select the option to browse for an existing transaction using the ‘?’ button, a Master Browser is made available. This defaults to the Export Letter of Credit (ELC) product and automatically returns a list of all ELCs currently with a ‘Live’ status. The available amount is also displayed. You can now filter on and select the required underlying instrument.</w:t>
            </w:r>
          </w:p>
          <w:p w14:paraId="2DEBAF1E" w14:textId="77777777" w:rsidR="009F6996" w:rsidRPr="00EF22E8" w:rsidRDefault="009F6996" w:rsidP="009F24AF">
            <w:pPr>
              <w:pStyle w:val="TableText"/>
            </w:pPr>
            <w:r w:rsidRPr="00EF22E8">
              <w:t>The linkage between the ECF and the underlying instrument may not be updated/detached once the Create event has been authorised.</w:t>
            </w:r>
          </w:p>
        </w:tc>
      </w:tr>
      <w:tr w:rsidR="009F6996" w:rsidRPr="00EF22E8" w14:paraId="1C6D5D73" w14:textId="77777777" w:rsidTr="75FDCB8A">
        <w:trPr>
          <w:cnfStyle w:val="000000100000" w:firstRow="0" w:lastRow="0" w:firstColumn="0" w:lastColumn="0" w:oddVBand="0" w:evenVBand="0" w:oddHBand="1" w:evenHBand="0" w:firstRowFirstColumn="0" w:firstRowLastColumn="0" w:lastRowFirstColumn="0" w:lastRowLastColumn="0"/>
        </w:trPr>
        <w:tc>
          <w:tcPr>
            <w:tcW w:w="450" w:type="dxa"/>
          </w:tcPr>
          <w:p w14:paraId="1E19B922" w14:textId="77777777" w:rsidR="009F6996" w:rsidRPr="00EF22E8" w:rsidRDefault="009F6996" w:rsidP="006119C6">
            <w:pPr>
              <w:pStyle w:val="TableText"/>
            </w:pPr>
          </w:p>
        </w:tc>
        <w:tc>
          <w:tcPr>
            <w:tcW w:w="1588" w:type="dxa"/>
          </w:tcPr>
          <w:p w14:paraId="5BE01AC0" w14:textId="77777777" w:rsidR="009F6996" w:rsidRPr="00EF22E8" w:rsidRDefault="009F6996" w:rsidP="009F24AF">
            <w:pPr>
              <w:pStyle w:val="TableText"/>
            </w:pPr>
            <w:r w:rsidRPr="00EF22E8">
              <w:t>Amount/</w:t>
            </w:r>
            <w:r w:rsidRPr="00EF22E8">
              <w:br/>
              <w:t>Percent</w:t>
            </w:r>
          </w:p>
        </w:tc>
        <w:tc>
          <w:tcPr>
            <w:tcW w:w="7052" w:type="dxa"/>
          </w:tcPr>
          <w:p w14:paraId="3F6F29F1" w14:textId="77777777" w:rsidR="009F6996" w:rsidRPr="00EF22E8" w:rsidRDefault="009F6996" w:rsidP="009F24AF">
            <w:pPr>
              <w:pStyle w:val="TableText"/>
            </w:pPr>
            <w:r w:rsidRPr="00EF22E8">
              <w:t>The default percentage set up for the ECF at Product Type level.</w:t>
            </w:r>
          </w:p>
          <w:p w14:paraId="26A8D580" w14:textId="77777777" w:rsidR="009F6996" w:rsidRPr="00EF22E8" w:rsidRDefault="009F6996" w:rsidP="009F24AF">
            <w:pPr>
              <w:pStyle w:val="TableText"/>
            </w:pPr>
            <w:r w:rsidRPr="00EF22E8">
              <w:t>This represents the maximum percentage that may be drawn down under the ECF. The percentage that defaults has the effect of automatically setting the value displayed in the ‘Amount’ field. If a default has not been set up for the Product Type, the system defaults to ‘100%’.</w:t>
            </w:r>
          </w:p>
          <w:p w14:paraId="361345E6" w14:textId="77777777" w:rsidR="009F6996" w:rsidRPr="00EF22E8" w:rsidRDefault="009F6996" w:rsidP="009F24AF">
            <w:pPr>
              <w:pStyle w:val="TableText"/>
            </w:pPr>
            <w:r w:rsidRPr="00EF22E8">
              <w:t>To manually define the amount of the ECF as a percentage, select ‘Percent’ from the drop-down list and enter the percentage into the ‘Percent’ field. To define the ECF as an amount, select ‘Amount’ from the drop-down list and enter the amount into the ‘Amount’ field.</w:t>
            </w:r>
          </w:p>
        </w:tc>
      </w:tr>
      <w:tr w:rsidR="009F6996" w:rsidRPr="00EF22E8" w14:paraId="5E2AF8AF" w14:textId="77777777" w:rsidTr="75FDCB8A">
        <w:trPr>
          <w:cnfStyle w:val="000000010000" w:firstRow="0" w:lastRow="0" w:firstColumn="0" w:lastColumn="0" w:oddVBand="0" w:evenVBand="0" w:oddHBand="0" w:evenHBand="1" w:firstRowFirstColumn="0" w:firstRowLastColumn="0" w:lastRowFirstColumn="0" w:lastRowLastColumn="0"/>
        </w:trPr>
        <w:tc>
          <w:tcPr>
            <w:tcW w:w="450" w:type="dxa"/>
          </w:tcPr>
          <w:p w14:paraId="2AA6D6E6" w14:textId="77777777" w:rsidR="009F6996" w:rsidRPr="00EF22E8" w:rsidRDefault="009F6996" w:rsidP="006119C6">
            <w:pPr>
              <w:pStyle w:val="TableText"/>
            </w:pPr>
          </w:p>
        </w:tc>
        <w:tc>
          <w:tcPr>
            <w:tcW w:w="1588" w:type="dxa"/>
          </w:tcPr>
          <w:p w14:paraId="5D8F1264" w14:textId="77777777" w:rsidR="009F6996" w:rsidRPr="00EF22E8" w:rsidRDefault="009F6996" w:rsidP="009F24AF">
            <w:pPr>
              <w:pStyle w:val="TableText"/>
            </w:pPr>
            <w:r w:rsidRPr="00EF22E8">
              <w:t>Percent</w:t>
            </w:r>
          </w:p>
        </w:tc>
        <w:tc>
          <w:tcPr>
            <w:tcW w:w="7052" w:type="dxa"/>
          </w:tcPr>
          <w:p w14:paraId="54C16230" w14:textId="77777777" w:rsidR="009F6996" w:rsidRPr="00EF22E8" w:rsidRDefault="009F6996" w:rsidP="009F24AF">
            <w:pPr>
              <w:pStyle w:val="TableText"/>
            </w:pPr>
            <w:r w:rsidRPr="00EF22E8">
              <w:t>The available percentage.</w:t>
            </w:r>
          </w:p>
          <w:p w14:paraId="19E0BFCE" w14:textId="77777777" w:rsidR="009F6996" w:rsidRPr="00EF22E8" w:rsidRDefault="009F6996" w:rsidP="009F24AF">
            <w:pPr>
              <w:pStyle w:val="TableText"/>
            </w:pPr>
            <w:r w:rsidRPr="00EF22E8">
              <w:t>This is defaulted from the Available Percentage defined at Product Type level. It is also possible for you to manually override the defaulted percentage.</w:t>
            </w:r>
          </w:p>
        </w:tc>
      </w:tr>
      <w:tr w:rsidR="009F6996" w:rsidRPr="00EF22E8" w14:paraId="08D22DE7" w14:textId="77777777" w:rsidTr="75FDCB8A">
        <w:trPr>
          <w:cnfStyle w:val="000000100000" w:firstRow="0" w:lastRow="0" w:firstColumn="0" w:lastColumn="0" w:oddVBand="0" w:evenVBand="0" w:oddHBand="1" w:evenHBand="0" w:firstRowFirstColumn="0" w:firstRowLastColumn="0" w:lastRowFirstColumn="0" w:lastRowLastColumn="0"/>
        </w:trPr>
        <w:tc>
          <w:tcPr>
            <w:tcW w:w="450" w:type="dxa"/>
          </w:tcPr>
          <w:p w14:paraId="319329EA" w14:textId="77777777" w:rsidR="009F6996" w:rsidRPr="00EF22E8" w:rsidRDefault="009F6996" w:rsidP="006119C6">
            <w:pPr>
              <w:pStyle w:val="TableText"/>
            </w:pPr>
          </w:p>
        </w:tc>
        <w:tc>
          <w:tcPr>
            <w:tcW w:w="1588" w:type="dxa"/>
          </w:tcPr>
          <w:p w14:paraId="75BBD5C3" w14:textId="77777777" w:rsidR="009F6996" w:rsidRPr="00EF22E8" w:rsidRDefault="009F6996" w:rsidP="009F24AF">
            <w:pPr>
              <w:pStyle w:val="TableText"/>
            </w:pPr>
            <w:r w:rsidRPr="00EF22E8">
              <w:t>Amount</w:t>
            </w:r>
          </w:p>
        </w:tc>
        <w:tc>
          <w:tcPr>
            <w:tcW w:w="7052" w:type="dxa"/>
          </w:tcPr>
          <w:p w14:paraId="42049F4A" w14:textId="77777777" w:rsidR="009F6996" w:rsidRPr="00EF22E8" w:rsidRDefault="009F6996" w:rsidP="009F24AF">
            <w:pPr>
              <w:pStyle w:val="TableText"/>
            </w:pPr>
            <w:r w:rsidRPr="00EF22E8">
              <w:t>The ECF amount, based upon the available percentage.</w:t>
            </w:r>
          </w:p>
          <w:p w14:paraId="465FA0B1" w14:textId="77777777" w:rsidR="009F6996" w:rsidRPr="00EF22E8" w:rsidRDefault="009F6996" w:rsidP="009F24AF">
            <w:pPr>
              <w:pStyle w:val="TableText"/>
            </w:pPr>
            <w:r w:rsidRPr="00EF22E8">
              <w:lastRenderedPageBreak/>
              <w:t>This defaults automatically if the available percentage is defined on the Product Type. However the system ensures that this does not exceed the maximum percentage allowed.</w:t>
            </w:r>
          </w:p>
          <w:p w14:paraId="5DA472BA" w14:textId="77777777" w:rsidR="009F6996" w:rsidRPr="00EF22E8" w:rsidRDefault="009F6996" w:rsidP="009F24AF">
            <w:pPr>
              <w:pStyle w:val="TableText"/>
            </w:pPr>
            <w:r w:rsidRPr="00EF22E8">
              <w:t>You are allowed to enter the amount manually if required (see ‘Amount/Percent’ above).</w:t>
            </w:r>
          </w:p>
        </w:tc>
      </w:tr>
      <w:tr w:rsidR="009F6996" w:rsidRPr="00EF22E8" w14:paraId="2FA4E869" w14:textId="77777777" w:rsidTr="75FDCB8A">
        <w:trPr>
          <w:cnfStyle w:val="000000010000" w:firstRow="0" w:lastRow="0" w:firstColumn="0" w:lastColumn="0" w:oddVBand="0" w:evenVBand="0" w:oddHBand="0" w:evenHBand="1" w:firstRowFirstColumn="0" w:firstRowLastColumn="0" w:lastRowFirstColumn="0" w:lastRowLastColumn="0"/>
        </w:trPr>
        <w:tc>
          <w:tcPr>
            <w:tcW w:w="450" w:type="dxa"/>
          </w:tcPr>
          <w:p w14:paraId="0237B2B7" w14:textId="77777777" w:rsidR="009F6996" w:rsidRPr="00EF22E8" w:rsidRDefault="009F6996" w:rsidP="006119C6">
            <w:pPr>
              <w:pStyle w:val="TableText"/>
            </w:pPr>
          </w:p>
        </w:tc>
        <w:tc>
          <w:tcPr>
            <w:tcW w:w="1588" w:type="dxa"/>
          </w:tcPr>
          <w:p w14:paraId="2DCFC802" w14:textId="77777777" w:rsidR="009F6996" w:rsidRPr="00EF22E8" w:rsidRDefault="009F6996" w:rsidP="009F24AF">
            <w:pPr>
              <w:pStyle w:val="TableText"/>
            </w:pPr>
            <w:r w:rsidRPr="00EF22E8">
              <w:t>Facility Currency</w:t>
            </w:r>
          </w:p>
        </w:tc>
        <w:tc>
          <w:tcPr>
            <w:tcW w:w="7052" w:type="dxa"/>
          </w:tcPr>
          <w:p w14:paraId="1738D10B" w14:textId="77777777" w:rsidR="009F6996" w:rsidRPr="00EF22E8" w:rsidRDefault="009F6996" w:rsidP="009F24AF">
            <w:pPr>
              <w:pStyle w:val="TableText"/>
            </w:pPr>
            <w:r w:rsidRPr="00EF22E8">
              <w:t>This defaults to the “Underlying facility currency” but allows you to manually enter an alternative currency code if required.</w:t>
            </w:r>
          </w:p>
          <w:p w14:paraId="79B85514" w14:textId="77777777" w:rsidR="009F6996" w:rsidRPr="00EF22E8" w:rsidRDefault="009F6996" w:rsidP="009F24AF">
            <w:pPr>
              <w:pStyle w:val="TableText"/>
            </w:pPr>
            <w:r w:rsidRPr="00EF22E8">
              <w:t>Where a different currency is entered, pressing the ‘Calculate’ button automatically defaults the appropriate exchange rate and converts the ECF ‘Amount’ into the new currency. This is displayed in the ‘Total facility amount’ field.</w:t>
            </w:r>
          </w:p>
        </w:tc>
      </w:tr>
      <w:tr w:rsidR="009F6996" w:rsidRPr="00EF22E8" w14:paraId="34EAC823" w14:textId="77777777" w:rsidTr="75FDCB8A">
        <w:trPr>
          <w:cnfStyle w:val="000000100000" w:firstRow="0" w:lastRow="0" w:firstColumn="0" w:lastColumn="0" w:oddVBand="0" w:evenVBand="0" w:oddHBand="1" w:evenHBand="0" w:firstRowFirstColumn="0" w:firstRowLastColumn="0" w:lastRowFirstColumn="0" w:lastRowLastColumn="0"/>
        </w:trPr>
        <w:tc>
          <w:tcPr>
            <w:tcW w:w="450" w:type="dxa"/>
          </w:tcPr>
          <w:p w14:paraId="6474DFA1" w14:textId="77777777" w:rsidR="009F6996" w:rsidRPr="00EF22E8" w:rsidRDefault="00223B42" w:rsidP="009F24AF">
            <w:pPr>
              <w:pStyle w:val="TableText"/>
            </w:pPr>
            <w:r w:rsidRPr="00EF22E8">
              <w:rPr>
                <w:noProof/>
                <w:lang w:eastAsia="en-GB"/>
              </w:rPr>
              <w:drawing>
                <wp:inline distT="0" distB="0" distL="0" distR="0" wp14:anchorId="52C4E011" wp14:editId="65D4C75D">
                  <wp:extent cx="150019" cy="135731"/>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BEBA8EAE-BF5A-486C-A8C5-ECC9F3942E4B}">
                                <a14:imgProps xmlns:a14="http://schemas.microsoft.com/office/drawing/2010/main">
                                  <a14:imgLayer r:embed="rId18">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588" w:type="dxa"/>
          </w:tcPr>
          <w:p w14:paraId="72B41B5F" w14:textId="77777777" w:rsidR="009F6996" w:rsidRPr="00EF22E8" w:rsidRDefault="009F6996" w:rsidP="009F24AF">
            <w:pPr>
              <w:pStyle w:val="TableText"/>
            </w:pPr>
            <w:r w:rsidRPr="00EF22E8">
              <w:t>Total Facility Amount</w:t>
            </w:r>
          </w:p>
        </w:tc>
        <w:tc>
          <w:tcPr>
            <w:tcW w:w="7052" w:type="dxa"/>
          </w:tcPr>
          <w:p w14:paraId="028AFD55" w14:textId="77777777" w:rsidR="009F6996" w:rsidRPr="00EF22E8" w:rsidRDefault="009F6996" w:rsidP="009F24AF">
            <w:pPr>
              <w:pStyle w:val="TableText"/>
            </w:pPr>
            <w:r w:rsidRPr="00EF22E8">
              <w:t>The total facility amount available to be drawn down in either of the following:</w:t>
            </w:r>
          </w:p>
          <w:p w14:paraId="2925560F" w14:textId="77777777" w:rsidR="009F6996" w:rsidRPr="00EF22E8" w:rsidRDefault="009F6996" w:rsidP="009D0D89">
            <w:pPr>
              <w:pStyle w:val="TableBullet1"/>
            </w:pPr>
            <w:r w:rsidRPr="00EF22E8">
              <w:t>the underlying facility currency, for example the underlying ELC currency, which is the default</w:t>
            </w:r>
          </w:p>
          <w:p w14:paraId="18634F6D" w14:textId="77777777" w:rsidR="009F6996" w:rsidRPr="00EF22E8" w:rsidRDefault="009F6996" w:rsidP="009D0D89">
            <w:pPr>
              <w:pStyle w:val="TableBullet1"/>
            </w:pPr>
            <w:r w:rsidRPr="00EF22E8">
              <w:t>the equivalent foreign currency, where an exchange rate is used</w:t>
            </w:r>
          </w:p>
        </w:tc>
      </w:tr>
      <w:tr w:rsidR="009F6996" w:rsidRPr="00EF22E8" w14:paraId="517AAEF8" w14:textId="77777777" w:rsidTr="75FDCB8A">
        <w:trPr>
          <w:cnfStyle w:val="000000010000" w:firstRow="0" w:lastRow="0" w:firstColumn="0" w:lastColumn="0" w:oddVBand="0" w:evenVBand="0" w:oddHBand="0" w:evenHBand="1" w:firstRowFirstColumn="0" w:firstRowLastColumn="0" w:lastRowFirstColumn="0" w:lastRowLastColumn="0"/>
        </w:trPr>
        <w:tc>
          <w:tcPr>
            <w:tcW w:w="450" w:type="dxa"/>
          </w:tcPr>
          <w:p w14:paraId="2E0CC1C1" w14:textId="77777777" w:rsidR="009F6996" w:rsidRPr="00EF22E8" w:rsidRDefault="009F6996" w:rsidP="006119C6">
            <w:pPr>
              <w:pStyle w:val="TableText"/>
            </w:pPr>
          </w:p>
        </w:tc>
        <w:tc>
          <w:tcPr>
            <w:tcW w:w="1588" w:type="dxa"/>
          </w:tcPr>
          <w:p w14:paraId="3A71D730" w14:textId="77777777" w:rsidR="009F6996" w:rsidRPr="00EF22E8" w:rsidRDefault="009F6996" w:rsidP="009F24AF">
            <w:pPr>
              <w:pStyle w:val="TableText"/>
            </w:pPr>
            <w:r w:rsidRPr="00EF22E8">
              <w:t>Exchange Rate</w:t>
            </w:r>
          </w:p>
        </w:tc>
        <w:tc>
          <w:tcPr>
            <w:tcW w:w="7052" w:type="dxa"/>
          </w:tcPr>
          <w:p w14:paraId="3C59309E" w14:textId="77777777" w:rsidR="009F6996" w:rsidRPr="00EF22E8" w:rsidRDefault="009F6996" w:rsidP="009F24AF">
            <w:pPr>
              <w:pStyle w:val="TableText"/>
            </w:pPr>
            <w:r w:rsidRPr="00EF22E8">
              <w:t>This automatically defaults when you press the ‘Calculate’ button.</w:t>
            </w:r>
          </w:p>
          <w:p w14:paraId="44AAF19E" w14:textId="77777777" w:rsidR="009F6996" w:rsidRPr="00EF22E8" w:rsidRDefault="009F6996" w:rsidP="009F24AF">
            <w:pPr>
              <w:pStyle w:val="TableText"/>
            </w:pPr>
            <w:r w:rsidRPr="00EF22E8">
              <w:t xml:space="preserve">The system uses the exchange rate defined in Static </w:t>
            </w:r>
            <w:proofErr w:type="spellStart"/>
            <w:r w:rsidRPr="00EF22E8">
              <w:t>Data|Currencies</w:t>
            </w:r>
            <w:proofErr w:type="spellEnd"/>
            <w:r w:rsidRPr="00EF22E8">
              <w:t>, as the default.</w:t>
            </w:r>
          </w:p>
          <w:p w14:paraId="6D041A87" w14:textId="77777777" w:rsidR="009F6996" w:rsidRPr="00EF22E8" w:rsidRDefault="009F6996" w:rsidP="009F24AF">
            <w:pPr>
              <w:pStyle w:val="TableText"/>
            </w:pPr>
            <w:r w:rsidRPr="00EF22E8">
              <w:t>You are allowed to enter a different exchange rate manually.</w:t>
            </w:r>
          </w:p>
        </w:tc>
      </w:tr>
      <w:tr w:rsidR="009F6996" w:rsidRPr="00EF22E8" w14:paraId="4F9C1206" w14:textId="77777777" w:rsidTr="75FDCB8A">
        <w:trPr>
          <w:cnfStyle w:val="000000100000" w:firstRow="0" w:lastRow="0" w:firstColumn="0" w:lastColumn="0" w:oddVBand="0" w:evenVBand="0" w:oddHBand="1" w:evenHBand="0" w:firstRowFirstColumn="0" w:firstRowLastColumn="0" w:lastRowFirstColumn="0" w:lastRowLastColumn="0"/>
        </w:trPr>
        <w:tc>
          <w:tcPr>
            <w:tcW w:w="450" w:type="dxa"/>
          </w:tcPr>
          <w:p w14:paraId="6A9738BB" w14:textId="77777777" w:rsidR="009F6996" w:rsidRPr="00EF22E8" w:rsidRDefault="009F6996" w:rsidP="006119C6">
            <w:pPr>
              <w:pStyle w:val="TableText"/>
            </w:pPr>
          </w:p>
        </w:tc>
        <w:tc>
          <w:tcPr>
            <w:tcW w:w="1588" w:type="dxa"/>
          </w:tcPr>
          <w:p w14:paraId="46685991" w14:textId="77777777" w:rsidR="009F6996" w:rsidRPr="00EF22E8" w:rsidRDefault="009F6996" w:rsidP="009F24AF">
            <w:pPr>
              <w:pStyle w:val="TableText"/>
            </w:pPr>
            <w:r w:rsidRPr="00EF22E8">
              <w:t>Facility Details</w:t>
            </w:r>
          </w:p>
        </w:tc>
        <w:tc>
          <w:tcPr>
            <w:tcW w:w="7052" w:type="dxa"/>
          </w:tcPr>
          <w:p w14:paraId="2C40DE47" w14:textId="77777777" w:rsidR="009F6996" w:rsidRPr="00EF22E8" w:rsidRDefault="009F6996" w:rsidP="009F24AF">
            <w:pPr>
              <w:pStyle w:val="TableText"/>
            </w:pPr>
            <w:r w:rsidRPr="00EF22E8">
              <w:t>General information about the facility (for example, any terms or instructions received from the credit agency, or information on the agreement between your bank and the customer).</w:t>
            </w:r>
          </w:p>
        </w:tc>
      </w:tr>
    </w:tbl>
    <w:p w14:paraId="316C4DEB" w14:textId="77777777" w:rsidR="009F6996" w:rsidRPr="00EF22E8" w:rsidRDefault="009F6996" w:rsidP="00EF22E8">
      <w:pPr>
        <w:pStyle w:val="Heading3"/>
      </w:pPr>
      <w:bookmarkStart w:id="121" w:name="_Toc317756655"/>
      <w:bookmarkStart w:id="122" w:name="_Toc331499948"/>
      <w:bookmarkStart w:id="123" w:name="_Ref404188984"/>
      <w:bookmarkStart w:id="124" w:name="_Toc411430725"/>
      <w:bookmarkStart w:id="125" w:name="_Ref432185528"/>
      <w:bookmarkStart w:id="126" w:name="_Toc166586291"/>
      <w:r w:rsidRPr="00EF22E8">
        <w:t>The Customer Details Pane</w:t>
      </w:r>
      <w:bookmarkEnd w:id="121"/>
      <w:bookmarkEnd w:id="122"/>
      <w:bookmarkEnd w:id="123"/>
      <w:bookmarkEnd w:id="124"/>
      <w:bookmarkEnd w:id="125"/>
      <w:bookmarkEnd w:id="126"/>
    </w:p>
    <w:p w14:paraId="22F5ECC4" w14:textId="3F7FB348" w:rsidR="009F6996" w:rsidRPr="00EF22E8" w:rsidRDefault="008A4070" w:rsidP="00441A26">
      <w:pPr>
        <w:pStyle w:val="BodyText"/>
      </w:pPr>
      <w:r>
        <w:rPr>
          <w:noProof/>
        </w:rPr>
        <w:drawing>
          <wp:inline distT="0" distB="0" distL="0" distR="0" wp14:anchorId="5B4371B8" wp14:editId="2CE5DF4F">
            <wp:extent cx="5731510" cy="22726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72665"/>
                    </a:xfrm>
                    <a:prstGeom prst="rect">
                      <a:avLst/>
                    </a:prstGeom>
                  </pic:spPr>
                </pic:pic>
              </a:graphicData>
            </a:graphic>
          </wp:inline>
        </w:drawing>
      </w:r>
    </w:p>
    <w:p w14:paraId="4F88DE1D" w14:textId="77777777" w:rsidR="009F6996" w:rsidRPr="00EF22E8" w:rsidRDefault="009F6996" w:rsidP="00107CB1">
      <w:pPr>
        <w:pStyle w:val="NoSpaceAfter"/>
      </w:pPr>
      <w:r w:rsidRPr="00EF22E8">
        <w:t xml:space="preserve">The following table explains what to </w:t>
      </w:r>
      <w:proofErr w:type="gramStart"/>
      <w:r w:rsidRPr="00EF22E8">
        <w:t>enter into</w:t>
      </w:r>
      <w:proofErr w:type="gramEnd"/>
      <w:r w:rsidRPr="00EF22E8">
        <w:t xml:space="preserve"> the fields in the Customer pane:</w:t>
      </w:r>
    </w:p>
    <w:tbl>
      <w:tblPr>
        <w:tblStyle w:val="TableGrid"/>
        <w:tblW w:w="9090" w:type="dxa"/>
        <w:tblLayout w:type="fixed"/>
        <w:tblLook w:val="0020" w:firstRow="1" w:lastRow="0" w:firstColumn="0" w:lastColumn="0" w:noHBand="0" w:noVBand="0"/>
      </w:tblPr>
      <w:tblGrid>
        <w:gridCol w:w="450"/>
        <w:gridCol w:w="1775"/>
        <w:gridCol w:w="6865"/>
      </w:tblGrid>
      <w:tr w:rsidR="009F6996" w:rsidRPr="00EF22E8" w14:paraId="6C5A5AC3" w14:textId="77777777" w:rsidTr="003B2BA5">
        <w:trPr>
          <w:cnfStyle w:val="100000000000" w:firstRow="1" w:lastRow="0" w:firstColumn="0" w:lastColumn="0" w:oddVBand="0" w:evenVBand="0" w:oddHBand="0" w:evenHBand="0" w:firstRowFirstColumn="0" w:firstRowLastColumn="0" w:lastRowFirstColumn="0" w:lastRowLastColumn="0"/>
          <w:trHeight w:val="432"/>
          <w:tblHeader/>
        </w:trPr>
        <w:tc>
          <w:tcPr>
            <w:tcW w:w="450" w:type="dxa"/>
          </w:tcPr>
          <w:p w14:paraId="50BDE03E" w14:textId="77777777" w:rsidR="009F6996" w:rsidRPr="00EF22E8" w:rsidRDefault="009F6996" w:rsidP="006119C6">
            <w:pPr>
              <w:pStyle w:val="TableHead2"/>
              <w:rPr>
                <w:noProof w:val="0"/>
              </w:rPr>
            </w:pPr>
          </w:p>
        </w:tc>
        <w:tc>
          <w:tcPr>
            <w:tcW w:w="1775" w:type="dxa"/>
          </w:tcPr>
          <w:p w14:paraId="1F507EF8" w14:textId="77777777" w:rsidR="009F6996" w:rsidRPr="00EF22E8" w:rsidRDefault="009F6996" w:rsidP="006A1825">
            <w:pPr>
              <w:pStyle w:val="TableHead"/>
            </w:pPr>
            <w:r w:rsidRPr="00EF22E8">
              <w:t>Field</w:t>
            </w:r>
          </w:p>
        </w:tc>
        <w:tc>
          <w:tcPr>
            <w:tcW w:w="6865" w:type="dxa"/>
          </w:tcPr>
          <w:p w14:paraId="6E23BEC4" w14:textId="77777777" w:rsidR="009F6996" w:rsidRPr="00EF22E8" w:rsidRDefault="009F6996" w:rsidP="006A1825">
            <w:pPr>
              <w:pStyle w:val="TableHead"/>
            </w:pPr>
            <w:r w:rsidRPr="00EF22E8">
              <w:t>What to Enter</w:t>
            </w:r>
          </w:p>
        </w:tc>
      </w:tr>
      <w:tr w:rsidR="009F6996" w:rsidRPr="00EF22E8" w14:paraId="5A49344D" w14:textId="77777777" w:rsidTr="006C33CE">
        <w:trPr>
          <w:cnfStyle w:val="000000100000" w:firstRow="0" w:lastRow="0" w:firstColumn="0" w:lastColumn="0" w:oddVBand="0" w:evenVBand="0" w:oddHBand="1" w:evenHBand="0" w:firstRowFirstColumn="0" w:firstRowLastColumn="0" w:lastRowFirstColumn="0" w:lastRowLastColumn="0"/>
        </w:trPr>
        <w:tc>
          <w:tcPr>
            <w:tcW w:w="450" w:type="dxa"/>
          </w:tcPr>
          <w:p w14:paraId="6158EAE4" w14:textId="77777777" w:rsidR="009F6996" w:rsidRPr="00EF22E8" w:rsidRDefault="00223B42" w:rsidP="002B70E2">
            <w:pPr>
              <w:pStyle w:val="TableText"/>
            </w:pPr>
            <w:r w:rsidRPr="00EF22E8">
              <w:rPr>
                <w:noProof/>
                <w:lang w:eastAsia="en-GB"/>
              </w:rPr>
              <w:drawing>
                <wp:inline distT="0" distB="0" distL="0" distR="0" wp14:anchorId="2EB1DD54" wp14:editId="7884B8C1">
                  <wp:extent cx="150019" cy="135731"/>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BEBA8EAE-BF5A-486C-A8C5-ECC9F3942E4B}">
                                <a14:imgProps xmlns:a14="http://schemas.microsoft.com/office/drawing/2010/main">
                                  <a14:imgLayer r:embed="rId18">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775" w:type="dxa"/>
          </w:tcPr>
          <w:p w14:paraId="2B381701" w14:textId="77777777" w:rsidR="009F6996" w:rsidRPr="00EF22E8" w:rsidRDefault="009F6996" w:rsidP="002B70E2">
            <w:pPr>
              <w:pStyle w:val="TableText"/>
            </w:pPr>
            <w:r w:rsidRPr="00EF22E8">
              <w:t>Customer</w:t>
            </w:r>
          </w:p>
        </w:tc>
        <w:tc>
          <w:tcPr>
            <w:tcW w:w="6865" w:type="dxa"/>
          </w:tcPr>
          <w:p w14:paraId="21D7439A" w14:textId="03906F29" w:rsidR="009F6996" w:rsidRPr="00EF22E8" w:rsidRDefault="009F6996" w:rsidP="002B70E2">
            <w:pPr>
              <w:pStyle w:val="TableText"/>
            </w:pPr>
            <w:r w:rsidRPr="00EF22E8">
              <w:t>The customer for whom the facility is being set up.</w:t>
            </w:r>
            <w:r w:rsidR="00932CAC">
              <w:t xml:space="preserve"> </w:t>
            </w:r>
          </w:p>
        </w:tc>
      </w:tr>
      <w:tr w:rsidR="009F6996" w:rsidRPr="00EF22E8" w14:paraId="7439409D" w14:textId="77777777" w:rsidTr="006C33CE">
        <w:trPr>
          <w:cnfStyle w:val="000000010000" w:firstRow="0" w:lastRow="0" w:firstColumn="0" w:lastColumn="0" w:oddVBand="0" w:evenVBand="0" w:oddHBand="0" w:evenHBand="1" w:firstRowFirstColumn="0" w:firstRowLastColumn="0" w:lastRowFirstColumn="0" w:lastRowLastColumn="0"/>
        </w:trPr>
        <w:tc>
          <w:tcPr>
            <w:tcW w:w="450" w:type="dxa"/>
          </w:tcPr>
          <w:p w14:paraId="45684125" w14:textId="77777777" w:rsidR="009F6996" w:rsidRPr="00EF22E8" w:rsidRDefault="009F6996" w:rsidP="006119C6">
            <w:pPr>
              <w:pStyle w:val="TableText"/>
            </w:pPr>
          </w:p>
        </w:tc>
        <w:tc>
          <w:tcPr>
            <w:tcW w:w="1775" w:type="dxa"/>
          </w:tcPr>
          <w:p w14:paraId="4B97F3BE" w14:textId="77777777" w:rsidR="009F6996" w:rsidRPr="00EF22E8" w:rsidRDefault="009F6996" w:rsidP="002B70E2">
            <w:pPr>
              <w:pStyle w:val="TableText"/>
            </w:pPr>
            <w:r w:rsidRPr="00EF22E8">
              <w:t>Reference</w:t>
            </w:r>
          </w:p>
        </w:tc>
        <w:tc>
          <w:tcPr>
            <w:tcW w:w="6865" w:type="dxa"/>
          </w:tcPr>
          <w:p w14:paraId="1F6EAEEB" w14:textId="77777777" w:rsidR="009F6996" w:rsidRPr="00EF22E8" w:rsidRDefault="009F6996" w:rsidP="002B70E2">
            <w:pPr>
              <w:pStyle w:val="TableText"/>
            </w:pPr>
            <w:r w:rsidRPr="00EF22E8">
              <w:t>The customer's reference number for the facility.</w:t>
            </w:r>
          </w:p>
        </w:tc>
      </w:tr>
      <w:tr w:rsidR="009F6996" w:rsidRPr="00EF22E8" w14:paraId="35C0F718" w14:textId="77777777" w:rsidTr="006C33CE">
        <w:trPr>
          <w:cnfStyle w:val="000000100000" w:firstRow="0" w:lastRow="0" w:firstColumn="0" w:lastColumn="0" w:oddVBand="0" w:evenVBand="0" w:oddHBand="1" w:evenHBand="0" w:firstRowFirstColumn="0" w:firstRowLastColumn="0" w:lastRowFirstColumn="0" w:lastRowLastColumn="0"/>
        </w:trPr>
        <w:tc>
          <w:tcPr>
            <w:tcW w:w="450" w:type="dxa"/>
          </w:tcPr>
          <w:p w14:paraId="5370BFAB" w14:textId="77777777" w:rsidR="009F6996" w:rsidRPr="00EF22E8" w:rsidRDefault="009F6996" w:rsidP="006119C6">
            <w:pPr>
              <w:pStyle w:val="TableText"/>
            </w:pPr>
          </w:p>
        </w:tc>
        <w:tc>
          <w:tcPr>
            <w:tcW w:w="1775" w:type="dxa"/>
          </w:tcPr>
          <w:p w14:paraId="2775EE0C" w14:textId="77777777" w:rsidR="009F6996" w:rsidRPr="00EF22E8" w:rsidRDefault="009F6996" w:rsidP="002B70E2">
            <w:pPr>
              <w:pStyle w:val="TableText"/>
            </w:pPr>
            <w:r w:rsidRPr="00EF22E8">
              <w:t>Customer Identifier</w:t>
            </w:r>
          </w:p>
        </w:tc>
        <w:tc>
          <w:tcPr>
            <w:tcW w:w="6865" w:type="dxa"/>
          </w:tcPr>
          <w:p w14:paraId="7239FD8D" w14:textId="77777777" w:rsidR="009F6996" w:rsidRPr="00EF22E8" w:rsidRDefault="009F6996" w:rsidP="002B70E2">
            <w:pPr>
              <w:pStyle w:val="TableText"/>
            </w:pPr>
            <w:r w:rsidRPr="00EF22E8">
              <w:t>The customer's bank register/drawee code to be recorded against drawdowns relating to this transaction.</w:t>
            </w:r>
          </w:p>
        </w:tc>
      </w:tr>
      <w:tr w:rsidR="009F6996" w:rsidRPr="00EF22E8" w14:paraId="3F72EFB0" w14:textId="77777777" w:rsidTr="006C33CE">
        <w:trPr>
          <w:cnfStyle w:val="000000010000" w:firstRow="0" w:lastRow="0" w:firstColumn="0" w:lastColumn="0" w:oddVBand="0" w:evenVBand="0" w:oddHBand="0" w:evenHBand="1" w:firstRowFirstColumn="0" w:firstRowLastColumn="0" w:lastRowFirstColumn="0" w:lastRowLastColumn="0"/>
        </w:trPr>
        <w:tc>
          <w:tcPr>
            <w:tcW w:w="450" w:type="dxa"/>
          </w:tcPr>
          <w:p w14:paraId="46D42AB6" w14:textId="77777777" w:rsidR="009F6996" w:rsidRPr="00EF22E8" w:rsidRDefault="009F6996" w:rsidP="006119C6">
            <w:pPr>
              <w:pStyle w:val="TableText"/>
            </w:pPr>
          </w:p>
        </w:tc>
        <w:tc>
          <w:tcPr>
            <w:tcW w:w="1775" w:type="dxa"/>
          </w:tcPr>
          <w:p w14:paraId="54775D89" w14:textId="77777777" w:rsidR="009F6996" w:rsidRPr="00EF22E8" w:rsidRDefault="009F6996" w:rsidP="002B70E2">
            <w:pPr>
              <w:pStyle w:val="TableText"/>
            </w:pPr>
            <w:r w:rsidRPr="00EF22E8">
              <w:t>Customer's Other Reference 1</w:t>
            </w:r>
          </w:p>
        </w:tc>
        <w:tc>
          <w:tcPr>
            <w:tcW w:w="6865" w:type="dxa"/>
          </w:tcPr>
          <w:p w14:paraId="024C2D4F" w14:textId="77777777" w:rsidR="009F6996" w:rsidRPr="00EF22E8" w:rsidRDefault="009F6996" w:rsidP="002B70E2">
            <w:pPr>
              <w:pStyle w:val="TableText"/>
            </w:pPr>
            <w:r w:rsidRPr="00EF22E8">
              <w:t>The customer's reference for the Master Certificate of Performance relating to drawdowns against this facility. This reference is automatically recorded against any financing transactions linked to the facility.</w:t>
            </w:r>
          </w:p>
        </w:tc>
      </w:tr>
      <w:tr w:rsidR="009F6996" w:rsidRPr="00EF22E8" w14:paraId="6C045C7D" w14:textId="77777777" w:rsidTr="006C33CE">
        <w:trPr>
          <w:cnfStyle w:val="000000100000" w:firstRow="0" w:lastRow="0" w:firstColumn="0" w:lastColumn="0" w:oddVBand="0" w:evenVBand="0" w:oddHBand="1" w:evenHBand="0" w:firstRowFirstColumn="0" w:firstRowLastColumn="0" w:lastRowFirstColumn="0" w:lastRowLastColumn="0"/>
        </w:trPr>
        <w:tc>
          <w:tcPr>
            <w:tcW w:w="450" w:type="dxa"/>
          </w:tcPr>
          <w:p w14:paraId="3762116D" w14:textId="77777777" w:rsidR="009F6996" w:rsidRPr="00EF22E8" w:rsidRDefault="009F6996" w:rsidP="006119C6">
            <w:pPr>
              <w:pStyle w:val="TableText"/>
            </w:pPr>
          </w:p>
        </w:tc>
        <w:tc>
          <w:tcPr>
            <w:tcW w:w="1775" w:type="dxa"/>
          </w:tcPr>
          <w:p w14:paraId="48434EF3" w14:textId="77777777" w:rsidR="009F6996" w:rsidRPr="00EF22E8" w:rsidRDefault="009F6996" w:rsidP="002B70E2">
            <w:pPr>
              <w:pStyle w:val="TableText"/>
            </w:pPr>
            <w:r w:rsidRPr="00EF22E8">
              <w:t>Customer's Other Reference 2</w:t>
            </w:r>
          </w:p>
        </w:tc>
        <w:tc>
          <w:tcPr>
            <w:tcW w:w="6865" w:type="dxa"/>
          </w:tcPr>
          <w:p w14:paraId="59389DA3" w14:textId="77777777" w:rsidR="009F6996" w:rsidRPr="00EF22E8" w:rsidRDefault="009F6996" w:rsidP="002B70E2">
            <w:pPr>
              <w:pStyle w:val="TableText"/>
            </w:pPr>
            <w:r w:rsidRPr="00EF22E8">
              <w:t>The customer's reference for the Master Certificate of Performance relating to the facility.</w:t>
            </w:r>
          </w:p>
        </w:tc>
      </w:tr>
      <w:tr w:rsidR="009F6996" w:rsidRPr="00EF22E8" w14:paraId="311DD341" w14:textId="77777777" w:rsidTr="006C33CE">
        <w:trPr>
          <w:cnfStyle w:val="000000010000" w:firstRow="0" w:lastRow="0" w:firstColumn="0" w:lastColumn="0" w:oddVBand="0" w:evenVBand="0" w:oddHBand="0" w:evenHBand="1" w:firstRowFirstColumn="0" w:firstRowLastColumn="0" w:lastRowFirstColumn="0" w:lastRowLastColumn="0"/>
        </w:trPr>
        <w:tc>
          <w:tcPr>
            <w:tcW w:w="450" w:type="dxa"/>
          </w:tcPr>
          <w:p w14:paraId="7E5D2549" w14:textId="77777777" w:rsidR="009F6996" w:rsidRPr="00EF22E8" w:rsidRDefault="009F6996" w:rsidP="006119C6">
            <w:pPr>
              <w:pStyle w:val="TableText"/>
            </w:pPr>
          </w:p>
        </w:tc>
        <w:tc>
          <w:tcPr>
            <w:tcW w:w="1775" w:type="dxa"/>
          </w:tcPr>
          <w:p w14:paraId="566C67B7" w14:textId="77777777" w:rsidR="009F6996" w:rsidRPr="00EF22E8" w:rsidRDefault="009F6996" w:rsidP="002B70E2">
            <w:pPr>
              <w:pStyle w:val="TableText"/>
            </w:pPr>
            <w:r w:rsidRPr="00EF22E8">
              <w:t>Notes to Customer</w:t>
            </w:r>
          </w:p>
        </w:tc>
        <w:tc>
          <w:tcPr>
            <w:tcW w:w="6865" w:type="dxa"/>
          </w:tcPr>
          <w:p w14:paraId="17D3BD9C" w14:textId="77777777" w:rsidR="009F6996" w:rsidRPr="00EF22E8" w:rsidRDefault="009F6996" w:rsidP="002B70E2">
            <w:pPr>
              <w:pStyle w:val="TableText"/>
            </w:pPr>
            <w:r w:rsidRPr="00EF22E8">
              <w:t>Any information to be included on documents that are sent to the customer.</w:t>
            </w:r>
          </w:p>
        </w:tc>
      </w:tr>
      <w:tr w:rsidR="009F6996" w:rsidRPr="00EF22E8" w14:paraId="1BCE3294" w14:textId="77777777" w:rsidTr="006C33CE">
        <w:trPr>
          <w:cnfStyle w:val="000000100000" w:firstRow="0" w:lastRow="0" w:firstColumn="0" w:lastColumn="0" w:oddVBand="0" w:evenVBand="0" w:oddHBand="1" w:evenHBand="0" w:firstRowFirstColumn="0" w:firstRowLastColumn="0" w:lastRowFirstColumn="0" w:lastRowLastColumn="0"/>
        </w:trPr>
        <w:tc>
          <w:tcPr>
            <w:tcW w:w="450" w:type="dxa"/>
          </w:tcPr>
          <w:p w14:paraId="603E2653" w14:textId="77777777" w:rsidR="009F6996" w:rsidRPr="00EF22E8" w:rsidRDefault="009F6996" w:rsidP="006119C6">
            <w:pPr>
              <w:pStyle w:val="TableText"/>
            </w:pPr>
          </w:p>
        </w:tc>
        <w:tc>
          <w:tcPr>
            <w:tcW w:w="1775" w:type="dxa"/>
          </w:tcPr>
          <w:p w14:paraId="4B512374" w14:textId="77777777" w:rsidR="009F6996" w:rsidRPr="00EF22E8" w:rsidRDefault="009F6996" w:rsidP="002B70E2">
            <w:pPr>
              <w:pStyle w:val="TableText"/>
            </w:pPr>
            <w:r w:rsidRPr="00EF22E8">
              <w:t>Special Instructions</w:t>
            </w:r>
          </w:p>
        </w:tc>
        <w:tc>
          <w:tcPr>
            <w:tcW w:w="6865" w:type="dxa"/>
          </w:tcPr>
          <w:p w14:paraId="02CA092A" w14:textId="77777777" w:rsidR="009F6996" w:rsidRPr="00EF22E8" w:rsidRDefault="009F6996" w:rsidP="002B70E2">
            <w:pPr>
              <w:pStyle w:val="TableText"/>
            </w:pPr>
            <w:r w:rsidRPr="00EF22E8">
              <w:t>Any special instructions relating to the customer regarding the facility.</w:t>
            </w:r>
          </w:p>
        </w:tc>
      </w:tr>
    </w:tbl>
    <w:p w14:paraId="50771296" w14:textId="7E97B6F3" w:rsidR="00107CB1" w:rsidRPr="00EF22E8" w:rsidRDefault="00107CB1" w:rsidP="00441A26">
      <w:pPr>
        <w:pStyle w:val="BodyText"/>
      </w:pPr>
      <w:bookmarkStart w:id="127" w:name="O_54581"/>
      <w:bookmarkStart w:id="128" w:name="_Toc317756656"/>
      <w:bookmarkStart w:id="129" w:name="_Toc331499949"/>
      <w:bookmarkEnd w:id="127"/>
    </w:p>
    <w:p w14:paraId="0310E587" w14:textId="77777777" w:rsidR="009F6996" w:rsidRPr="00EF22E8" w:rsidRDefault="009F6996" w:rsidP="00EF22E8">
      <w:pPr>
        <w:pStyle w:val="Heading3"/>
      </w:pPr>
      <w:bookmarkStart w:id="130" w:name="_Toc411430726"/>
      <w:bookmarkStart w:id="131" w:name="_Ref432185537"/>
      <w:bookmarkStart w:id="132" w:name="_Toc166586292"/>
      <w:r w:rsidRPr="00EF22E8">
        <w:lastRenderedPageBreak/>
        <w:t>The Charge Details Pane</w:t>
      </w:r>
      <w:bookmarkEnd w:id="128"/>
      <w:bookmarkEnd w:id="129"/>
      <w:bookmarkEnd w:id="130"/>
      <w:bookmarkEnd w:id="131"/>
      <w:bookmarkEnd w:id="132"/>
    </w:p>
    <w:p w14:paraId="3A422823" w14:textId="77777777" w:rsidR="009F6996" w:rsidRPr="00EF22E8" w:rsidRDefault="009F6996" w:rsidP="00441A26">
      <w:pPr>
        <w:pStyle w:val="BodyText"/>
      </w:pPr>
      <w:r w:rsidRPr="00EF22E8">
        <w:rPr>
          <w:noProof/>
          <w:lang w:eastAsia="en-GB"/>
        </w:rPr>
        <w:drawing>
          <wp:inline distT="0" distB="0" distL="0" distR="0" wp14:anchorId="16B0AAC5" wp14:editId="1293F55A">
            <wp:extent cx="5400675" cy="476250"/>
            <wp:effectExtent l="0" t="0" r="9525" b="0"/>
            <wp:docPr id="28" name="Picture 23" descr="ECF - The Charge Details Pa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F - The Charge Details Pan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476250"/>
                    </a:xfrm>
                    <a:prstGeom prst="rect">
                      <a:avLst/>
                    </a:prstGeom>
                    <a:noFill/>
                    <a:ln>
                      <a:noFill/>
                    </a:ln>
                  </pic:spPr>
                </pic:pic>
              </a:graphicData>
            </a:graphic>
          </wp:inline>
        </w:drawing>
      </w:r>
    </w:p>
    <w:p w14:paraId="170A941F" w14:textId="77777777" w:rsidR="009F6996" w:rsidRPr="00EF22E8" w:rsidRDefault="009F6996" w:rsidP="00E4287B">
      <w:pPr>
        <w:pStyle w:val="NoSpaceAfter"/>
      </w:pPr>
      <w:r w:rsidRPr="00EF22E8">
        <w:t xml:space="preserve">The following table explains what to </w:t>
      </w:r>
      <w:proofErr w:type="gramStart"/>
      <w:r w:rsidRPr="00EF22E8">
        <w:t>enter into</w:t>
      </w:r>
      <w:proofErr w:type="gramEnd"/>
      <w:r w:rsidRPr="00EF22E8">
        <w:t xml:space="preserve"> the fields in the Charge Details pane:</w:t>
      </w:r>
    </w:p>
    <w:tbl>
      <w:tblPr>
        <w:tblStyle w:val="TableGrid"/>
        <w:tblW w:w="9090" w:type="dxa"/>
        <w:tblLayout w:type="fixed"/>
        <w:tblLook w:val="0020" w:firstRow="1" w:lastRow="0" w:firstColumn="0" w:lastColumn="0" w:noHBand="0" w:noVBand="0"/>
      </w:tblPr>
      <w:tblGrid>
        <w:gridCol w:w="1955"/>
        <w:gridCol w:w="7135"/>
      </w:tblGrid>
      <w:tr w:rsidR="009F6996" w:rsidRPr="00EF22E8" w14:paraId="2ED04926" w14:textId="77777777" w:rsidTr="006C33CE">
        <w:trPr>
          <w:cnfStyle w:val="100000000000" w:firstRow="1" w:lastRow="0" w:firstColumn="0" w:lastColumn="0" w:oddVBand="0" w:evenVBand="0" w:oddHBand="0" w:evenHBand="0" w:firstRowFirstColumn="0" w:firstRowLastColumn="0" w:lastRowFirstColumn="0" w:lastRowLastColumn="0"/>
          <w:trHeight w:val="432"/>
        </w:trPr>
        <w:tc>
          <w:tcPr>
            <w:tcW w:w="1955" w:type="dxa"/>
          </w:tcPr>
          <w:p w14:paraId="0BE125BB" w14:textId="77777777" w:rsidR="009F6996" w:rsidRPr="00EF22E8" w:rsidRDefault="009F6996" w:rsidP="006A1825">
            <w:pPr>
              <w:pStyle w:val="TableHead"/>
            </w:pPr>
            <w:r w:rsidRPr="00EF22E8">
              <w:t>Field</w:t>
            </w:r>
          </w:p>
        </w:tc>
        <w:tc>
          <w:tcPr>
            <w:tcW w:w="7135" w:type="dxa"/>
          </w:tcPr>
          <w:p w14:paraId="577140D0" w14:textId="77777777" w:rsidR="009F6996" w:rsidRPr="00EF22E8" w:rsidRDefault="009F6996" w:rsidP="006A1825">
            <w:pPr>
              <w:pStyle w:val="TableHead"/>
            </w:pPr>
            <w:r w:rsidRPr="00EF22E8">
              <w:t>What to Enter</w:t>
            </w:r>
          </w:p>
        </w:tc>
      </w:tr>
      <w:tr w:rsidR="009F6996" w:rsidRPr="00EF22E8" w14:paraId="2343B8C1" w14:textId="77777777" w:rsidTr="006C33CE">
        <w:trPr>
          <w:cnfStyle w:val="000000100000" w:firstRow="0" w:lastRow="0" w:firstColumn="0" w:lastColumn="0" w:oddVBand="0" w:evenVBand="0" w:oddHBand="1" w:evenHBand="0" w:firstRowFirstColumn="0" w:firstRowLastColumn="0" w:lastRowFirstColumn="0" w:lastRowLastColumn="0"/>
        </w:trPr>
        <w:tc>
          <w:tcPr>
            <w:tcW w:w="1955" w:type="dxa"/>
          </w:tcPr>
          <w:p w14:paraId="07930BA1" w14:textId="77777777" w:rsidR="009F6996" w:rsidRPr="00EF22E8" w:rsidRDefault="009F6996" w:rsidP="002B70E2">
            <w:pPr>
              <w:pStyle w:val="TableText"/>
            </w:pPr>
            <w:r w:rsidRPr="00EF22E8">
              <w:t>Preferred Currency</w:t>
            </w:r>
          </w:p>
        </w:tc>
        <w:tc>
          <w:tcPr>
            <w:tcW w:w="7135" w:type="dxa"/>
          </w:tcPr>
          <w:p w14:paraId="2F31C448" w14:textId="77777777" w:rsidR="009F6996" w:rsidRPr="00EF22E8" w:rsidRDefault="009F6996" w:rsidP="002B70E2">
            <w:pPr>
              <w:pStyle w:val="TableText"/>
            </w:pPr>
            <w:r w:rsidRPr="00EF22E8">
              <w:t xml:space="preserve">The currency in which the customer's charges will be debited. Typically, you would set this to your local currency. If you leave this field blank, </w:t>
            </w:r>
            <w:r w:rsidR="00C56462" w:rsidRPr="00EF22E8">
              <w:t xml:space="preserve">the system </w:t>
            </w:r>
            <w:r w:rsidRPr="00EF22E8">
              <w:t>uses the customer charge currency defined in the product options.</w:t>
            </w:r>
          </w:p>
        </w:tc>
      </w:tr>
      <w:tr w:rsidR="009F6996" w:rsidRPr="00EF22E8" w14:paraId="231E0707" w14:textId="77777777" w:rsidTr="006C33CE">
        <w:trPr>
          <w:cnfStyle w:val="000000010000" w:firstRow="0" w:lastRow="0" w:firstColumn="0" w:lastColumn="0" w:oddVBand="0" w:evenVBand="0" w:oddHBand="0" w:evenHBand="1" w:firstRowFirstColumn="0" w:firstRowLastColumn="0" w:lastRowFirstColumn="0" w:lastRowLastColumn="0"/>
        </w:trPr>
        <w:tc>
          <w:tcPr>
            <w:tcW w:w="1955" w:type="dxa"/>
          </w:tcPr>
          <w:p w14:paraId="7813793C" w14:textId="77777777" w:rsidR="009F6996" w:rsidRPr="00EF22E8" w:rsidRDefault="009F6996" w:rsidP="002B70E2">
            <w:pPr>
              <w:pStyle w:val="TableText"/>
            </w:pPr>
            <w:r w:rsidRPr="00EF22E8">
              <w:t>Defer Charges for Customer</w:t>
            </w:r>
          </w:p>
        </w:tc>
        <w:tc>
          <w:tcPr>
            <w:tcW w:w="7135" w:type="dxa"/>
          </w:tcPr>
          <w:p w14:paraId="1E1EEAAF" w14:textId="77777777" w:rsidR="009F6996" w:rsidRPr="00EF22E8" w:rsidRDefault="009F6996" w:rsidP="002B70E2">
            <w:pPr>
              <w:pStyle w:val="TableText"/>
            </w:pPr>
            <w:r w:rsidRPr="00EF22E8">
              <w:t>Check this field if the charges are to be deferred. By default, this is not checked and the charges are not deferred.</w:t>
            </w:r>
          </w:p>
        </w:tc>
      </w:tr>
      <w:tr w:rsidR="009F6996" w:rsidRPr="00EF22E8" w14:paraId="56B7722D" w14:textId="77777777" w:rsidTr="006C33CE">
        <w:trPr>
          <w:cnfStyle w:val="000000100000" w:firstRow="0" w:lastRow="0" w:firstColumn="0" w:lastColumn="0" w:oddVBand="0" w:evenVBand="0" w:oddHBand="1" w:evenHBand="0" w:firstRowFirstColumn="0" w:firstRowLastColumn="0" w:lastRowFirstColumn="0" w:lastRowLastColumn="0"/>
        </w:trPr>
        <w:tc>
          <w:tcPr>
            <w:tcW w:w="1955" w:type="dxa"/>
          </w:tcPr>
          <w:p w14:paraId="52006E02" w14:textId="77777777" w:rsidR="009F6996" w:rsidRPr="00EF22E8" w:rsidRDefault="009F6996" w:rsidP="002B70E2">
            <w:pPr>
              <w:pStyle w:val="TableText"/>
            </w:pPr>
            <w:r w:rsidRPr="00EF22E8">
              <w:t>First Date</w:t>
            </w:r>
          </w:p>
        </w:tc>
        <w:tc>
          <w:tcPr>
            <w:tcW w:w="7135" w:type="dxa"/>
            <w:vMerge w:val="restart"/>
          </w:tcPr>
          <w:p w14:paraId="75893417" w14:textId="77777777" w:rsidR="009F6996" w:rsidRPr="00EF22E8" w:rsidRDefault="009F6996" w:rsidP="002B70E2">
            <w:pPr>
              <w:pStyle w:val="TableText"/>
            </w:pPr>
            <w:r w:rsidRPr="00EF22E8">
              <w:t>The date when periodic charges are first taken. After this first date the charges are taken according to the frequency on the charge schedule and the Day in Month entered in the next field. For example:</w:t>
            </w:r>
          </w:p>
          <w:p w14:paraId="2BA04FBE" w14:textId="77777777" w:rsidR="009F6996" w:rsidRPr="00EF22E8" w:rsidRDefault="009F6996" w:rsidP="009D0D89">
            <w:pPr>
              <w:pStyle w:val="TableBullet1"/>
            </w:pPr>
            <w:r w:rsidRPr="00EF22E8">
              <w:t>Today is 12th October</w:t>
            </w:r>
          </w:p>
          <w:p w14:paraId="401FE964" w14:textId="77777777" w:rsidR="009F6996" w:rsidRPr="00EF22E8" w:rsidRDefault="009F6996" w:rsidP="009D0D89">
            <w:pPr>
              <w:pStyle w:val="TableBullet1"/>
            </w:pPr>
            <w:r w:rsidRPr="00EF22E8">
              <w:t>The charge schedule is set up for monthly charging</w:t>
            </w:r>
          </w:p>
          <w:p w14:paraId="2349721A" w14:textId="77777777" w:rsidR="009F6996" w:rsidRPr="00EF22E8" w:rsidRDefault="009F6996" w:rsidP="009D0D89">
            <w:pPr>
              <w:pStyle w:val="TableBullet1"/>
            </w:pPr>
            <w:r w:rsidRPr="00EF22E8">
              <w:t>The charge schedule specifies that charges are taken in arrears</w:t>
            </w:r>
          </w:p>
          <w:p w14:paraId="53AB21F1" w14:textId="77777777" w:rsidR="009F6996" w:rsidRPr="00EF22E8" w:rsidRDefault="009F6996" w:rsidP="009D0D89">
            <w:pPr>
              <w:pStyle w:val="TableBullet1"/>
            </w:pPr>
            <w:r w:rsidRPr="00EF22E8">
              <w:t>You specify 14th October in this field and 16 for the Day In Month</w:t>
            </w:r>
          </w:p>
          <w:p w14:paraId="6741F3DD" w14:textId="77777777" w:rsidR="009F6996" w:rsidRPr="00EF22E8" w:rsidRDefault="009F6996" w:rsidP="009D0D89">
            <w:pPr>
              <w:pStyle w:val="TableBullet1"/>
            </w:pPr>
            <w:r w:rsidRPr="00EF22E8">
              <w:t xml:space="preserve">Therefore, </w:t>
            </w:r>
            <w:r w:rsidR="00C56462" w:rsidRPr="00EF22E8">
              <w:t xml:space="preserve">the system </w:t>
            </w:r>
            <w:r w:rsidRPr="00EF22E8">
              <w:t xml:space="preserve">will take the first charge on 14th October, and thereafter on 16th </w:t>
            </w:r>
            <w:proofErr w:type="gramStart"/>
            <w:r w:rsidRPr="00EF22E8">
              <w:t>November,</w:t>
            </w:r>
            <w:proofErr w:type="gramEnd"/>
            <w:r w:rsidRPr="00EF22E8">
              <w:t xml:space="preserve"> 16th December, and so on</w:t>
            </w:r>
          </w:p>
          <w:p w14:paraId="683552E7" w14:textId="77777777" w:rsidR="009F6996" w:rsidRPr="00EF22E8" w:rsidRDefault="009F6996" w:rsidP="002B70E2">
            <w:pPr>
              <w:pStyle w:val="TableText"/>
            </w:pPr>
            <w:r w:rsidRPr="00EF22E8">
              <w:t>Alternatively:</w:t>
            </w:r>
          </w:p>
          <w:p w14:paraId="60BA5E27" w14:textId="77777777" w:rsidR="009F6996" w:rsidRPr="00EF22E8" w:rsidRDefault="009F6996" w:rsidP="009D0D89">
            <w:pPr>
              <w:pStyle w:val="TableBullet1"/>
            </w:pPr>
            <w:r w:rsidRPr="00EF22E8">
              <w:t>Today is 12th October</w:t>
            </w:r>
          </w:p>
          <w:p w14:paraId="68BAF022" w14:textId="77777777" w:rsidR="009F6996" w:rsidRPr="00EF22E8" w:rsidRDefault="009F6996" w:rsidP="009D0D89">
            <w:pPr>
              <w:pStyle w:val="TableBullet1"/>
            </w:pPr>
            <w:r w:rsidRPr="00EF22E8">
              <w:t>The charge schedule is set up for monthly charging</w:t>
            </w:r>
          </w:p>
          <w:p w14:paraId="669B2CC1" w14:textId="77777777" w:rsidR="009F6996" w:rsidRPr="00EF22E8" w:rsidRDefault="009F6996" w:rsidP="009D0D89">
            <w:pPr>
              <w:pStyle w:val="TableBullet1"/>
            </w:pPr>
            <w:r w:rsidRPr="00EF22E8">
              <w:t>The charge schedule specifies that charges are taken in advance</w:t>
            </w:r>
          </w:p>
          <w:p w14:paraId="6A10D13C" w14:textId="77777777" w:rsidR="009F6996" w:rsidRPr="00EF22E8" w:rsidRDefault="009F6996" w:rsidP="009D0D89">
            <w:pPr>
              <w:pStyle w:val="TableBullet1"/>
            </w:pPr>
            <w:r w:rsidRPr="00EF22E8">
              <w:t>You specify 14th October in this field and 16 for the Day In Month</w:t>
            </w:r>
          </w:p>
          <w:p w14:paraId="2237E4EF" w14:textId="77777777" w:rsidR="009F6996" w:rsidRPr="00EF22E8" w:rsidRDefault="009F6996" w:rsidP="009D0D89">
            <w:pPr>
              <w:pStyle w:val="TableBullet1"/>
            </w:pPr>
            <w:r w:rsidRPr="00EF22E8">
              <w:t xml:space="preserve">Therefore, </w:t>
            </w:r>
            <w:r w:rsidR="00C56462" w:rsidRPr="00EF22E8">
              <w:t xml:space="preserve">the system </w:t>
            </w:r>
            <w:r w:rsidRPr="00EF22E8">
              <w:t xml:space="preserve">will take the first charge on 12th October, the second charge on 14th October, and thereafter on 16th </w:t>
            </w:r>
            <w:proofErr w:type="gramStart"/>
            <w:r w:rsidRPr="00EF22E8">
              <w:t>November,</w:t>
            </w:r>
            <w:proofErr w:type="gramEnd"/>
            <w:r w:rsidRPr="00EF22E8">
              <w:t xml:space="preserve"> 16th December, and so on</w:t>
            </w:r>
          </w:p>
          <w:p w14:paraId="55565B25" w14:textId="77777777" w:rsidR="009F6996" w:rsidRPr="00EF22E8" w:rsidRDefault="009F6996" w:rsidP="002B70E2">
            <w:pPr>
              <w:pStyle w:val="TableText"/>
            </w:pPr>
            <w:r w:rsidRPr="00EF22E8">
              <w:t xml:space="preserve">If you leave this blank, </w:t>
            </w:r>
            <w:r w:rsidR="00C56462" w:rsidRPr="00EF22E8">
              <w:t xml:space="preserve">the system </w:t>
            </w:r>
            <w:r w:rsidRPr="00EF22E8">
              <w:t>will use the date calculated by the charge schedule.</w:t>
            </w:r>
          </w:p>
          <w:p w14:paraId="6CF38EBA" w14:textId="4F90EC7F" w:rsidR="009F6996" w:rsidRPr="00EF22E8" w:rsidRDefault="009F6996" w:rsidP="002B70E2">
            <w:pPr>
              <w:pStyle w:val="TableText"/>
            </w:pPr>
            <w:r w:rsidRPr="00EF22E8">
              <w:t xml:space="preserve">Any periodic charges will use these dates unless you override the dates (using the Release </w:t>
            </w:r>
            <w:proofErr w:type="spellStart"/>
            <w:r w:rsidRPr="00EF22E8">
              <w:t>Items|Charges</w:t>
            </w:r>
            <w:proofErr w:type="spellEnd"/>
            <w:r w:rsidRPr="00EF22E8">
              <w:t xml:space="preserve"> link - see the </w:t>
            </w:r>
            <w:r w:rsidRPr="00EF22E8">
              <w:rPr>
                <w:rStyle w:val="Italic"/>
                <w:sz w:val="18"/>
                <w:szCs w:val="18"/>
              </w:rPr>
              <w:t>Common Facilities User Guide</w:t>
            </w:r>
            <w:r w:rsidR="00E50A00" w:rsidRPr="00EF22E8">
              <w:rPr>
                <w:rStyle w:val="Italic"/>
                <w:sz w:val="18"/>
                <w:szCs w:val="18"/>
              </w:rPr>
              <w:t xml:space="preserve"> </w:t>
            </w:r>
            <w:r w:rsidR="00E50A00" w:rsidRPr="00235B54">
              <w:rPr>
                <w:rStyle w:val="Italic"/>
              </w:rPr>
              <w:t xml:space="preserve">– </w:t>
            </w:r>
            <w:r w:rsidR="00717F11">
              <w:rPr>
                <w:rStyle w:val="Italic"/>
              </w:rPr>
              <w:t>Trade Innovation</w:t>
            </w:r>
            <w:r w:rsidRPr="00EF22E8">
              <w:t xml:space="preserve"> for instructions).</w:t>
            </w:r>
          </w:p>
        </w:tc>
      </w:tr>
      <w:tr w:rsidR="009F6996" w:rsidRPr="00EF22E8" w14:paraId="05EE98A1" w14:textId="77777777" w:rsidTr="006C33CE">
        <w:trPr>
          <w:cnfStyle w:val="000000010000" w:firstRow="0" w:lastRow="0" w:firstColumn="0" w:lastColumn="0" w:oddVBand="0" w:evenVBand="0" w:oddHBand="0" w:evenHBand="1" w:firstRowFirstColumn="0" w:firstRowLastColumn="0" w:lastRowFirstColumn="0" w:lastRowLastColumn="0"/>
        </w:trPr>
        <w:tc>
          <w:tcPr>
            <w:tcW w:w="1955" w:type="dxa"/>
          </w:tcPr>
          <w:p w14:paraId="56A404E2" w14:textId="77777777" w:rsidR="009F6996" w:rsidRPr="00EF22E8" w:rsidRDefault="009F6996" w:rsidP="006119C6">
            <w:pPr>
              <w:pStyle w:val="TableText"/>
            </w:pPr>
          </w:p>
        </w:tc>
        <w:tc>
          <w:tcPr>
            <w:tcW w:w="7135" w:type="dxa"/>
            <w:vMerge/>
          </w:tcPr>
          <w:p w14:paraId="6D5C3873" w14:textId="77777777" w:rsidR="009F6996" w:rsidRPr="00EF22E8" w:rsidRDefault="009F6996" w:rsidP="006119C6">
            <w:pPr>
              <w:pStyle w:val="TableText"/>
            </w:pPr>
          </w:p>
        </w:tc>
      </w:tr>
      <w:tr w:rsidR="009F6996" w:rsidRPr="00EF22E8" w14:paraId="4E150DF7" w14:textId="77777777" w:rsidTr="006C33CE">
        <w:trPr>
          <w:cnfStyle w:val="000000100000" w:firstRow="0" w:lastRow="0" w:firstColumn="0" w:lastColumn="0" w:oddVBand="0" w:evenVBand="0" w:oddHBand="1" w:evenHBand="0" w:firstRowFirstColumn="0" w:firstRowLastColumn="0" w:lastRowFirstColumn="0" w:lastRowLastColumn="0"/>
        </w:trPr>
        <w:tc>
          <w:tcPr>
            <w:tcW w:w="1955" w:type="dxa"/>
          </w:tcPr>
          <w:p w14:paraId="2D620DEA" w14:textId="77777777" w:rsidR="009F6996" w:rsidRPr="00EF22E8" w:rsidRDefault="009F6996" w:rsidP="002B70E2">
            <w:pPr>
              <w:pStyle w:val="TableText"/>
            </w:pPr>
            <w:r w:rsidRPr="00EF22E8">
              <w:t>Day in Month</w:t>
            </w:r>
          </w:p>
        </w:tc>
        <w:tc>
          <w:tcPr>
            <w:tcW w:w="7135" w:type="dxa"/>
          </w:tcPr>
          <w:p w14:paraId="25BC910B" w14:textId="77777777" w:rsidR="009F6996" w:rsidRPr="00EF22E8" w:rsidRDefault="009F6996" w:rsidP="002B70E2">
            <w:pPr>
              <w:pStyle w:val="TableText"/>
            </w:pPr>
            <w:r w:rsidRPr="00EF22E8">
              <w:t>The day in each month when periodic charges are to be debited.</w:t>
            </w:r>
          </w:p>
        </w:tc>
      </w:tr>
    </w:tbl>
    <w:p w14:paraId="18C594B3" w14:textId="77777777" w:rsidR="009F6996" w:rsidRPr="00EF22E8" w:rsidRDefault="009F6996" w:rsidP="00EF22E8">
      <w:pPr>
        <w:pStyle w:val="Heading3"/>
      </w:pPr>
      <w:bookmarkStart w:id="133" w:name="O_54574"/>
      <w:bookmarkStart w:id="134" w:name="_Toc317756657"/>
      <w:bookmarkStart w:id="135" w:name="_Toc331499950"/>
      <w:bookmarkStart w:id="136" w:name="_Toc411430727"/>
      <w:bookmarkStart w:id="137" w:name="_Ref432185546"/>
      <w:bookmarkStart w:id="138" w:name="_Toc166586293"/>
      <w:bookmarkEnd w:id="133"/>
      <w:r w:rsidRPr="00EF22E8">
        <w:t>The Party Details Pane</w:t>
      </w:r>
      <w:bookmarkEnd w:id="134"/>
      <w:bookmarkEnd w:id="135"/>
      <w:bookmarkEnd w:id="136"/>
      <w:bookmarkEnd w:id="137"/>
      <w:bookmarkEnd w:id="138"/>
    </w:p>
    <w:p w14:paraId="6EE653F1" w14:textId="00C3BA06" w:rsidR="009F6996" w:rsidRPr="00EF22E8" w:rsidRDefault="00932CAC" w:rsidP="00441A26">
      <w:pPr>
        <w:pStyle w:val="BodyText"/>
      </w:pPr>
      <w:r>
        <w:rPr>
          <w:noProof/>
        </w:rPr>
        <w:drawing>
          <wp:inline distT="0" distB="0" distL="0" distR="0" wp14:anchorId="798A2D30" wp14:editId="1C7E22BE">
            <wp:extent cx="5731510" cy="16471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47190"/>
                    </a:xfrm>
                    <a:prstGeom prst="rect">
                      <a:avLst/>
                    </a:prstGeom>
                  </pic:spPr>
                </pic:pic>
              </a:graphicData>
            </a:graphic>
          </wp:inline>
        </w:drawing>
      </w:r>
    </w:p>
    <w:p w14:paraId="152F383E" w14:textId="77777777" w:rsidR="009F6996" w:rsidRPr="00EF22E8" w:rsidRDefault="009F6996" w:rsidP="00441A26">
      <w:pPr>
        <w:pStyle w:val="BodyText"/>
      </w:pPr>
      <w:r w:rsidRPr="00EF22E8">
        <w:t>The Export Credit Agency field is used to identify the export credit agency, which is mandatory information. Use the Reference field to enter their reference for the facility. The Funding Party's Old Reference field allows you to enter any previous, superseded, reference for the facility.</w:t>
      </w:r>
    </w:p>
    <w:p w14:paraId="4F8D6762" w14:textId="4F172FB7" w:rsidR="009F6996" w:rsidRPr="00EF22E8" w:rsidRDefault="009F6996" w:rsidP="00441A26">
      <w:pPr>
        <w:pStyle w:val="BodyText"/>
      </w:pPr>
      <w:r w:rsidRPr="00EF22E8">
        <w:t xml:space="preserve">The remaining fields and buttons in this pane are used in the usual way, as described in the </w:t>
      </w:r>
      <w:r w:rsidRPr="00EF22E8">
        <w:rPr>
          <w:rStyle w:val="Italic"/>
        </w:rPr>
        <w:t>Common Facilities User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t>.</w:t>
      </w:r>
    </w:p>
    <w:p w14:paraId="7EC3F1AA" w14:textId="77777777" w:rsidR="009F6996" w:rsidRPr="00EF22E8" w:rsidRDefault="009F6996" w:rsidP="00EF22E8">
      <w:pPr>
        <w:pStyle w:val="Heading3"/>
      </w:pPr>
      <w:bookmarkStart w:id="139" w:name="O_54582"/>
      <w:bookmarkStart w:id="140" w:name="_Toc317756658"/>
      <w:bookmarkStart w:id="141" w:name="_Toc331499951"/>
      <w:bookmarkStart w:id="142" w:name="_Toc411430728"/>
      <w:bookmarkStart w:id="143" w:name="_Ref432185556"/>
      <w:bookmarkStart w:id="144" w:name="_Toc166586294"/>
      <w:bookmarkEnd w:id="139"/>
      <w:r w:rsidRPr="00EF22E8">
        <w:lastRenderedPageBreak/>
        <w:t>The Other Details Pane</w:t>
      </w:r>
      <w:bookmarkEnd w:id="140"/>
      <w:bookmarkEnd w:id="141"/>
      <w:bookmarkEnd w:id="142"/>
      <w:bookmarkEnd w:id="143"/>
      <w:bookmarkEnd w:id="144"/>
    </w:p>
    <w:p w14:paraId="3E1B0982" w14:textId="77777777" w:rsidR="009F6996" w:rsidRPr="00EF22E8" w:rsidRDefault="009F6996" w:rsidP="00441A26">
      <w:pPr>
        <w:pStyle w:val="BodyText"/>
      </w:pPr>
      <w:r w:rsidRPr="00EF22E8">
        <w:rPr>
          <w:noProof/>
          <w:lang w:eastAsia="en-GB"/>
        </w:rPr>
        <w:drawing>
          <wp:inline distT="0" distB="0" distL="0" distR="0" wp14:anchorId="429AEB68" wp14:editId="4C45BFA2">
            <wp:extent cx="5400675" cy="1104900"/>
            <wp:effectExtent l="0" t="0" r="9525" b="0"/>
            <wp:docPr id="38" name="Picture 21" descr="ECF - The Other Details Pa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F - The Other Details Pan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675" cy="1104900"/>
                    </a:xfrm>
                    <a:prstGeom prst="rect">
                      <a:avLst/>
                    </a:prstGeom>
                    <a:noFill/>
                    <a:ln>
                      <a:noFill/>
                    </a:ln>
                  </pic:spPr>
                </pic:pic>
              </a:graphicData>
            </a:graphic>
          </wp:inline>
        </w:drawing>
      </w:r>
    </w:p>
    <w:p w14:paraId="2E4898B8" w14:textId="77777777" w:rsidR="009F6996" w:rsidRPr="00EF22E8" w:rsidRDefault="009F6996" w:rsidP="00E4287B">
      <w:pPr>
        <w:pStyle w:val="NoSpaceAfter"/>
      </w:pPr>
      <w:r w:rsidRPr="00EF22E8">
        <w:t xml:space="preserve">The following table explains what to </w:t>
      </w:r>
      <w:proofErr w:type="gramStart"/>
      <w:r w:rsidRPr="00EF22E8">
        <w:t>enter into</w:t>
      </w:r>
      <w:proofErr w:type="gramEnd"/>
      <w:r w:rsidRPr="00EF22E8">
        <w:t xml:space="preserve"> the fields in the Other Details pane. This pane may also contain some additional fields defined by your bank:</w:t>
      </w:r>
    </w:p>
    <w:tbl>
      <w:tblPr>
        <w:tblStyle w:val="TableGrid"/>
        <w:tblW w:w="9090" w:type="dxa"/>
        <w:tblLayout w:type="fixed"/>
        <w:tblLook w:val="0020" w:firstRow="1" w:lastRow="0" w:firstColumn="0" w:lastColumn="0" w:noHBand="0" w:noVBand="0"/>
      </w:tblPr>
      <w:tblGrid>
        <w:gridCol w:w="2038"/>
        <w:gridCol w:w="7052"/>
      </w:tblGrid>
      <w:tr w:rsidR="009F6996" w:rsidRPr="00EF22E8" w14:paraId="029AE249" w14:textId="77777777" w:rsidTr="006C33CE">
        <w:trPr>
          <w:cnfStyle w:val="100000000000" w:firstRow="1" w:lastRow="0" w:firstColumn="0" w:lastColumn="0" w:oddVBand="0" w:evenVBand="0" w:oddHBand="0" w:evenHBand="0" w:firstRowFirstColumn="0" w:firstRowLastColumn="0" w:lastRowFirstColumn="0" w:lastRowLastColumn="0"/>
          <w:trHeight w:val="432"/>
        </w:trPr>
        <w:tc>
          <w:tcPr>
            <w:tcW w:w="2038" w:type="dxa"/>
          </w:tcPr>
          <w:p w14:paraId="3217922D" w14:textId="77777777" w:rsidR="009F6996" w:rsidRPr="00EF22E8" w:rsidRDefault="009F6996" w:rsidP="006A1825">
            <w:pPr>
              <w:pStyle w:val="TableHead"/>
            </w:pPr>
            <w:r w:rsidRPr="00EF22E8">
              <w:t>Field</w:t>
            </w:r>
          </w:p>
        </w:tc>
        <w:tc>
          <w:tcPr>
            <w:tcW w:w="7052" w:type="dxa"/>
          </w:tcPr>
          <w:p w14:paraId="4D4F9F30" w14:textId="77777777" w:rsidR="009F6996" w:rsidRPr="00EF22E8" w:rsidRDefault="009F6996" w:rsidP="006A1825">
            <w:pPr>
              <w:pStyle w:val="TableHead"/>
            </w:pPr>
            <w:r w:rsidRPr="00EF22E8">
              <w:t>What to Enter</w:t>
            </w:r>
          </w:p>
        </w:tc>
      </w:tr>
      <w:tr w:rsidR="009F6996" w:rsidRPr="00EF22E8" w14:paraId="295F56B8" w14:textId="77777777" w:rsidTr="006C33CE">
        <w:trPr>
          <w:cnfStyle w:val="000000100000" w:firstRow="0" w:lastRow="0" w:firstColumn="0" w:lastColumn="0" w:oddVBand="0" w:evenVBand="0" w:oddHBand="1" w:evenHBand="0" w:firstRowFirstColumn="0" w:firstRowLastColumn="0" w:lastRowFirstColumn="0" w:lastRowLastColumn="0"/>
        </w:trPr>
        <w:tc>
          <w:tcPr>
            <w:tcW w:w="2038" w:type="dxa"/>
          </w:tcPr>
          <w:p w14:paraId="0AE7C8F0" w14:textId="77777777" w:rsidR="009F6996" w:rsidRPr="00EF22E8" w:rsidRDefault="009F6996" w:rsidP="002B70E2">
            <w:pPr>
              <w:pStyle w:val="TableText"/>
            </w:pPr>
            <w:r w:rsidRPr="00EF22E8">
              <w:t>Input Branch</w:t>
            </w:r>
          </w:p>
        </w:tc>
        <w:tc>
          <w:tcPr>
            <w:tcW w:w="7052" w:type="dxa"/>
          </w:tcPr>
          <w:p w14:paraId="79145E6D" w14:textId="77777777" w:rsidR="009F6996" w:rsidRPr="00EF22E8" w:rsidRDefault="009F6996" w:rsidP="002B70E2">
            <w:pPr>
              <w:pStyle w:val="TableText"/>
            </w:pPr>
            <w:r w:rsidRPr="00EF22E8">
              <w:t>The input branch for the transaction. The input branch is set from either:</w:t>
            </w:r>
          </w:p>
          <w:p w14:paraId="1D77781F" w14:textId="77777777" w:rsidR="009F6996" w:rsidRPr="00EF22E8" w:rsidRDefault="009F6996" w:rsidP="009D0D89">
            <w:pPr>
              <w:pStyle w:val="TableBullet1"/>
            </w:pPr>
            <w:r w:rsidRPr="00EF22E8">
              <w:t xml:space="preserve">the accounting </w:t>
            </w:r>
            <w:r w:rsidR="00287098" w:rsidRPr="00EF22E8">
              <w:t>branch from the user’s team, or</w:t>
            </w:r>
          </w:p>
          <w:p w14:paraId="0B48039F" w14:textId="77777777" w:rsidR="009F6996" w:rsidRPr="00EF22E8" w:rsidRDefault="009F6996" w:rsidP="009D0D89">
            <w:pPr>
              <w:pStyle w:val="TableBullet1"/>
            </w:pPr>
            <w:r w:rsidRPr="00EF22E8">
              <w:t>the transaction branch for user if the user has a default transaction branch or is lock</w:t>
            </w:r>
            <w:r w:rsidR="00287098" w:rsidRPr="00EF22E8">
              <w:t>ed to a specific branch, or</w:t>
            </w:r>
          </w:p>
          <w:p w14:paraId="64BFB3BD" w14:textId="77777777" w:rsidR="009F6996" w:rsidRPr="00EF22E8" w:rsidRDefault="009F6996" w:rsidP="009D0D89">
            <w:pPr>
              <w:pStyle w:val="TableBullet1"/>
            </w:pPr>
            <w:r w:rsidRPr="00EF22E8">
              <w:t>a branch associated with the user where the user can enter transactions for several branches for a team</w:t>
            </w:r>
          </w:p>
        </w:tc>
      </w:tr>
      <w:tr w:rsidR="009F6996" w:rsidRPr="00EF22E8" w14:paraId="05E07C67" w14:textId="77777777" w:rsidTr="006C33CE">
        <w:trPr>
          <w:cnfStyle w:val="000000010000" w:firstRow="0" w:lastRow="0" w:firstColumn="0" w:lastColumn="0" w:oddVBand="0" w:evenVBand="0" w:oddHBand="0" w:evenHBand="1" w:firstRowFirstColumn="0" w:firstRowLastColumn="0" w:lastRowFirstColumn="0" w:lastRowLastColumn="0"/>
        </w:trPr>
        <w:tc>
          <w:tcPr>
            <w:tcW w:w="2038" w:type="dxa"/>
          </w:tcPr>
          <w:p w14:paraId="498E8A63" w14:textId="77777777" w:rsidR="009F6996" w:rsidRPr="00EF22E8" w:rsidRDefault="009F6996" w:rsidP="002B70E2">
            <w:pPr>
              <w:pStyle w:val="TableText"/>
            </w:pPr>
            <w:r w:rsidRPr="00EF22E8">
              <w:t>Behalf Of Branch</w:t>
            </w:r>
          </w:p>
        </w:tc>
        <w:tc>
          <w:tcPr>
            <w:tcW w:w="7052" w:type="dxa"/>
          </w:tcPr>
          <w:p w14:paraId="7C5FE4FB" w14:textId="77777777" w:rsidR="009F6996" w:rsidRPr="00EF22E8" w:rsidRDefault="004471E6" w:rsidP="002B70E2">
            <w:pPr>
              <w:pStyle w:val="TableText"/>
            </w:pPr>
            <w:r>
              <w:t>The behalf of branch for the transaction as entered by the user or set from the incoming SWIFT or gateway message. The behalf of branch determines the parameter sets that are to be used to generate charges, documents, postings, etc. during transaction processing. The branch can be changed to any other branch within the same main banking entity that shares the same parameter sets.</w:t>
            </w:r>
            <w:r w:rsidR="009F6996" w:rsidRPr="00EF22E8">
              <w:t>.</w:t>
            </w:r>
          </w:p>
        </w:tc>
      </w:tr>
      <w:tr w:rsidR="009F6996" w:rsidRPr="00EF22E8" w14:paraId="261CAC20" w14:textId="77777777" w:rsidTr="006C33CE">
        <w:trPr>
          <w:cnfStyle w:val="000000100000" w:firstRow="0" w:lastRow="0" w:firstColumn="0" w:lastColumn="0" w:oddVBand="0" w:evenVBand="0" w:oddHBand="1" w:evenHBand="0" w:firstRowFirstColumn="0" w:firstRowLastColumn="0" w:lastRowFirstColumn="0" w:lastRowLastColumn="0"/>
        </w:trPr>
        <w:tc>
          <w:tcPr>
            <w:tcW w:w="2038" w:type="dxa"/>
          </w:tcPr>
          <w:p w14:paraId="101141C7" w14:textId="77777777" w:rsidR="009F6996" w:rsidRPr="00EF22E8" w:rsidRDefault="009F6996" w:rsidP="002B70E2">
            <w:pPr>
              <w:pStyle w:val="TableText"/>
            </w:pPr>
            <w:r w:rsidRPr="00EF22E8">
              <w:t>Sundry Ref Code</w:t>
            </w:r>
            <w:r w:rsidRPr="00EF22E8">
              <w:br/>
              <w:t>/User Code 1/</w:t>
            </w:r>
            <w:r w:rsidRPr="00EF22E8">
              <w:br/>
              <w:t>User Code 2</w:t>
            </w:r>
          </w:p>
        </w:tc>
        <w:tc>
          <w:tcPr>
            <w:tcW w:w="7052" w:type="dxa"/>
          </w:tcPr>
          <w:p w14:paraId="01153847" w14:textId="77777777" w:rsidR="009F6996" w:rsidRPr="00EF22E8" w:rsidRDefault="009F6996" w:rsidP="002B70E2">
            <w:pPr>
              <w:pStyle w:val="TableText"/>
            </w:pPr>
            <w:r w:rsidRPr="00EF22E8">
              <w:t>You may use these fields to enter values for analysis purposes. Your bank will have devised its own system for using these fields.</w:t>
            </w:r>
          </w:p>
        </w:tc>
      </w:tr>
      <w:tr w:rsidR="009F6996" w:rsidRPr="00EF22E8" w14:paraId="5E45C089" w14:textId="77777777" w:rsidTr="006C33CE">
        <w:trPr>
          <w:cnfStyle w:val="000000010000" w:firstRow="0" w:lastRow="0" w:firstColumn="0" w:lastColumn="0" w:oddVBand="0" w:evenVBand="0" w:oddHBand="0" w:evenHBand="1" w:firstRowFirstColumn="0" w:firstRowLastColumn="0" w:lastRowFirstColumn="0" w:lastRowLastColumn="0"/>
        </w:trPr>
        <w:tc>
          <w:tcPr>
            <w:tcW w:w="2038" w:type="dxa"/>
          </w:tcPr>
          <w:p w14:paraId="3504012C" w14:textId="77777777" w:rsidR="009F6996" w:rsidRPr="00EF22E8" w:rsidRDefault="009F6996" w:rsidP="002B70E2">
            <w:pPr>
              <w:pStyle w:val="TableText"/>
            </w:pPr>
            <w:r w:rsidRPr="00EF22E8">
              <w:t>Responsible Team</w:t>
            </w:r>
          </w:p>
        </w:tc>
        <w:tc>
          <w:tcPr>
            <w:tcW w:w="7052" w:type="dxa"/>
          </w:tcPr>
          <w:p w14:paraId="75ADC724" w14:textId="77777777" w:rsidR="009F6996" w:rsidRPr="00EF22E8" w:rsidRDefault="009F6996" w:rsidP="002B70E2">
            <w:pPr>
              <w:pStyle w:val="TableText"/>
            </w:pPr>
            <w:r w:rsidRPr="00EF22E8">
              <w:t xml:space="preserve">The team that has overall responsibility for the master e.g. as the contact to resolve any queries or issues regarding the master and associated events. </w:t>
            </w:r>
            <w:r w:rsidR="00C56462" w:rsidRPr="00EF22E8">
              <w:t xml:space="preserve">The system </w:t>
            </w:r>
            <w:r w:rsidRPr="00EF22E8">
              <w:t>defaults the responsible team when creating the transaction as follows:</w:t>
            </w:r>
          </w:p>
          <w:p w14:paraId="26BDA395" w14:textId="77777777" w:rsidR="009F6996" w:rsidRPr="00EF22E8" w:rsidRDefault="009F6996" w:rsidP="009D0D89">
            <w:pPr>
              <w:pStyle w:val="TableBullet1"/>
            </w:pPr>
            <w:r w:rsidRPr="00EF22E8">
              <w:t>Manual – set from team creating the transaction</w:t>
            </w:r>
          </w:p>
          <w:p w14:paraId="543951C9" w14:textId="77777777" w:rsidR="009F6996" w:rsidRPr="00EF22E8" w:rsidRDefault="009F6996" w:rsidP="009D0D89">
            <w:pPr>
              <w:pStyle w:val="TableBullet1"/>
            </w:pPr>
            <w:r w:rsidRPr="00EF22E8">
              <w:t>Gateway – set from the team specified on the incoming message (if present and valid) otherwise to the team to which the transaction is assigned through workflow allocation based on the behalf of branch</w:t>
            </w:r>
          </w:p>
          <w:p w14:paraId="360370E0" w14:textId="77777777" w:rsidR="009F6996" w:rsidRPr="00EF22E8" w:rsidRDefault="009F6996" w:rsidP="009D0D89">
            <w:pPr>
              <w:pStyle w:val="TableBullet1"/>
            </w:pPr>
            <w:r w:rsidRPr="00EF22E8">
              <w:t>SWIFT – set to the team to which the transaction is assigned through workflow allocation based on the behalf of branch</w:t>
            </w:r>
          </w:p>
          <w:p w14:paraId="3D0E0795" w14:textId="77777777" w:rsidR="009F6996" w:rsidRPr="00EF22E8" w:rsidRDefault="009F6996" w:rsidP="002B70E2">
            <w:pPr>
              <w:pStyle w:val="TableText"/>
            </w:pPr>
            <w:r w:rsidRPr="00EF22E8">
              <w:t>It can be changed, if required, to either the team associated with the primary customer, default team for the product or the user’s current team.</w:t>
            </w:r>
          </w:p>
        </w:tc>
      </w:tr>
      <w:tr w:rsidR="009F6996" w:rsidRPr="00EF22E8" w14:paraId="078F3CED" w14:textId="77777777" w:rsidTr="006C33CE">
        <w:trPr>
          <w:cnfStyle w:val="000000100000" w:firstRow="0" w:lastRow="0" w:firstColumn="0" w:lastColumn="0" w:oddVBand="0" w:evenVBand="0" w:oddHBand="1" w:evenHBand="0" w:firstRowFirstColumn="0" w:firstRowLastColumn="0" w:lastRowFirstColumn="0" w:lastRowLastColumn="0"/>
        </w:trPr>
        <w:tc>
          <w:tcPr>
            <w:tcW w:w="2038" w:type="dxa"/>
          </w:tcPr>
          <w:p w14:paraId="34F826B4" w14:textId="77777777" w:rsidR="009F6996" w:rsidRPr="00EF22E8" w:rsidRDefault="009F6996" w:rsidP="002B70E2">
            <w:pPr>
              <w:pStyle w:val="TableText"/>
            </w:pPr>
            <w:r w:rsidRPr="00EF22E8">
              <w:t>Mail to Branch</w:t>
            </w:r>
          </w:p>
        </w:tc>
        <w:tc>
          <w:tcPr>
            <w:tcW w:w="7052" w:type="dxa"/>
          </w:tcPr>
          <w:p w14:paraId="2EF1A68D" w14:textId="77777777" w:rsidR="009F6996" w:rsidRPr="00EF22E8" w:rsidRDefault="009F6996" w:rsidP="002B70E2">
            <w:pPr>
              <w:pStyle w:val="TableText"/>
            </w:pPr>
            <w:r w:rsidRPr="00EF22E8">
              <w:t>The mail to branch can be set to any branch within the main banking entity of the behalf of branch.</w:t>
            </w:r>
          </w:p>
        </w:tc>
      </w:tr>
      <w:tr w:rsidR="009F6996" w:rsidRPr="00EF22E8" w14:paraId="4EF36810" w14:textId="77777777" w:rsidTr="006C33CE">
        <w:trPr>
          <w:cnfStyle w:val="000000010000" w:firstRow="0" w:lastRow="0" w:firstColumn="0" w:lastColumn="0" w:oddVBand="0" w:evenVBand="0" w:oddHBand="0" w:evenHBand="1" w:firstRowFirstColumn="0" w:firstRowLastColumn="0" w:lastRowFirstColumn="0" w:lastRowLastColumn="0"/>
        </w:trPr>
        <w:tc>
          <w:tcPr>
            <w:tcW w:w="2038" w:type="dxa"/>
          </w:tcPr>
          <w:p w14:paraId="1D211170" w14:textId="77777777" w:rsidR="009F6996" w:rsidRPr="00EF22E8" w:rsidRDefault="009F6996" w:rsidP="002B70E2">
            <w:pPr>
              <w:pStyle w:val="TableText"/>
            </w:pPr>
            <w:r w:rsidRPr="00EF22E8">
              <w:t>Responsible User</w:t>
            </w:r>
          </w:p>
        </w:tc>
        <w:tc>
          <w:tcPr>
            <w:tcW w:w="7052" w:type="dxa"/>
          </w:tcPr>
          <w:p w14:paraId="18A6B827" w14:textId="77777777" w:rsidR="009F6996" w:rsidRPr="00EF22E8" w:rsidRDefault="009F6996" w:rsidP="002B70E2">
            <w:pPr>
              <w:pStyle w:val="TableText"/>
            </w:pPr>
            <w:r w:rsidRPr="00EF22E8">
              <w:t>A user that has responsibility for the master e.g. as the contact to resolve any queries or issues regarding the master and associated events. This can be any user assigned to the responsible team.</w:t>
            </w:r>
          </w:p>
        </w:tc>
      </w:tr>
      <w:tr w:rsidR="009F6996" w:rsidRPr="00EF22E8" w14:paraId="265C91CA" w14:textId="77777777" w:rsidTr="006C33CE">
        <w:trPr>
          <w:cnfStyle w:val="000000100000" w:firstRow="0" w:lastRow="0" w:firstColumn="0" w:lastColumn="0" w:oddVBand="0" w:evenVBand="0" w:oddHBand="1" w:evenHBand="0" w:firstRowFirstColumn="0" w:firstRowLastColumn="0" w:lastRowFirstColumn="0" w:lastRowLastColumn="0"/>
        </w:trPr>
        <w:tc>
          <w:tcPr>
            <w:tcW w:w="2038" w:type="dxa"/>
          </w:tcPr>
          <w:p w14:paraId="6AEC1AFB" w14:textId="77777777" w:rsidR="009F6996" w:rsidRPr="00EF22E8" w:rsidRDefault="009F6996" w:rsidP="002B70E2">
            <w:pPr>
              <w:pStyle w:val="TableText"/>
            </w:pPr>
            <w:r w:rsidRPr="00EF22E8">
              <w:t>Related Reference</w:t>
            </w:r>
          </w:p>
        </w:tc>
        <w:tc>
          <w:tcPr>
            <w:tcW w:w="7052" w:type="dxa"/>
          </w:tcPr>
          <w:p w14:paraId="7ED401F8" w14:textId="77777777" w:rsidR="009F6996" w:rsidRPr="00EF22E8" w:rsidRDefault="009F6996" w:rsidP="002B70E2">
            <w:pPr>
              <w:pStyle w:val="TableText"/>
            </w:pPr>
            <w:r w:rsidRPr="00EF22E8">
              <w:t>The reference for any related transaction.</w:t>
            </w:r>
          </w:p>
        </w:tc>
      </w:tr>
    </w:tbl>
    <w:p w14:paraId="4851AE40" w14:textId="77777777" w:rsidR="009F6996" w:rsidRPr="00EF22E8" w:rsidRDefault="009F6996" w:rsidP="00EF22E8">
      <w:pPr>
        <w:pStyle w:val="Heading2"/>
      </w:pPr>
      <w:bookmarkStart w:id="145" w:name="O_52654"/>
      <w:bookmarkStart w:id="146" w:name="_Toc317756659"/>
      <w:bookmarkStart w:id="147" w:name="_Toc331499952"/>
      <w:bookmarkStart w:id="148" w:name="_Toc390475324"/>
      <w:bookmarkStart w:id="149" w:name="_Toc411430729"/>
      <w:bookmarkStart w:id="150" w:name="_Toc166586295"/>
      <w:bookmarkEnd w:id="145"/>
      <w:r w:rsidRPr="00EF22E8">
        <w:t>The Master Summary Window For Export Credit Agency Facilities</w:t>
      </w:r>
      <w:bookmarkEnd w:id="146"/>
      <w:bookmarkEnd w:id="147"/>
      <w:bookmarkEnd w:id="148"/>
      <w:bookmarkEnd w:id="149"/>
      <w:bookmarkEnd w:id="150"/>
    </w:p>
    <w:p w14:paraId="0096AC1D" w14:textId="77777777" w:rsidR="009F6996" w:rsidRPr="00EF22E8" w:rsidRDefault="009F6996" w:rsidP="00441A26">
      <w:pPr>
        <w:pStyle w:val="BodyText"/>
      </w:pPr>
      <w:r w:rsidRPr="00EF22E8">
        <w:t xml:space="preserve">Once you have created an export credit agency facility, </w:t>
      </w:r>
      <w:r w:rsidR="00C56462" w:rsidRPr="00EF22E8">
        <w:t xml:space="preserve">the system </w:t>
      </w:r>
      <w:r w:rsidRPr="00EF22E8">
        <w:t>will display the basic details of that deal using the Master Summary window.</w:t>
      </w:r>
    </w:p>
    <w:p w14:paraId="2F55865D" w14:textId="77777777" w:rsidR="009F6996" w:rsidRPr="00EF22E8" w:rsidRDefault="009F6996" w:rsidP="00441A26">
      <w:pPr>
        <w:pStyle w:val="BodyText"/>
      </w:pPr>
      <w:r w:rsidRPr="00EF22E8">
        <w:rPr>
          <w:noProof/>
          <w:lang w:eastAsia="en-GB"/>
        </w:rPr>
        <w:lastRenderedPageBreak/>
        <w:drawing>
          <wp:inline distT="0" distB="0" distL="0" distR="0" wp14:anchorId="2AD5954D" wp14:editId="5ECD7094">
            <wp:extent cx="5391150" cy="3095625"/>
            <wp:effectExtent l="0" t="0" r="0" b="9525"/>
            <wp:docPr id="40" name="Picture 20" descr="ECAF - The Master Summary Window for Export Crdit Agency Faciliti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CAF - The Master Summary Window for Export Crdit Agency Facilities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1150" cy="3095625"/>
                    </a:xfrm>
                    <a:prstGeom prst="rect">
                      <a:avLst/>
                    </a:prstGeom>
                    <a:noFill/>
                    <a:ln>
                      <a:noFill/>
                    </a:ln>
                  </pic:spPr>
                </pic:pic>
              </a:graphicData>
            </a:graphic>
          </wp:inline>
        </w:drawing>
      </w:r>
    </w:p>
    <w:p w14:paraId="7F106F9B" w14:textId="162C9BDE" w:rsidR="009F6996" w:rsidRPr="00EF22E8" w:rsidRDefault="009F6996" w:rsidP="00441A26">
      <w:pPr>
        <w:pStyle w:val="BodyText"/>
      </w:pPr>
      <w:r w:rsidRPr="00EF22E8">
        <w:t xml:space="preserve">For more information on how the various panes and buttons in this window work see the </w:t>
      </w:r>
      <w:r w:rsidRPr="00EF22E8">
        <w:rPr>
          <w:rStyle w:val="Italic"/>
        </w:rPr>
        <w:t>Common Facilities User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t>.</w:t>
      </w:r>
    </w:p>
    <w:p w14:paraId="34968023" w14:textId="77777777" w:rsidR="00770A33" w:rsidRPr="00EF22E8" w:rsidRDefault="00770A33" w:rsidP="00441A26">
      <w:pPr>
        <w:pStyle w:val="BodyText"/>
      </w:pPr>
      <w:bookmarkStart w:id="151" w:name="_Toc317756660"/>
      <w:bookmarkStart w:id="152" w:name="_Toc331499953"/>
      <w:bookmarkStart w:id="153" w:name="_Toc390475325"/>
      <w:r w:rsidRPr="00EF22E8">
        <w:br w:type="page"/>
      </w:r>
    </w:p>
    <w:p w14:paraId="0CBE9376" w14:textId="77777777" w:rsidR="009F6996" w:rsidRPr="00EF22E8" w:rsidRDefault="009F6996" w:rsidP="00EF22E8">
      <w:pPr>
        <w:pStyle w:val="Heading2"/>
      </w:pPr>
      <w:bookmarkStart w:id="154" w:name="_Toc411430730"/>
      <w:bookmarkStart w:id="155" w:name="_Toc166586296"/>
      <w:r w:rsidRPr="00EF22E8">
        <w:lastRenderedPageBreak/>
        <w:t>Linking an Export Credit Agency Facility to a Financing Transaction</w:t>
      </w:r>
      <w:bookmarkEnd w:id="151"/>
      <w:bookmarkEnd w:id="152"/>
      <w:bookmarkEnd w:id="153"/>
      <w:bookmarkEnd w:id="154"/>
      <w:bookmarkEnd w:id="155"/>
    </w:p>
    <w:p w14:paraId="062BDA0E" w14:textId="77777777" w:rsidR="009F6996" w:rsidRPr="00EF22E8" w:rsidRDefault="009F6996" w:rsidP="00441A26">
      <w:pPr>
        <w:pStyle w:val="BodyText"/>
      </w:pPr>
      <w:r w:rsidRPr="00EF22E8">
        <w:t>A financing transaction is linked to an export credit agency facility at the time that the financing transaction is created. In the Party List pane check the Link to Participation/Facility field.</w:t>
      </w:r>
    </w:p>
    <w:p w14:paraId="5B5909CD" w14:textId="77777777" w:rsidR="009F6996" w:rsidRPr="00EF22E8" w:rsidRDefault="009F6996" w:rsidP="00441A26">
      <w:pPr>
        <w:pStyle w:val="BodyText"/>
      </w:pPr>
      <w:r w:rsidRPr="00EF22E8">
        <w:rPr>
          <w:noProof/>
          <w:lang w:eastAsia="en-GB"/>
        </w:rPr>
        <w:drawing>
          <wp:inline distT="0" distB="0" distL="0" distR="0" wp14:anchorId="0A64D428" wp14:editId="592BB5B5">
            <wp:extent cx="5391150" cy="2838450"/>
            <wp:effectExtent l="0" t="0" r="0" b="0"/>
            <wp:docPr id="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1150" cy="2838450"/>
                    </a:xfrm>
                    <a:prstGeom prst="rect">
                      <a:avLst/>
                    </a:prstGeom>
                    <a:noFill/>
                    <a:ln>
                      <a:noFill/>
                    </a:ln>
                  </pic:spPr>
                </pic:pic>
              </a:graphicData>
            </a:graphic>
          </wp:inline>
        </w:drawing>
      </w:r>
    </w:p>
    <w:p w14:paraId="01D9D897" w14:textId="77777777" w:rsidR="009F6996" w:rsidRPr="00EF22E8" w:rsidRDefault="009F6996" w:rsidP="00441A26">
      <w:pPr>
        <w:pStyle w:val="BodyText"/>
      </w:pPr>
      <w:r w:rsidRPr="00EF22E8">
        <w:t xml:space="preserve">An additional pane is displayed - the Participation Deal/Facility pane. To select the export credit agency facility to which the financing transaction is to be linked press the Select button. In the window that is displayed </w:t>
      </w:r>
      <w:r w:rsidR="00C56462" w:rsidRPr="00EF22E8">
        <w:t xml:space="preserve">the system </w:t>
      </w:r>
      <w:r w:rsidRPr="00EF22E8">
        <w:t>lists all the export credit agency facilities set up for the principal customer (</w:t>
      </w:r>
      <w:proofErr w:type="gramStart"/>
      <w:r w:rsidRPr="00EF22E8">
        <w:t>and also</w:t>
      </w:r>
      <w:proofErr w:type="gramEnd"/>
      <w:r w:rsidRPr="00EF22E8">
        <w:t xml:space="preserve"> any participation deals the principal customer can use).</w:t>
      </w:r>
    </w:p>
    <w:p w14:paraId="1D56C78A" w14:textId="77777777" w:rsidR="009F6996" w:rsidRPr="00EF22E8" w:rsidRDefault="009F6996" w:rsidP="00441A26">
      <w:pPr>
        <w:pStyle w:val="BodyText"/>
      </w:pPr>
      <w:r w:rsidRPr="00EF22E8">
        <w:rPr>
          <w:noProof/>
          <w:lang w:eastAsia="en-GB"/>
        </w:rPr>
        <w:drawing>
          <wp:inline distT="0" distB="0" distL="0" distR="0" wp14:anchorId="7CE6BCEA" wp14:editId="3AEA46E2">
            <wp:extent cx="5391150" cy="1438275"/>
            <wp:effectExtent l="0" t="0" r="0" b="9525"/>
            <wp:docPr id="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1150" cy="1438275"/>
                    </a:xfrm>
                    <a:prstGeom prst="rect">
                      <a:avLst/>
                    </a:prstGeom>
                    <a:noFill/>
                    <a:ln>
                      <a:noFill/>
                    </a:ln>
                  </pic:spPr>
                </pic:pic>
              </a:graphicData>
            </a:graphic>
          </wp:inline>
        </w:drawing>
      </w:r>
    </w:p>
    <w:p w14:paraId="2531B2D5" w14:textId="77777777" w:rsidR="009F6996" w:rsidRPr="00EF22E8" w:rsidRDefault="009F6996" w:rsidP="00441A26">
      <w:pPr>
        <w:pStyle w:val="BodyText"/>
      </w:pPr>
      <w:r w:rsidRPr="00EF22E8">
        <w:t>Highlight the required export credit agency facility and press the OK button.</w:t>
      </w:r>
    </w:p>
    <w:p w14:paraId="7EA65A9C" w14:textId="77777777" w:rsidR="009F6996" w:rsidRPr="00EF22E8" w:rsidRDefault="00C56462" w:rsidP="00441A26">
      <w:pPr>
        <w:pStyle w:val="BodyText"/>
      </w:pPr>
      <w:r w:rsidRPr="00EF22E8">
        <w:t xml:space="preserve">The system </w:t>
      </w:r>
      <w:r w:rsidR="009F6996" w:rsidRPr="00EF22E8">
        <w:t>closes the window, and displays details of the selected facility in the Participation Deal/Facility pane.</w:t>
      </w:r>
    </w:p>
    <w:p w14:paraId="4EEF0C94" w14:textId="77777777" w:rsidR="009F6996" w:rsidRPr="00EF22E8" w:rsidRDefault="009F6996" w:rsidP="00441A26">
      <w:pPr>
        <w:pStyle w:val="BodyText"/>
      </w:pPr>
      <w:r w:rsidRPr="00EF22E8">
        <w:rPr>
          <w:noProof/>
          <w:lang w:eastAsia="en-GB"/>
        </w:rPr>
        <w:drawing>
          <wp:inline distT="0" distB="0" distL="0" distR="0" wp14:anchorId="48AE18E7" wp14:editId="59FE36B9">
            <wp:extent cx="5400675" cy="1704975"/>
            <wp:effectExtent l="0" t="0" r="9525" b="9525"/>
            <wp:docPr id="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675" cy="1704975"/>
                    </a:xfrm>
                    <a:prstGeom prst="rect">
                      <a:avLst/>
                    </a:prstGeom>
                    <a:noFill/>
                    <a:ln>
                      <a:noFill/>
                    </a:ln>
                  </pic:spPr>
                </pic:pic>
              </a:graphicData>
            </a:graphic>
          </wp:inline>
        </w:drawing>
      </w:r>
    </w:p>
    <w:p w14:paraId="43C277FC" w14:textId="77777777" w:rsidR="009F6996" w:rsidRPr="00EF22E8" w:rsidRDefault="009F6996" w:rsidP="00441A26">
      <w:pPr>
        <w:pStyle w:val="BodyText"/>
      </w:pPr>
      <w:r w:rsidRPr="00EF22E8">
        <w:t>A Remove button is present in the Participation Deal/Facility pane, which you can use to remove the export credit agency facility from the transaction.</w:t>
      </w:r>
    </w:p>
    <w:p w14:paraId="1681DFCF" w14:textId="77777777" w:rsidR="009F6996" w:rsidRPr="00EF22E8" w:rsidRDefault="009F6996" w:rsidP="00A72810">
      <w:pPr>
        <w:pStyle w:val="Note1"/>
      </w:pPr>
      <w:r w:rsidRPr="00EF22E8">
        <w:t>Once the Create event for the financing transaction has been released, you will not be able to change to a different export credit agency facility or remove the one selected.</w:t>
      </w:r>
    </w:p>
    <w:p w14:paraId="0F73B2D6" w14:textId="77777777" w:rsidR="009F6996" w:rsidRPr="00EF22E8" w:rsidRDefault="009F6996" w:rsidP="00441A26">
      <w:pPr>
        <w:pStyle w:val="BodyText"/>
      </w:pPr>
      <w:r w:rsidRPr="00EF22E8">
        <w:lastRenderedPageBreak/>
        <w:t xml:space="preserve">See Chapter 6 for more information on the how </w:t>
      </w:r>
      <w:r w:rsidR="00C56462" w:rsidRPr="00EF22E8">
        <w:t xml:space="preserve">the system </w:t>
      </w:r>
      <w:r w:rsidRPr="00EF22E8">
        <w:t>handles the relationship between financing transactions and export credit agency facilities.</w:t>
      </w:r>
    </w:p>
    <w:p w14:paraId="64A07CC7" w14:textId="77777777" w:rsidR="009F6996" w:rsidRPr="00EF22E8" w:rsidRDefault="009F6996" w:rsidP="00EF22E8">
      <w:pPr>
        <w:pStyle w:val="Heading2"/>
      </w:pPr>
      <w:bookmarkStart w:id="156" w:name="_Toc317756661"/>
      <w:bookmarkStart w:id="157" w:name="_Toc331499954"/>
      <w:bookmarkStart w:id="158" w:name="_Toc390475326"/>
      <w:bookmarkStart w:id="159" w:name="_Toc411430731"/>
      <w:bookmarkStart w:id="160" w:name="_Toc166586297"/>
      <w:r w:rsidRPr="00EF22E8">
        <w:t>Creating an Export Credit Agency Facility from within a Financing Transaction</w:t>
      </w:r>
      <w:bookmarkEnd w:id="156"/>
      <w:bookmarkEnd w:id="157"/>
      <w:bookmarkEnd w:id="158"/>
      <w:bookmarkEnd w:id="159"/>
      <w:bookmarkEnd w:id="160"/>
    </w:p>
    <w:p w14:paraId="7BDFD19B" w14:textId="77777777" w:rsidR="009F6996" w:rsidRPr="00EF22E8" w:rsidRDefault="009F6996" w:rsidP="00441A26">
      <w:pPr>
        <w:pStyle w:val="BodyText"/>
      </w:pPr>
      <w:r w:rsidRPr="00EF22E8">
        <w:t>When entering details of a financing transaction you can either link it to an existing export credit agency facility or set up a new one to which it is to be linked. This is done from within the Party List pane. Check the Link to Participation/Facility field.</w:t>
      </w:r>
    </w:p>
    <w:p w14:paraId="5479160D" w14:textId="77777777" w:rsidR="009F6996" w:rsidRPr="00EF22E8" w:rsidRDefault="009F6996" w:rsidP="00441A26">
      <w:pPr>
        <w:pStyle w:val="BodyText"/>
      </w:pPr>
      <w:r w:rsidRPr="00EF22E8">
        <w:rPr>
          <w:noProof/>
          <w:lang w:eastAsia="en-GB"/>
        </w:rPr>
        <w:drawing>
          <wp:inline distT="0" distB="0" distL="0" distR="0" wp14:anchorId="08864B20" wp14:editId="22FCBE07">
            <wp:extent cx="5391150" cy="2838450"/>
            <wp:effectExtent l="0" t="0" r="0" b="0"/>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1150" cy="2838450"/>
                    </a:xfrm>
                    <a:prstGeom prst="rect">
                      <a:avLst/>
                    </a:prstGeom>
                    <a:noFill/>
                    <a:ln>
                      <a:noFill/>
                    </a:ln>
                  </pic:spPr>
                </pic:pic>
              </a:graphicData>
            </a:graphic>
          </wp:inline>
        </w:drawing>
      </w:r>
    </w:p>
    <w:p w14:paraId="444FDC8B" w14:textId="367DFA30" w:rsidR="009F6996" w:rsidRPr="00EF22E8" w:rsidRDefault="009F6996" w:rsidP="00441A26">
      <w:pPr>
        <w:pStyle w:val="BodyText"/>
      </w:pPr>
      <w:r w:rsidRPr="00EF22E8">
        <w:t xml:space="preserve">In the Participation Deal/Facility pane, click on the New button next to the label 'or enter new Facility'. </w:t>
      </w:r>
      <w:r w:rsidR="00C56462" w:rsidRPr="00EF22E8">
        <w:t xml:space="preserve">The system </w:t>
      </w:r>
      <w:r w:rsidRPr="00EF22E8">
        <w:t>opens a window that allows you to enter details of a new export credit agency facility. The information entered is the same as for when creating a standalone facility</w:t>
      </w:r>
      <w:bookmarkStart w:id="161" w:name="H_52809"/>
      <w:bookmarkEnd w:id="161"/>
      <w:r w:rsidRPr="00EF22E8">
        <w:t xml:space="preserve"> (see page</w:t>
      </w:r>
      <w:r w:rsidR="00941C5E">
        <w:t xml:space="preserve"> </w:t>
      </w:r>
      <w:r w:rsidR="00941C5E">
        <w:fldChar w:fldCharType="begin"/>
      </w:r>
      <w:r w:rsidR="00941C5E">
        <w:instrText xml:space="preserve"> PAGEREF _Ref432185610 \h </w:instrText>
      </w:r>
      <w:r w:rsidR="00941C5E">
        <w:fldChar w:fldCharType="separate"/>
      </w:r>
      <w:r w:rsidR="00974B4D">
        <w:rPr>
          <w:noProof/>
        </w:rPr>
        <w:t>7</w:t>
      </w:r>
      <w:r w:rsidR="00941C5E">
        <w:fldChar w:fldCharType="end"/>
      </w:r>
      <w:r w:rsidRPr="00EF22E8">
        <w:t>), except that the facility must be set up for the principal customer of the financing transaction.</w:t>
      </w:r>
    </w:p>
    <w:p w14:paraId="46CCA8F2" w14:textId="77777777" w:rsidR="009F6996" w:rsidRPr="00EF22E8" w:rsidRDefault="009F6996" w:rsidP="00441A26">
      <w:pPr>
        <w:pStyle w:val="BodyText"/>
      </w:pPr>
      <w:r w:rsidRPr="00EF22E8">
        <w:t xml:space="preserve">See Chapter 6 for more information on the how </w:t>
      </w:r>
      <w:r w:rsidR="00C56462" w:rsidRPr="00EF22E8">
        <w:t xml:space="preserve">the system </w:t>
      </w:r>
      <w:r w:rsidRPr="00EF22E8">
        <w:t>handles the relationship between financing transactions and export credit agency facilities.</w:t>
      </w:r>
    </w:p>
    <w:p w14:paraId="347A2DB2" w14:textId="77777777" w:rsidR="009F6996" w:rsidRPr="00EF22E8" w:rsidRDefault="009F6996" w:rsidP="00EF22E8">
      <w:pPr>
        <w:pStyle w:val="Heading1"/>
      </w:pPr>
      <w:bookmarkStart w:id="162" w:name="_Toc317756662"/>
      <w:bookmarkStart w:id="163" w:name="_Toc331499955"/>
      <w:bookmarkStart w:id="164" w:name="_Toc390475327"/>
      <w:bookmarkStart w:id="165" w:name="_Toc411430732"/>
      <w:bookmarkStart w:id="166" w:name="_Ref57049780"/>
      <w:bookmarkStart w:id="167" w:name="_Toc166586298"/>
      <w:r w:rsidRPr="00EF22E8">
        <w:lastRenderedPageBreak/>
        <w:t>Making Changes to an Export Credit Agency Facility</w:t>
      </w:r>
      <w:bookmarkEnd w:id="162"/>
      <w:bookmarkEnd w:id="163"/>
      <w:bookmarkEnd w:id="164"/>
      <w:bookmarkEnd w:id="165"/>
      <w:bookmarkEnd w:id="166"/>
      <w:bookmarkEnd w:id="167"/>
    </w:p>
    <w:p w14:paraId="4E37E113" w14:textId="77777777" w:rsidR="009F6996" w:rsidRPr="00EF22E8" w:rsidRDefault="009F6996" w:rsidP="00441A26">
      <w:pPr>
        <w:pStyle w:val="BodyText"/>
      </w:pPr>
      <w:r w:rsidRPr="00EF22E8">
        <w:t xml:space="preserve">This chapter explains how to use </w:t>
      </w:r>
      <w:r w:rsidR="00C56462" w:rsidRPr="00EF22E8">
        <w:t xml:space="preserve">the system </w:t>
      </w:r>
      <w:r w:rsidRPr="00EF22E8">
        <w:t>to make changes to an</w:t>
      </w:r>
      <w:r w:rsidR="00287098" w:rsidRPr="00EF22E8">
        <w:t xml:space="preserve"> export credit agency facility.</w:t>
      </w:r>
    </w:p>
    <w:p w14:paraId="50C286D2" w14:textId="6AB60625" w:rsidR="009F6996" w:rsidRPr="00EF22E8" w:rsidRDefault="009F6996" w:rsidP="00EF22E8">
      <w:pPr>
        <w:pStyle w:val="Heading2"/>
      </w:pPr>
      <w:bookmarkStart w:id="168" w:name="O_52657"/>
      <w:bookmarkStart w:id="169" w:name="_Toc317756663"/>
      <w:bookmarkStart w:id="170" w:name="_Toc331499956"/>
      <w:bookmarkStart w:id="171" w:name="_Toc390475328"/>
      <w:bookmarkStart w:id="172" w:name="_Toc411430733"/>
      <w:bookmarkStart w:id="173" w:name="_Toc166586299"/>
      <w:bookmarkEnd w:id="168"/>
      <w:r w:rsidRPr="00EF22E8">
        <w:t xml:space="preserve">Amendments in </w:t>
      </w:r>
      <w:bookmarkEnd w:id="169"/>
      <w:bookmarkEnd w:id="170"/>
      <w:bookmarkEnd w:id="171"/>
      <w:r w:rsidR="00717F11">
        <w:t>Trade Innovation</w:t>
      </w:r>
      <w:bookmarkEnd w:id="172"/>
      <w:bookmarkEnd w:id="173"/>
    </w:p>
    <w:p w14:paraId="51BAF5DD" w14:textId="77777777" w:rsidR="009F6996" w:rsidRPr="00EF22E8" w:rsidRDefault="009F6996" w:rsidP="00441A26">
      <w:pPr>
        <w:pStyle w:val="BodyText"/>
      </w:pPr>
      <w:r w:rsidRPr="00EF22E8">
        <w:t xml:space="preserve">An export credit agency facility can be amended using an Amend event at any time between the release of the Create event and book-off. Amendments may result from a request by any of the parties to the underlying agreement to alter its terms, or from a need to increase the total commitment amount or change the expiry date. Accounting entries and changes to the master record </w:t>
      </w:r>
      <w:proofErr w:type="gramStart"/>
      <w:r w:rsidRPr="00EF22E8">
        <w:t>as a result of</w:t>
      </w:r>
      <w:proofErr w:type="gramEnd"/>
      <w:r w:rsidRPr="00EF22E8">
        <w:t xml:space="preserve"> the amendment are carried out as soon as the Amend event has been released.</w:t>
      </w:r>
    </w:p>
    <w:p w14:paraId="0C76F562" w14:textId="77777777" w:rsidR="009F6996" w:rsidRPr="00EF22E8" w:rsidRDefault="009F6996" w:rsidP="00441A26">
      <w:pPr>
        <w:pStyle w:val="BodyText"/>
      </w:pPr>
      <w:r w:rsidRPr="00EF22E8">
        <w:t>The Amend event allows you to make changes to most information relating to an export credit agency facility, including those items that can be expected to change most frequently.</w:t>
      </w:r>
    </w:p>
    <w:p w14:paraId="4AB058C3" w14:textId="77777777" w:rsidR="009F6996" w:rsidRPr="00EF22E8" w:rsidRDefault="009F6996" w:rsidP="00441A26">
      <w:pPr>
        <w:pStyle w:val="BodyText"/>
      </w:pPr>
      <w:r w:rsidRPr="00EF22E8">
        <w:t xml:space="preserve">If you change the commitment amount, </w:t>
      </w:r>
      <w:r w:rsidR="00C56462" w:rsidRPr="00EF22E8">
        <w:t xml:space="preserve">the system </w:t>
      </w:r>
      <w:r w:rsidRPr="00EF22E8">
        <w:t>calculates the total amount of all drawdowns against the facility and prevents you from making the change if the new commitment amount is less than that total.</w:t>
      </w:r>
    </w:p>
    <w:p w14:paraId="6A4A1877" w14:textId="77777777" w:rsidR="009F6996" w:rsidRPr="00EF22E8" w:rsidRDefault="009F6996" w:rsidP="00441A26">
      <w:pPr>
        <w:pStyle w:val="BodyText"/>
      </w:pPr>
      <w:r w:rsidRPr="00EF22E8">
        <w:t>If you change the expiry date, the new expiry date cannot be earlier than the latest expiry date on any linked financing transaction.</w:t>
      </w:r>
    </w:p>
    <w:p w14:paraId="37996F16" w14:textId="77777777" w:rsidR="009F6996" w:rsidRPr="00EF22E8" w:rsidRDefault="009F6996" w:rsidP="00441A26">
      <w:pPr>
        <w:pStyle w:val="BodyText"/>
      </w:pPr>
      <w:r w:rsidRPr="00EF22E8">
        <w:t>If you need to alter any information that cannot be changed using the Amend event, you can use the Adjust event.</w:t>
      </w:r>
    </w:p>
    <w:p w14:paraId="14478160" w14:textId="77777777" w:rsidR="009F6996" w:rsidRPr="00EF22E8" w:rsidRDefault="009F6996" w:rsidP="00441A26">
      <w:pPr>
        <w:pStyle w:val="BodyText"/>
      </w:pPr>
      <w:r w:rsidRPr="00EF22E8">
        <w:t>The Amend event and the Adjust event both allow you to flag an export credit agency facility as blocked, and to subsequently unblock it, if required. Blocking an export credit facility has no effect on existing transactions linked to the facility, but prevents any new ones from being linked to it.</w:t>
      </w:r>
    </w:p>
    <w:p w14:paraId="163B064F" w14:textId="77777777" w:rsidR="00107CB1" w:rsidRPr="00EF22E8" w:rsidRDefault="00107CB1" w:rsidP="00441A26">
      <w:pPr>
        <w:pStyle w:val="BodyText"/>
      </w:pPr>
      <w:r w:rsidRPr="00EF22E8">
        <w:br w:type="page"/>
      </w:r>
    </w:p>
    <w:p w14:paraId="716DD4A5" w14:textId="77777777" w:rsidR="009F6996" w:rsidRPr="00EF22E8" w:rsidRDefault="009F6996" w:rsidP="00EF22E8">
      <w:pPr>
        <w:pStyle w:val="Heading2"/>
      </w:pPr>
      <w:bookmarkStart w:id="174" w:name="_Toc317756664"/>
      <w:bookmarkStart w:id="175" w:name="_Toc331499957"/>
      <w:bookmarkStart w:id="176" w:name="_Toc390475329"/>
      <w:bookmarkStart w:id="177" w:name="_Ref404188904"/>
      <w:bookmarkStart w:id="178" w:name="_Toc411430734"/>
      <w:bookmarkStart w:id="179" w:name="_Ref432185232"/>
      <w:bookmarkStart w:id="180" w:name="_Toc166586300"/>
      <w:r w:rsidRPr="00EF22E8">
        <w:lastRenderedPageBreak/>
        <w:t>Amending an Export Credit Agency Facility</w:t>
      </w:r>
      <w:bookmarkEnd w:id="174"/>
      <w:bookmarkEnd w:id="175"/>
      <w:bookmarkEnd w:id="176"/>
      <w:bookmarkEnd w:id="177"/>
      <w:bookmarkEnd w:id="178"/>
      <w:bookmarkEnd w:id="179"/>
      <w:bookmarkEnd w:id="180"/>
    </w:p>
    <w:p w14:paraId="1D83B6E1" w14:textId="0EA053F6" w:rsidR="009F6996" w:rsidRPr="00EF22E8" w:rsidRDefault="009F6996" w:rsidP="00441A26">
      <w:pPr>
        <w:pStyle w:val="BodyText"/>
      </w:pPr>
      <w:r w:rsidRPr="00EF22E8">
        <w:t xml:space="preserve">To amend an export credit agency facility, with the appropriate master record open, in the Master Summary window select 'Amend EC Agency Facility' from the Create New Event drop-down list and press Create. </w:t>
      </w:r>
      <w:r w:rsidR="00C56462" w:rsidRPr="00EF22E8">
        <w:t xml:space="preserve">The system </w:t>
      </w:r>
      <w:r w:rsidRPr="00EF22E8">
        <w:t xml:space="preserve">opens the event at either a Log step or Input step, depending on how the Workflow orchestration controlling the event is configured. See the </w:t>
      </w:r>
      <w:r w:rsidRPr="00EF22E8">
        <w:rPr>
          <w:i/>
        </w:rPr>
        <w:t>Workflow Tailoring User Guide</w:t>
      </w:r>
      <w:r w:rsidR="00E50A00" w:rsidRPr="00EF22E8">
        <w:rPr>
          <w:i/>
        </w:rPr>
        <w:t xml:space="preserve"> </w:t>
      </w:r>
      <w:r w:rsidR="00E50A00" w:rsidRPr="00235B54">
        <w:rPr>
          <w:rStyle w:val="Italic"/>
        </w:rPr>
        <w:t xml:space="preserve">– </w:t>
      </w:r>
      <w:r w:rsidR="00717F11">
        <w:rPr>
          <w:rStyle w:val="Italic"/>
        </w:rPr>
        <w:t>Trade Innovation</w:t>
      </w:r>
      <w:r w:rsidRPr="00EF22E8">
        <w:rPr>
          <w:i/>
        </w:rPr>
        <w:t xml:space="preserve"> </w:t>
      </w:r>
      <w:r w:rsidRPr="00EF22E8">
        <w:t>for details.</w:t>
      </w:r>
    </w:p>
    <w:p w14:paraId="610B8FCE" w14:textId="77777777" w:rsidR="009F6996" w:rsidRPr="00EF22E8" w:rsidRDefault="009F6996" w:rsidP="00441A26">
      <w:pPr>
        <w:pStyle w:val="BodyText"/>
      </w:pPr>
      <w:r w:rsidRPr="00EF22E8">
        <w:rPr>
          <w:noProof/>
          <w:lang w:eastAsia="en-GB"/>
        </w:rPr>
        <w:drawing>
          <wp:inline distT="0" distB="0" distL="0" distR="0" wp14:anchorId="5512DD3F" wp14:editId="4FBE9766">
            <wp:extent cx="5400675" cy="4829175"/>
            <wp:effectExtent l="0" t="0" r="9525" b="9525"/>
            <wp:docPr id="48" name="Picture 39" descr="ECAF - Amending an Export Credit Agency Facilit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CAF - Amending an Export Credit Agency Facility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675" cy="4829175"/>
                    </a:xfrm>
                    <a:prstGeom prst="rect">
                      <a:avLst/>
                    </a:prstGeom>
                    <a:noFill/>
                    <a:ln>
                      <a:noFill/>
                    </a:ln>
                  </pic:spPr>
                </pic:pic>
              </a:graphicData>
            </a:graphic>
          </wp:inline>
        </w:drawing>
      </w:r>
    </w:p>
    <w:p w14:paraId="1398C946" w14:textId="77777777" w:rsidR="00107CB1" w:rsidRPr="00EF22E8" w:rsidRDefault="00107CB1" w:rsidP="00441A26">
      <w:pPr>
        <w:pStyle w:val="BodyText"/>
      </w:pPr>
      <w:r w:rsidRPr="00EF22E8">
        <w:br w:type="page"/>
      </w:r>
    </w:p>
    <w:p w14:paraId="676E4A6F" w14:textId="77777777" w:rsidR="009F6996" w:rsidRPr="00EF22E8" w:rsidRDefault="009F6996" w:rsidP="00441A26">
      <w:pPr>
        <w:pStyle w:val="BodyText"/>
      </w:pPr>
      <w:r w:rsidRPr="00EF22E8">
        <w:lastRenderedPageBreak/>
        <w:t>The window displays information on the existing values for the export credit agency facility that can be changed, and provides fields in which you can enter new values.</w:t>
      </w:r>
    </w:p>
    <w:p w14:paraId="0D2A7385" w14:textId="77777777" w:rsidR="009F6996" w:rsidRPr="00EF22E8" w:rsidRDefault="009F6996" w:rsidP="00441A26">
      <w:pPr>
        <w:pStyle w:val="BodyText"/>
      </w:pPr>
      <w:r w:rsidRPr="00EF22E8">
        <w:t>Use the Amend Date field to enter the date of the amendment.</w:t>
      </w:r>
    </w:p>
    <w:p w14:paraId="309E7E13" w14:textId="77777777" w:rsidR="009F6996" w:rsidRPr="00EF22E8" w:rsidRDefault="009F6996" w:rsidP="00441A26">
      <w:pPr>
        <w:pStyle w:val="BodyText"/>
      </w:pPr>
      <w:r w:rsidRPr="00EF22E8">
        <w:t>If the export credit agency facility is to be blocked check the Blocked flag. If there has already been a rollover against the related Master Certificate of Performance check the Manual Rollover flag.</w:t>
      </w:r>
    </w:p>
    <w:p w14:paraId="4B5760B0" w14:textId="77777777" w:rsidR="009F6996" w:rsidRPr="00EF22E8" w:rsidRDefault="009F6996" w:rsidP="00441A26">
      <w:pPr>
        <w:pStyle w:val="BodyText"/>
      </w:pPr>
      <w:r w:rsidRPr="00EF22E8">
        <w:t>Use the appropriate fields to amend the commitment amount and expiry date of the</w:t>
      </w:r>
      <w:r w:rsidR="00287098" w:rsidRPr="00EF22E8">
        <w:t xml:space="preserve"> export credit agency facility.</w:t>
      </w:r>
    </w:p>
    <w:p w14:paraId="72252C35" w14:textId="77777777" w:rsidR="009F6996" w:rsidRPr="00EF22E8" w:rsidRDefault="009F6996" w:rsidP="00441A26">
      <w:pPr>
        <w:pStyle w:val="BodyText"/>
      </w:pPr>
      <w:r w:rsidRPr="00EF22E8">
        <w:t>You can either use the Increase/Decrease field to select whether the change involves an increase or a decrease, then use the Increase/Decrease Amount to enter the value of the increase/decrease.</w:t>
      </w:r>
    </w:p>
    <w:p w14:paraId="171DD927" w14:textId="77777777" w:rsidR="009F6996" w:rsidRPr="00EF22E8" w:rsidRDefault="009F6996" w:rsidP="00441A26">
      <w:pPr>
        <w:pStyle w:val="BodyText"/>
      </w:pPr>
      <w:r w:rsidRPr="00EF22E8">
        <w:t xml:space="preserve">You can either use the Amount/Percent field to select whether the change involves an amount or a percentage, then enter the value into the Percent or Amount fields. You may enter an alternative currency code and press the ‘Calculate’ button. </w:t>
      </w:r>
      <w:r w:rsidR="00C56462" w:rsidRPr="00EF22E8">
        <w:t xml:space="preserve">The system </w:t>
      </w:r>
      <w:r w:rsidRPr="00EF22E8">
        <w:t>calculates the amended amount and displays it in</w:t>
      </w:r>
      <w:r w:rsidR="00287098" w:rsidRPr="00EF22E8">
        <w:t xml:space="preserve"> the New Facility Amount field.</w:t>
      </w:r>
    </w:p>
    <w:p w14:paraId="6F207638" w14:textId="77777777" w:rsidR="009F6996" w:rsidRPr="00EF22E8" w:rsidRDefault="009F6996" w:rsidP="00441A26">
      <w:pPr>
        <w:pStyle w:val="BodyText"/>
      </w:pPr>
      <w:r w:rsidRPr="00EF22E8">
        <w:t>Alternatively just type the new amount into the New Facility Amount field.</w:t>
      </w:r>
    </w:p>
    <w:p w14:paraId="4B64465E" w14:textId="77777777" w:rsidR="009F6996" w:rsidRPr="00EF22E8" w:rsidRDefault="009F6996" w:rsidP="00441A26">
      <w:pPr>
        <w:pStyle w:val="BodyText"/>
      </w:pPr>
      <w:r w:rsidRPr="00EF22E8">
        <w:t>If you change the commitment amount, the new amount must be the same as, or more than, the total amount of all drawdowns recorded against the facility.</w:t>
      </w:r>
    </w:p>
    <w:p w14:paraId="60EC6015" w14:textId="77777777" w:rsidR="009F6996" w:rsidRPr="00EF22E8" w:rsidRDefault="009F6996" w:rsidP="00441A26">
      <w:pPr>
        <w:pStyle w:val="BodyText"/>
      </w:pPr>
      <w:r w:rsidRPr="00EF22E8">
        <w:t>If you change the expiry date, the new expiry date cannot be earlier than the earliest expiry date on any linked financing transaction.</w:t>
      </w:r>
    </w:p>
    <w:p w14:paraId="672F00F5" w14:textId="77777777" w:rsidR="009F6996" w:rsidRPr="00EF22E8" w:rsidRDefault="009F6996" w:rsidP="00441A26">
      <w:pPr>
        <w:pStyle w:val="BodyText"/>
      </w:pPr>
      <w:r w:rsidRPr="00EF22E8">
        <w:t>Use the Notes to Customer field to enter any information relating to the amendment to be included on documentation sent to the customer; and the Special Instructions field to enter any special instructions received from parties to the facility relating to the amendment.</w:t>
      </w:r>
    </w:p>
    <w:p w14:paraId="1144B676" w14:textId="77777777" w:rsidR="009F6996" w:rsidRPr="00EF22E8" w:rsidRDefault="009F6996" w:rsidP="00EF22E8">
      <w:pPr>
        <w:pStyle w:val="Heading2"/>
      </w:pPr>
      <w:bookmarkStart w:id="181" w:name="O_54583"/>
      <w:bookmarkStart w:id="182" w:name="_Toc317756665"/>
      <w:bookmarkStart w:id="183" w:name="_Toc331499958"/>
      <w:bookmarkStart w:id="184" w:name="_Toc390475330"/>
      <w:bookmarkStart w:id="185" w:name="_Toc411430735"/>
      <w:bookmarkStart w:id="186" w:name="_Ref432185201"/>
      <w:bookmarkStart w:id="187" w:name="_Toc166586301"/>
      <w:bookmarkEnd w:id="181"/>
      <w:r w:rsidRPr="00EF22E8">
        <w:t>Making Adjustments to the Master Record</w:t>
      </w:r>
      <w:bookmarkEnd w:id="182"/>
      <w:bookmarkEnd w:id="183"/>
      <w:bookmarkEnd w:id="184"/>
      <w:bookmarkEnd w:id="185"/>
      <w:bookmarkEnd w:id="186"/>
      <w:bookmarkEnd w:id="187"/>
    </w:p>
    <w:p w14:paraId="14187F39" w14:textId="77777777" w:rsidR="009F6996" w:rsidRPr="00EF22E8" w:rsidRDefault="009F6996" w:rsidP="00441A26">
      <w:pPr>
        <w:pStyle w:val="BodyText"/>
      </w:pPr>
      <w:r w:rsidRPr="00EF22E8">
        <w:t xml:space="preserve">The functionality of the Amend event allows you to make changes to a sub-set of the information relating to an export credit agency facility. </w:t>
      </w:r>
      <w:r w:rsidR="00C56462" w:rsidRPr="00EF22E8">
        <w:t xml:space="preserve">The system </w:t>
      </w:r>
      <w:r w:rsidRPr="00EF22E8">
        <w:t xml:space="preserve">includes an Adjust event, which contains additional functionality to allow you to make changes to all the information recorded for a facility, </w:t>
      </w:r>
      <w:proofErr w:type="gramStart"/>
      <w:r w:rsidRPr="00EF22E8">
        <w:t>with the exception of</w:t>
      </w:r>
      <w:proofErr w:type="gramEnd"/>
      <w:r w:rsidRPr="00EF22E8">
        <w:t xml:space="preserve"> your bank's reference for the master record.</w:t>
      </w:r>
    </w:p>
    <w:p w14:paraId="0AD56396" w14:textId="77777777" w:rsidR="009F6996" w:rsidRPr="00EF22E8" w:rsidRDefault="009F6996" w:rsidP="00A72810">
      <w:pPr>
        <w:pStyle w:val="Note1"/>
      </w:pPr>
      <w:r w:rsidRPr="00EF22E8">
        <w:t>The Adjust event is designed to allow you to make changes where you need to alter details but do not need to notify other parties. It is intended to allow you to correct mistakes, and should be used cautiously. If you make any changes using this functionality, you should ensure that the proper reconciliations are carried out.</w:t>
      </w:r>
    </w:p>
    <w:p w14:paraId="375A159C" w14:textId="77777777" w:rsidR="00107CB1" w:rsidRPr="00EF22E8" w:rsidRDefault="00107CB1" w:rsidP="00441A26">
      <w:pPr>
        <w:pStyle w:val="BodyText"/>
      </w:pPr>
      <w:r w:rsidRPr="00EF22E8">
        <w:br w:type="page"/>
      </w:r>
    </w:p>
    <w:p w14:paraId="15FBCA48" w14:textId="2D924FBC" w:rsidR="009F6996" w:rsidRPr="00EF22E8" w:rsidRDefault="009F6996" w:rsidP="00441A26">
      <w:pPr>
        <w:pStyle w:val="BodyText"/>
      </w:pPr>
      <w:r w:rsidRPr="00EF22E8">
        <w:lastRenderedPageBreak/>
        <w:t xml:space="preserve">To adjust an export credit agency facility, with the appropriate master record open, in the Master Summary window select 'Adjust EC Agency Facility' from the Create New Event drop-down list and press Create. </w:t>
      </w:r>
      <w:r w:rsidR="00106DBA" w:rsidRPr="00EF22E8">
        <w:t xml:space="preserve">The system </w:t>
      </w:r>
      <w:r w:rsidRPr="00EF22E8">
        <w:t xml:space="preserve">opens the event at either at a Log step or Input step. Depending on how your system is configured, panes and fields available in log steps can be tailored for each data capture step. See the </w:t>
      </w:r>
      <w:r w:rsidRPr="00EF22E8">
        <w:rPr>
          <w:i/>
        </w:rPr>
        <w:t xml:space="preserve">SDK - </w:t>
      </w:r>
      <w:r w:rsidR="00013385" w:rsidRPr="00EF22E8">
        <w:rPr>
          <w:i/>
        </w:rPr>
        <w:t>Screen Tailoring</w:t>
      </w:r>
      <w:r w:rsidR="00287098" w:rsidRPr="00EF22E8">
        <w:rPr>
          <w:i/>
        </w:rPr>
        <w:t xml:space="preserve"> User</w:t>
      </w:r>
      <w:r w:rsidRPr="00EF22E8">
        <w:rPr>
          <w:i/>
        </w:rPr>
        <w:t xml:space="preserve"> Guide</w:t>
      </w:r>
      <w:r w:rsidR="00E50A00" w:rsidRPr="00EF22E8">
        <w:t xml:space="preserve"> </w:t>
      </w:r>
      <w:r w:rsidR="00E50A00" w:rsidRPr="00235B54">
        <w:rPr>
          <w:rStyle w:val="Italic"/>
        </w:rPr>
        <w:t xml:space="preserve">– </w:t>
      </w:r>
      <w:r w:rsidR="00717F11">
        <w:rPr>
          <w:rStyle w:val="Italic"/>
        </w:rPr>
        <w:t>Trade Innovation</w:t>
      </w:r>
      <w:r w:rsidRPr="00EF22E8">
        <w:t xml:space="preserve"> for details.</w:t>
      </w:r>
    </w:p>
    <w:p w14:paraId="778BE001" w14:textId="77777777" w:rsidR="009F6996" w:rsidRPr="00EF22E8" w:rsidRDefault="009F6996" w:rsidP="00441A26">
      <w:pPr>
        <w:pStyle w:val="BodyText"/>
      </w:pPr>
      <w:r w:rsidRPr="00EF22E8">
        <w:rPr>
          <w:noProof/>
          <w:lang w:eastAsia="en-GB"/>
        </w:rPr>
        <w:drawing>
          <wp:inline distT="0" distB="0" distL="0" distR="0" wp14:anchorId="5DC2F1E7" wp14:editId="1AC7208F">
            <wp:extent cx="5391150" cy="5772150"/>
            <wp:effectExtent l="0" t="0" r="0" b="0"/>
            <wp:docPr id="52" name="Picture 38" descr="ECAF - Making Adjustments to the Master Reco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CAF - Making Adjustments to the Master Record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1150" cy="5772150"/>
                    </a:xfrm>
                    <a:prstGeom prst="rect">
                      <a:avLst/>
                    </a:prstGeom>
                    <a:noFill/>
                    <a:ln>
                      <a:noFill/>
                    </a:ln>
                  </pic:spPr>
                </pic:pic>
              </a:graphicData>
            </a:graphic>
          </wp:inline>
        </w:drawing>
      </w:r>
    </w:p>
    <w:p w14:paraId="4C1D7AE0" w14:textId="77777777" w:rsidR="009F6996" w:rsidRPr="00EF22E8" w:rsidRDefault="00106DBA" w:rsidP="00441A26">
      <w:pPr>
        <w:pStyle w:val="BodyText"/>
      </w:pPr>
      <w:r w:rsidRPr="00EF22E8">
        <w:t xml:space="preserve">The system </w:t>
      </w:r>
      <w:r w:rsidR="009F6996" w:rsidRPr="00EF22E8">
        <w:t>displays information already entered for the export credit agency facility, which you can overtype.</w:t>
      </w:r>
    </w:p>
    <w:p w14:paraId="21FFCE99" w14:textId="77777777" w:rsidR="009F6996" w:rsidRPr="00EF22E8" w:rsidRDefault="009F6996" w:rsidP="00441A26">
      <w:pPr>
        <w:pStyle w:val="BodyText"/>
      </w:pPr>
      <w:r w:rsidRPr="00EF22E8">
        <w:t>If the export credit agency facility is to be blocked check the Blocked flag.</w:t>
      </w:r>
    </w:p>
    <w:p w14:paraId="6DA59AA5" w14:textId="77777777" w:rsidR="00107CB1" w:rsidRPr="00EF22E8" w:rsidRDefault="00107CB1" w:rsidP="00441A26">
      <w:pPr>
        <w:pStyle w:val="BodyText"/>
      </w:pPr>
      <w:r w:rsidRPr="00EF22E8">
        <w:br w:type="page"/>
      </w:r>
    </w:p>
    <w:p w14:paraId="052AAEB2" w14:textId="77777777" w:rsidR="009F6996" w:rsidRPr="00EF22E8" w:rsidRDefault="009F6996" w:rsidP="00E4287B">
      <w:pPr>
        <w:pStyle w:val="NoSpaceAfter"/>
      </w:pPr>
      <w:r w:rsidRPr="00EF22E8">
        <w:lastRenderedPageBreak/>
        <w:t xml:space="preserve">An Adjust Details pane provides additional fields. The following table lists these and explains what to </w:t>
      </w:r>
      <w:proofErr w:type="gramStart"/>
      <w:r w:rsidRPr="00EF22E8">
        <w:t>enter into</w:t>
      </w:r>
      <w:proofErr w:type="gramEnd"/>
      <w:r w:rsidRPr="00EF22E8">
        <w:t xml:space="preserve"> them:</w:t>
      </w:r>
    </w:p>
    <w:tbl>
      <w:tblPr>
        <w:tblStyle w:val="TableGrid"/>
        <w:tblW w:w="9090" w:type="dxa"/>
        <w:tblLayout w:type="fixed"/>
        <w:tblLook w:val="0020" w:firstRow="1" w:lastRow="0" w:firstColumn="0" w:lastColumn="0" w:noHBand="0" w:noVBand="0"/>
      </w:tblPr>
      <w:tblGrid>
        <w:gridCol w:w="2038"/>
        <w:gridCol w:w="7052"/>
      </w:tblGrid>
      <w:tr w:rsidR="009F6996" w:rsidRPr="00EF22E8" w14:paraId="4367911C" w14:textId="77777777" w:rsidTr="006C33CE">
        <w:trPr>
          <w:cnfStyle w:val="100000000000" w:firstRow="1" w:lastRow="0" w:firstColumn="0" w:lastColumn="0" w:oddVBand="0" w:evenVBand="0" w:oddHBand="0" w:evenHBand="0" w:firstRowFirstColumn="0" w:firstRowLastColumn="0" w:lastRowFirstColumn="0" w:lastRowLastColumn="0"/>
          <w:trHeight w:val="432"/>
        </w:trPr>
        <w:tc>
          <w:tcPr>
            <w:tcW w:w="2038" w:type="dxa"/>
          </w:tcPr>
          <w:p w14:paraId="517C94CA" w14:textId="77777777" w:rsidR="009F6996" w:rsidRPr="00EF22E8" w:rsidRDefault="009F6996" w:rsidP="006A1825">
            <w:pPr>
              <w:pStyle w:val="TableHead"/>
            </w:pPr>
            <w:r w:rsidRPr="00EF22E8">
              <w:t>Field</w:t>
            </w:r>
          </w:p>
        </w:tc>
        <w:tc>
          <w:tcPr>
            <w:tcW w:w="7052" w:type="dxa"/>
          </w:tcPr>
          <w:p w14:paraId="3364F714" w14:textId="77777777" w:rsidR="009F6996" w:rsidRPr="00EF22E8" w:rsidRDefault="009F6996" w:rsidP="006A1825">
            <w:pPr>
              <w:pStyle w:val="TableHead"/>
            </w:pPr>
            <w:r w:rsidRPr="00EF22E8">
              <w:t>What it Shows</w:t>
            </w:r>
          </w:p>
        </w:tc>
      </w:tr>
      <w:tr w:rsidR="009F6996" w:rsidRPr="00EF22E8" w14:paraId="653CB017" w14:textId="77777777" w:rsidTr="006C33CE">
        <w:trPr>
          <w:cnfStyle w:val="000000100000" w:firstRow="0" w:lastRow="0" w:firstColumn="0" w:lastColumn="0" w:oddVBand="0" w:evenVBand="0" w:oddHBand="1" w:evenHBand="0" w:firstRowFirstColumn="0" w:firstRowLastColumn="0" w:lastRowFirstColumn="0" w:lastRowLastColumn="0"/>
        </w:trPr>
        <w:tc>
          <w:tcPr>
            <w:tcW w:w="2038" w:type="dxa"/>
          </w:tcPr>
          <w:p w14:paraId="7736A6A7" w14:textId="77777777" w:rsidR="009F6996" w:rsidRPr="00EF22E8" w:rsidRDefault="009F6996" w:rsidP="002B70E2">
            <w:pPr>
              <w:pStyle w:val="TableText"/>
            </w:pPr>
            <w:r w:rsidRPr="00EF22E8">
              <w:t>Adjustment Date</w:t>
            </w:r>
          </w:p>
        </w:tc>
        <w:tc>
          <w:tcPr>
            <w:tcW w:w="7052" w:type="dxa"/>
          </w:tcPr>
          <w:p w14:paraId="06A43973" w14:textId="77777777" w:rsidR="009F6996" w:rsidRPr="00EF22E8" w:rsidRDefault="009F6996" w:rsidP="002B70E2">
            <w:pPr>
              <w:pStyle w:val="TableText"/>
            </w:pPr>
            <w:r w:rsidRPr="00EF22E8">
              <w:t>The date the adjustment was made. This defaults to today's date.</w:t>
            </w:r>
          </w:p>
        </w:tc>
      </w:tr>
      <w:tr w:rsidR="009F6996" w:rsidRPr="00EF22E8" w14:paraId="275BB8E9" w14:textId="77777777" w:rsidTr="006C33CE">
        <w:trPr>
          <w:cnfStyle w:val="000000010000" w:firstRow="0" w:lastRow="0" w:firstColumn="0" w:lastColumn="0" w:oddVBand="0" w:evenVBand="0" w:oddHBand="0" w:evenHBand="1" w:firstRowFirstColumn="0" w:firstRowLastColumn="0" w:lastRowFirstColumn="0" w:lastRowLastColumn="0"/>
        </w:trPr>
        <w:tc>
          <w:tcPr>
            <w:tcW w:w="2038" w:type="dxa"/>
          </w:tcPr>
          <w:p w14:paraId="643C4EDA" w14:textId="77777777" w:rsidR="009F6996" w:rsidRPr="00EF22E8" w:rsidRDefault="009F6996" w:rsidP="002B70E2">
            <w:pPr>
              <w:pStyle w:val="TableText"/>
            </w:pPr>
            <w:r w:rsidRPr="00EF22E8">
              <w:t>Commitment Amount Available</w:t>
            </w:r>
          </w:p>
        </w:tc>
        <w:tc>
          <w:tcPr>
            <w:tcW w:w="7052" w:type="dxa"/>
          </w:tcPr>
          <w:p w14:paraId="78A9DBA1" w14:textId="77777777" w:rsidR="009F6996" w:rsidRPr="00EF22E8" w:rsidRDefault="009F6996" w:rsidP="002B70E2">
            <w:pPr>
              <w:pStyle w:val="TableText"/>
            </w:pPr>
            <w:r w:rsidRPr="00EF22E8">
              <w:t>The commitment amount is calculated as the original commitment amount, minus any drawdown made against the export credit agency facility.</w:t>
            </w:r>
          </w:p>
        </w:tc>
      </w:tr>
      <w:tr w:rsidR="009F6996" w:rsidRPr="00EF22E8" w14:paraId="425F1012" w14:textId="77777777" w:rsidTr="006C33CE">
        <w:trPr>
          <w:cnfStyle w:val="000000100000" w:firstRow="0" w:lastRow="0" w:firstColumn="0" w:lastColumn="0" w:oddVBand="0" w:evenVBand="0" w:oddHBand="1" w:evenHBand="0" w:firstRowFirstColumn="0" w:firstRowLastColumn="0" w:lastRowFirstColumn="0" w:lastRowLastColumn="0"/>
        </w:trPr>
        <w:tc>
          <w:tcPr>
            <w:tcW w:w="2038" w:type="dxa"/>
          </w:tcPr>
          <w:p w14:paraId="04D17B38" w14:textId="77777777" w:rsidR="009F6996" w:rsidRPr="00EF22E8" w:rsidRDefault="009F6996" w:rsidP="002B70E2">
            <w:pPr>
              <w:pStyle w:val="TableText"/>
            </w:pPr>
            <w:r w:rsidRPr="00EF22E8">
              <w:t>Residual Liability</w:t>
            </w:r>
          </w:p>
        </w:tc>
        <w:tc>
          <w:tcPr>
            <w:tcW w:w="7052" w:type="dxa"/>
          </w:tcPr>
          <w:p w14:paraId="7370CC23" w14:textId="77777777" w:rsidR="009F6996" w:rsidRPr="00EF22E8" w:rsidRDefault="00106DBA" w:rsidP="002B70E2">
            <w:pPr>
              <w:pStyle w:val="TableText"/>
            </w:pPr>
            <w:r w:rsidRPr="00EF22E8">
              <w:t xml:space="preserve">The system </w:t>
            </w:r>
            <w:r w:rsidR="009F6996" w:rsidRPr="00EF22E8">
              <w:t>displays the current residual liability amount for the export credit agency facility. If the Adjust event has postings set up for it, then the amount you enter here should reflect the residual liability amount before those postings take effect. The postings generated for the event will then reduce or increase the residual liability amount.</w:t>
            </w:r>
          </w:p>
          <w:p w14:paraId="49544EC7" w14:textId="77777777" w:rsidR="009F6996" w:rsidRPr="00EF22E8" w:rsidRDefault="009F6996" w:rsidP="002B70E2">
            <w:pPr>
              <w:pStyle w:val="TableText"/>
            </w:pPr>
            <w:r w:rsidRPr="00EF22E8">
              <w:t>If no postings are set up for the Adjust event, then enter here the residual liability amount after the Adjust event has completed</w:t>
            </w:r>
            <w:r w:rsidR="00287098" w:rsidRPr="00EF22E8">
              <w:t>.</w:t>
            </w:r>
          </w:p>
        </w:tc>
      </w:tr>
      <w:tr w:rsidR="009F6996" w:rsidRPr="00EF22E8" w14:paraId="1B2B1BFB" w14:textId="77777777" w:rsidTr="006C33CE">
        <w:trPr>
          <w:cnfStyle w:val="000000010000" w:firstRow="0" w:lastRow="0" w:firstColumn="0" w:lastColumn="0" w:oddVBand="0" w:evenVBand="0" w:oddHBand="0" w:evenHBand="1" w:firstRowFirstColumn="0" w:firstRowLastColumn="0" w:lastRowFirstColumn="0" w:lastRowLastColumn="0"/>
        </w:trPr>
        <w:tc>
          <w:tcPr>
            <w:tcW w:w="2038" w:type="dxa"/>
          </w:tcPr>
          <w:p w14:paraId="53F84BF8" w14:textId="77777777" w:rsidR="009F6996" w:rsidRPr="00EF22E8" w:rsidRDefault="009F6996" w:rsidP="002B70E2">
            <w:pPr>
              <w:pStyle w:val="TableText"/>
            </w:pPr>
            <w:r w:rsidRPr="00EF22E8">
              <w:t>Book Off Date</w:t>
            </w:r>
          </w:p>
        </w:tc>
        <w:tc>
          <w:tcPr>
            <w:tcW w:w="7052" w:type="dxa"/>
          </w:tcPr>
          <w:p w14:paraId="7787433B" w14:textId="77777777" w:rsidR="009F6996" w:rsidRPr="00EF22E8" w:rsidRDefault="00106DBA" w:rsidP="002B70E2">
            <w:pPr>
              <w:pStyle w:val="TableText"/>
            </w:pPr>
            <w:r w:rsidRPr="00EF22E8">
              <w:t xml:space="preserve">The system </w:t>
            </w:r>
            <w:r w:rsidR="009F6996" w:rsidRPr="00EF22E8">
              <w:t>displays the export credit agency facility's book-off date, which you can amend.</w:t>
            </w:r>
          </w:p>
        </w:tc>
      </w:tr>
      <w:tr w:rsidR="009F6996" w:rsidRPr="00EF22E8" w14:paraId="56204E13" w14:textId="77777777" w:rsidTr="006C33CE">
        <w:trPr>
          <w:cnfStyle w:val="000000100000" w:firstRow="0" w:lastRow="0" w:firstColumn="0" w:lastColumn="0" w:oddVBand="0" w:evenVBand="0" w:oddHBand="1" w:evenHBand="0" w:firstRowFirstColumn="0" w:firstRowLastColumn="0" w:lastRowFirstColumn="0" w:lastRowLastColumn="0"/>
        </w:trPr>
        <w:tc>
          <w:tcPr>
            <w:tcW w:w="2038" w:type="dxa"/>
          </w:tcPr>
          <w:p w14:paraId="5FDD353D" w14:textId="77777777" w:rsidR="009F6996" w:rsidRPr="00EF22E8" w:rsidRDefault="009F6996" w:rsidP="002B70E2">
            <w:pPr>
              <w:pStyle w:val="TableText"/>
            </w:pPr>
            <w:r w:rsidRPr="00EF22E8">
              <w:t>Deactivation Date</w:t>
            </w:r>
          </w:p>
        </w:tc>
        <w:tc>
          <w:tcPr>
            <w:tcW w:w="7052" w:type="dxa"/>
          </w:tcPr>
          <w:p w14:paraId="445042D2" w14:textId="77777777" w:rsidR="009F6996" w:rsidRPr="00EF22E8" w:rsidRDefault="00106DBA" w:rsidP="002B70E2">
            <w:pPr>
              <w:pStyle w:val="TableText"/>
            </w:pPr>
            <w:r w:rsidRPr="00EF22E8">
              <w:t xml:space="preserve">The system </w:t>
            </w:r>
            <w:r w:rsidR="009F6996" w:rsidRPr="00EF22E8">
              <w:t>displays the date on which the export credit agency facility will become inactive (after its expiry date and any days grace period has elapsed). You can amend this date.</w:t>
            </w:r>
          </w:p>
        </w:tc>
      </w:tr>
      <w:tr w:rsidR="009F6996" w:rsidRPr="00EF22E8" w14:paraId="613BA584" w14:textId="77777777" w:rsidTr="006C33CE">
        <w:trPr>
          <w:cnfStyle w:val="000000010000" w:firstRow="0" w:lastRow="0" w:firstColumn="0" w:lastColumn="0" w:oddVBand="0" w:evenVBand="0" w:oddHBand="0" w:evenHBand="1" w:firstRowFirstColumn="0" w:firstRowLastColumn="0" w:lastRowFirstColumn="0" w:lastRowLastColumn="0"/>
        </w:trPr>
        <w:tc>
          <w:tcPr>
            <w:tcW w:w="2038" w:type="dxa"/>
          </w:tcPr>
          <w:p w14:paraId="30601C4D" w14:textId="77777777" w:rsidR="009F6996" w:rsidRPr="00EF22E8" w:rsidRDefault="009F6996" w:rsidP="002B70E2">
            <w:pPr>
              <w:pStyle w:val="TableText"/>
            </w:pPr>
            <w:r w:rsidRPr="00EF22E8">
              <w:t>Master Status</w:t>
            </w:r>
          </w:p>
        </w:tc>
        <w:tc>
          <w:tcPr>
            <w:tcW w:w="7052" w:type="dxa"/>
          </w:tcPr>
          <w:p w14:paraId="722A70F0" w14:textId="77777777" w:rsidR="009F6996" w:rsidRPr="00EF22E8" w:rsidRDefault="009F6996" w:rsidP="002B70E2">
            <w:pPr>
              <w:pStyle w:val="TableText"/>
            </w:pPr>
            <w:r w:rsidRPr="00EF22E8">
              <w:t>The status of the export credit agency facility's master record after the Adjust event is released.</w:t>
            </w:r>
          </w:p>
        </w:tc>
      </w:tr>
      <w:tr w:rsidR="009F6996" w:rsidRPr="00EF22E8" w14:paraId="08A29F45" w14:textId="77777777" w:rsidTr="006C33CE">
        <w:trPr>
          <w:cnfStyle w:val="000000100000" w:firstRow="0" w:lastRow="0" w:firstColumn="0" w:lastColumn="0" w:oddVBand="0" w:evenVBand="0" w:oddHBand="1" w:evenHBand="0" w:firstRowFirstColumn="0" w:firstRowLastColumn="0" w:lastRowFirstColumn="0" w:lastRowLastColumn="0"/>
        </w:trPr>
        <w:tc>
          <w:tcPr>
            <w:tcW w:w="2038" w:type="dxa"/>
          </w:tcPr>
          <w:p w14:paraId="48499C62" w14:textId="77777777" w:rsidR="009F6996" w:rsidRPr="00EF22E8" w:rsidRDefault="009F6996" w:rsidP="002B70E2">
            <w:pPr>
              <w:pStyle w:val="TableText"/>
            </w:pPr>
            <w:r w:rsidRPr="00EF22E8">
              <w:t>Master Active</w:t>
            </w:r>
          </w:p>
        </w:tc>
        <w:tc>
          <w:tcPr>
            <w:tcW w:w="7052" w:type="dxa"/>
          </w:tcPr>
          <w:p w14:paraId="4B0136DD" w14:textId="77777777" w:rsidR="009F6996" w:rsidRPr="00EF22E8" w:rsidRDefault="009F6996" w:rsidP="002B70E2">
            <w:pPr>
              <w:pStyle w:val="TableText"/>
            </w:pPr>
            <w:r w:rsidRPr="00EF22E8">
              <w:t>Leave this checked if the master record is to continue to be active; uncheck it to deactivate the master record.</w:t>
            </w:r>
          </w:p>
        </w:tc>
      </w:tr>
      <w:tr w:rsidR="009F6996" w:rsidRPr="00EF22E8" w14:paraId="556162F6" w14:textId="77777777" w:rsidTr="006C33CE">
        <w:trPr>
          <w:cnfStyle w:val="000000010000" w:firstRow="0" w:lastRow="0" w:firstColumn="0" w:lastColumn="0" w:oddVBand="0" w:evenVBand="0" w:oddHBand="0" w:evenHBand="1" w:firstRowFirstColumn="0" w:firstRowLastColumn="0" w:lastRowFirstColumn="0" w:lastRowLastColumn="0"/>
        </w:trPr>
        <w:tc>
          <w:tcPr>
            <w:tcW w:w="2038" w:type="dxa"/>
          </w:tcPr>
          <w:p w14:paraId="61C4CB84" w14:textId="77777777" w:rsidR="009F6996" w:rsidRPr="00EF22E8" w:rsidRDefault="009F6996" w:rsidP="002B70E2">
            <w:pPr>
              <w:pStyle w:val="TableText"/>
            </w:pPr>
            <w:r w:rsidRPr="00EF22E8">
              <w:t>Adjustment Narrative</w:t>
            </w:r>
          </w:p>
        </w:tc>
        <w:tc>
          <w:tcPr>
            <w:tcW w:w="7052" w:type="dxa"/>
          </w:tcPr>
          <w:p w14:paraId="55C082A9" w14:textId="77777777" w:rsidR="009F6996" w:rsidRPr="00EF22E8" w:rsidRDefault="009F6996" w:rsidP="002B70E2">
            <w:pPr>
              <w:pStyle w:val="TableText"/>
            </w:pPr>
            <w:r w:rsidRPr="00EF22E8">
              <w:t>Identify the changes made and the reasons they were made.</w:t>
            </w:r>
          </w:p>
        </w:tc>
      </w:tr>
    </w:tbl>
    <w:p w14:paraId="141E61D8" w14:textId="77777777" w:rsidR="009F6996" w:rsidRPr="00EF22E8" w:rsidRDefault="009F6996" w:rsidP="00EF22E8">
      <w:pPr>
        <w:pStyle w:val="Heading1"/>
      </w:pPr>
      <w:bookmarkStart w:id="188" w:name="_Toc317756666"/>
      <w:bookmarkStart w:id="189" w:name="_Toc331499959"/>
      <w:bookmarkStart w:id="190" w:name="_Toc390475331"/>
      <w:bookmarkStart w:id="191" w:name="_Toc411430736"/>
      <w:bookmarkStart w:id="192" w:name="_Ref57049790"/>
      <w:bookmarkStart w:id="193" w:name="_Toc166586302"/>
      <w:r w:rsidRPr="00EF22E8">
        <w:lastRenderedPageBreak/>
        <w:t>Cancelling an Export Credit Agency Facility</w:t>
      </w:r>
      <w:bookmarkEnd w:id="188"/>
      <w:bookmarkEnd w:id="189"/>
      <w:bookmarkEnd w:id="190"/>
      <w:bookmarkEnd w:id="191"/>
      <w:bookmarkEnd w:id="192"/>
      <w:bookmarkEnd w:id="193"/>
    </w:p>
    <w:p w14:paraId="6C9C5337" w14:textId="77777777" w:rsidR="009F6996" w:rsidRPr="00EF22E8" w:rsidRDefault="009F6996" w:rsidP="00441A26">
      <w:pPr>
        <w:pStyle w:val="BodyText"/>
      </w:pPr>
      <w:r w:rsidRPr="00EF22E8">
        <w:t xml:space="preserve">This chapter explains how to use </w:t>
      </w:r>
      <w:r w:rsidR="00106DBA" w:rsidRPr="00EF22E8">
        <w:t xml:space="preserve">the system </w:t>
      </w:r>
      <w:r w:rsidRPr="00EF22E8">
        <w:t>to cancel an export credit agency facility.</w:t>
      </w:r>
    </w:p>
    <w:p w14:paraId="44314437" w14:textId="78A6E329" w:rsidR="009F6996" w:rsidRPr="00EF22E8" w:rsidRDefault="009F6996" w:rsidP="00EF22E8">
      <w:pPr>
        <w:pStyle w:val="Heading2"/>
      </w:pPr>
      <w:bookmarkStart w:id="194" w:name="O_52669"/>
      <w:bookmarkStart w:id="195" w:name="_Toc317756667"/>
      <w:bookmarkStart w:id="196" w:name="_Toc331499960"/>
      <w:bookmarkStart w:id="197" w:name="_Toc390475332"/>
      <w:bookmarkStart w:id="198" w:name="_Toc411430737"/>
      <w:bookmarkStart w:id="199" w:name="_Toc166586303"/>
      <w:bookmarkEnd w:id="194"/>
      <w:r w:rsidRPr="00EF22E8">
        <w:t>Cancelling an Export Credit Agency Facility</w:t>
      </w:r>
      <w:bookmarkEnd w:id="195"/>
      <w:bookmarkEnd w:id="196"/>
      <w:bookmarkEnd w:id="197"/>
      <w:bookmarkEnd w:id="198"/>
      <w:bookmarkEnd w:id="199"/>
    </w:p>
    <w:p w14:paraId="3112C6BA" w14:textId="77777777" w:rsidR="009F6996" w:rsidRPr="00EF22E8" w:rsidRDefault="009F6996" w:rsidP="00441A26">
      <w:pPr>
        <w:pStyle w:val="BodyText"/>
      </w:pPr>
      <w:r w:rsidRPr="00EF22E8">
        <w:t>An export credit agency facility can be cancelled at any time after the release of the Create event and before book-off.</w:t>
      </w:r>
    </w:p>
    <w:p w14:paraId="385E91C1" w14:textId="77777777" w:rsidR="009F6996" w:rsidRPr="00EF22E8" w:rsidRDefault="009F6996" w:rsidP="00441A26">
      <w:pPr>
        <w:pStyle w:val="BodyText"/>
      </w:pPr>
      <w:r w:rsidRPr="00EF22E8">
        <w:t xml:space="preserve">When you initiate a Cancel event against an export credit agency facility, </w:t>
      </w:r>
      <w:r w:rsidR="00106DBA" w:rsidRPr="00EF22E8">
        <w:t xml:space="preserve">the system </w:t>
      </w:r>
      <w:r w:rsidRPr="00EF22E8">
        <w:t>produces a warning message if the facility is currently linked to any financing transactions. If you proceed to cancel the facility, those financing transactions are unaffected. Once the facility is cancelled you will not be able to link any further financing transactions to it.</w:t>
      </w:r>
    </w:p>
    <w:p w14:paraId="1F0A7E32" w14:textId="77777777" w:rsidR="009F6996" w:rsidRPr="00EF22E8" w:rsidRDefault="009F6996" w:rsidP="00EF22E8">
      <w:pPr>
        <w:pStyle w:val="Heading2"/>
      </w:pPr>
      <w:bookmarkStart w:id="200" w:name="O_52670"/>
      <w:bookmarkStart w:id="201" w:name="_Toc317756668"/>
      <w:bookmarkStart w:id="202" w:name="_Toc331499961"/>
      <w:bookmarkStart w:id="203" w:name="_Toc390475333"/>
      <w:bookmarkStart w:id="204" w:name="_Toc411430738"/>
      <w:bookmarkStart w:id="205" w:name="_Ref432185266"/>
      <w:bookmarkStart w:id="206" w:name="_Toc166586304"/>
      <w:bookmarkEnd w:id="200"/>
      <w:r w:rsidRPr="00EF22E8">
        <w:t>Entering Details of the Cancellation</w:t>
      </w:r>
      <w:bookmarkEnd w:id="201"/>
      <w:bookmarkEnd w:id="202"/>
      <w:bookmarkEnd w:id="203"/>
      <w:bookmarkEnd w:id="204"/>
      <w:bookmarkEnd w:id="205"/>
      <w:bookmarkEnd w:id="206"/>
    </w:p>
    <w:p w14:paraId="7097F8E9" w14:textId="43A24B3C" w:rsidR="009F6996" w:rsidRPr="00EF22E8" w:rsidRDefault="009F6996" w:rsidP="00441A26">
      <w:pPr>
        <w:pStyle w:val="BodyText"/>
      </w:pPr>
      <w:r w:rsidRPr="00EF22E8">
        <w:t xml:space="preserve">To cancel an export credit agency facility, with the appropriate master record open, in the Master Summary window select 'Cancel EC Agency Facility' from the Create New Event drop-down list and press Create. </w:t>
      </w:r>
      <w:r w:rsidR="00106DBA" w:rsidRPr="00EF22E8">
        <w:t xml:space="preserve">The system </w:t>
      </w:r>
      <w:r w:rsidRPr="00EF22E8">
        <w:t xml:space="preserve">opens the event at either at a Log step or Input step. Depending on how your system is configured, panes and fields available in log steps can be tailored for each data capture step. See the </w:t>
      </w:r>
      <w:r w:rsidRPr="00EF22E8">
        <w:rPr>
          <w:i/>
        </w:rPr>
        <w:t xml:space="preserve">SDK - </w:t>
      </w:r>
      <w:r w:rsidR="00013385" w:rsidRPr="00EF22E8">
        <w:rPr>
          <w:i/>
        </w:rPr>
        <w:t>Screen Tailoring</w:t>
      </w:r>
      <w:r w:rsidR="00C80064" w:rsidRPr="00EF22E8">
        <w:rPr>
          <w:i/>
        </w:rPr>
        <w:t xml:space="preserve"> User</w:t>
      </w:r>
      <w:r w:rsidRPr="00EF22E8">
        <w:rPr>
          <w:i/>
        </w:rPr>
        <w:t xml:space="preserve"> Guide</w:t>
      </w:r>
      <w:r w:rsidR="00E50A00" w:rsidRPr="00EF22E8">
        <w:t xml:space="preserve"> </w:t>
      </w:r>
      <w:r w:rsidR="00E50A00" w:rsidRPr="00235B54">
        <w:rPr>
          <w:rStyle w:val="Italic"/>
        </w:rPr>
        <w:t xml:space="preserve">– </w:t>
      </w:r>
      <w:r w:rsidR="00717F11">
        <w:rPr>
          <w:rStyle w:val="Italic"/>
        </w:rPr>
        <w:t>Trade Innovation</w:t>
      </w:r>
      <w:r w:rsidRPr="00EF22E8">
        <w:t xml:space="preserve"> for details.</w:t>
      </w:r>
    </w:p>
    <w:p w14:paraId="1134FE0E" w14:textId="77777777" w:rsidR="009F6996" w:rsidRPr="00EF22E8" w:rsidRDefault="009F6996" w:rsidP="00441A26">
      <w:pPr>
        <w:pStyle w:val="BodyText"/>
      </w:pPr>
      <w:r w:rsidRPr="00EF22E8">
        <w:rPr>
          <w:noProof/>
          <w:lang w:eastAsia="en-GB"/>
        </w:rPr>
        <w:drawing>
          <wp:inline distT="0" distB="0" distL="0" distR="0" wp14:anchorId="6438C82B" wp14:editId="7163F8A1">
            <wp:extent cx="5400675" cy="1438275"/>
            <wp:effectExtent l="0" t="0" r="9525" b="9525"/>
            <wp:docPr id="5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675" cy="1438275"/>
                    </a:xfrm>
                    <a:prstGeom prst="rect">
                      <a:avLst/>
                    </a:prstGeom>
                    <a:noFill/>
                    <a:ln>
                      <a:noFill/>
                    </a:ln>
                  </pic:spPr>
                </pic:pic>
              </a:graphicData>
            </a:graphic>
          </wp:inline>
        </w:drawing>
      </w:r>
    </w:p>
    <w:p w14:paraId="390318DB" w14:textId="77777777" w:rsidR="009F6996" w:rsidRPr="00EF22E8" w:rsidRDefault="009F6996" w:rsidP="00441A26">
      <w:pPr>
        <w:pStyle w:val="BodyText"/>
      </w:pPr>
      <w:r w:rsidRPr="00EF22E8">
        <w:t>The Facility Details pane shows details of the customer, the expiry date, and the total commitment amount for the facility.</w:t>
      </w:r>
    </w:p>
    <w:p w14:paraId="46DD651F" w14:textId="77777777" w:rsidR="009F6996" w:rsidRPr="00EF22E8" w:rsidRDefault="009F6996" w:rsidP="00441A26">
      <w:pPr>
        <w:pStyle w:val="BodyText"/>
      </w:pPr>
      <w:r w:rsidRPr="00EF22E8">
        <w:t>Use the Narrative field to enter the reason for the cancellation and the Notes to Customer field to record any information to be included on documents to be sent to the customer regarding the cancellation.</w:t>
      </w:r>
    </w:p>
    <w:p w14:paraId="367D2EC1" w14:textId="77777777" w:rsidR="009F6996" w:rsidRPr="00EF22E8" w:rsidRDefault="009F6996" w:rsidP="00EF22E8">
      <w:pPr>
        <w:pStyle w:val="Heading1"/>
      </w:pPr>
      <w:bookmarkStart w:id="207" w:name="_Toc317756669"/>
      <w:bookmarkStart w:id="208" w:name="_Toc331499962"/>
      <w:bookmarkStart w:id="209" w:name="_Toc390475334"/>
      <w:bookmarkStart w:id="210" w:name="_Toc411430739"/>
      <w:bookmarkStart w:id="211" w:name="_Ref57049801"/>
      <w:bookmarkStart w:id="212" w:name="_Toc166586305"/>
      <w:r w:rsidRPr="00EF22E8">
        <w:lastRenderedPageBreak/>
        <w:t xml:space="preserve">Drawdowns, </w:t>
      </w:r>
      <w:proofErr w:type="gramStart"/>
      <w:r w:rsidRPr="00EF22E8">
        <w:t>Payments</w:t>
      </w:r>
      <w:proofErr w:type="gramEnd"/>
      <w:r w:rsidRPr="00EF22E8">
        <w:t xml:space="preserve"> and Cost of Funds Payments</w:t>
      </w:r>
      <w:bookmarkEnd w:id="207"/>
      <w:bookmarkEnd w:id="208"/>
      <w:bookmarkEnd w:id="209"/>
      <w:bookmarkEnd w:id="210"/>
      <w:bookmarkEnd w:id="211"/>
      <w:bookmarkEnd w:id="212"/>
    </w:p>
    <w:p w14:paraId="7B776971" w14:textId="77777777" w:rsidR="009F6996" w:rsidRPr="00EF22E8" w:rsidRDefault="009F6996" w:rsidP="00441A26">
      <w:pPr>
        <w:pStyle w:val="BodyText"/>
      </w:pPr>
      <w:r w:rsidRPr="00EF22E8">
        <w:t xml:space="preserve">This chapter explains how </w:t>
      </w:r>
      <w:r w:rsidR="00106DBA" w:rsidRPr="00EF22E8">
        <w:t xml:space="preserve">the system </w:t>
      </w:r>
      <w:r w:rsidRPr="00EF22E8">
        <w:t>handles drawdowns and payments against an export credit agency facility, and how it handles the payment of cost-of-funds interest to export credit agencies.</w:t>
      </w:r>
    </w:p>
    <w:p w14:paraId="2F151142" w14:textId="77777777" w:rsidR="009F6996" w:rsidRPr="00EF22E8" w:rsidRDefault="009F6996" w:rsidP="00EF22E8">
      <w:pPr>
        <w:pStyle w:val="Heading2"/>
      </w:pPr>
      <w:bookmarkStart w:id="213" w:name="O_52903"/>
      <w:bookmarkStart w:id="214" w:name="_Toc317756670"/>
      <w:bookmarkStart w:id="215" w:name="_Toc331499963"/>
      <w:bookmarkStart w:id="216" w:name="_Toc390475335"/>
      <w:bookmarkStart w:id="217" w:name="_Toc411430740"/>
      <w:bookmarkStart w:id="218" w:name="_Ref432185435"/>
      <w:bookmarkStart w:id="219" w:name="_Ref432185460"/>
      <w:bookmarkStart w:id="220" w:name="_Toc166586306"/>
      <w:bookmarkEnd w:id="213"/>
      <w:r w:rsidRPr="00EF22E8">
        <w:t>After You have Linked a Financing Transaction to an Export Credit Agency Facility</w:t>
      </w:r>
      <w:bookmarkEnd w:id="214"/>
      <w:bookmarkEnd w:id="215"/>
      <w:bookmarkEnd w:id="216"/>
      <w:bookmarkEnd w:id="217"/>
      <w:bookmarkEnd w:id="218"/>
      <w:bookmarkEnd w:id="219"/>
      <w:bookmarkEnd w:id="220"/>
    </w:p>
    <w:p w14:paraId="5643D888" w14:textId="77777777" w:rsidR="009F6996" w:rsidRPr="00EF22E8" w:rsidRDefault="009F6996" w:rsidP="00441A26">
      <w:pPr>
        <w:pStyle w:val="BodyText"/>
      </w:pPr>
      <w:r w:rsidRPr="00EF22E8">
        <w:t xml:space="preserve">When you complete the Create event for a financing transaction that has been linked to a pre-existing export credit agency facility </w:t>
      </w:r>
      <w:r w:rsidR="00106DBA" w:rsidRPr="00EF22E8">
        <w:t xml:space="preserve">the system </w:t>
      </w:r>
      <w:r w:rsidRPr="00EF22E8">
        <w:t>automatically creates a Drawdown/Revolve Facility event against that export credit agency facility. This event is created as a subsidiary event of the financing transaction's Create event and it reduces the available amount of the facility.</w:t>
      </w:r>
    </w:p>
    <w:p w14:paraId="03D6C528" w14:textId="77777777" w:rsidR="009F6996" w:rsidRPr="00EF22E8" w:rsidRDefault="009F6996" w:rsidP="00441A26">
      <w:pPr>
        <w:pStyle w:val="BodyText"/>
      </w:pPr>
      <w:r w:rsidRPr="00EF22E8">
        <w:t>The Drawdown/Revolve Facility event is listed in the export credit agency facility's Master Summary window, in the Event History pane.</w:t>
      </w:r>
    </w:p>
    <w:p w14:paraId="61564AA6" w14:textId="77777777" w:rsidR="009F6996" w:rsidRPr="00EF22E8" w:rsidRDefault="009F6996" w:rsidP="00441A26">
      <w:pPr>
        <w:pStyle w:val="BodyText"/>
      </w:pPr>
      <w:r w:rsidRPr="00EF22E8">
        <w:rPr>
          <w:noProof/>
          <w:lang w:eastAsia="en-GB"/>
        </w:rPr>
        <w:drawing>
          <wp:inline distT="0" distB="0" distL="0" distR="0" wp14:anchorId="23461E9E" wp14:editId="54115D0D">
            <wp:extent cx="5381625" cy="3810000"/>
            <wp:effectExtent l="0" t="0" r="9525" b="0"/>
            <wp:docPr id="5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81625" cy="3810000"/>
                    </a:xfrm>
                    <a:prstGeom prst="rect">
                      <a:avLst/>
                    </a:prstGeom>
                    <a:noFill/>
                    <a:ln>
                      <a:noFill/>
                    </a:ln>
                  </pic:spPr>
                </pic:pic>
              </a:graphicData>
            </a:graphic>
          </wp:inline>
        </w:drawing>
      </w:r>
    </w:p>
    <w:p w14:paraId="467AA835" w14:textId="77777777" w:rsidR="009F6996" w:rsidRPr="00EF22E8" w:rsidRDefault="009F6996" w:rsidP="00441A26">
      <w:pPr>
        <w:pStyle w:val="BodyText"/>
      </w:pPr>
      <w:r w:rsidRPr="00EF22E8">
        <w:t>Selecting the event and pressing View shows details of the drawdown.</w:t>
      </w:r>
    </w:p>
    <w:p w14:paraId="6A93D44A" w14:textId="77777777" w:rsidR="009F6996" w:rsidRPr="00EF22E8" w:rsidRDefault="009F6996" w:rsidP="00441A26">
      <w:pPr>
        <w:pStyle w:val="BodyText"/>
      </w:pPr>
      <w:r w:rsidRPr="00EF22E8">
        <w:rPr>
          <w:noProof/>
          <w:lang w:eastAsia="en-GB"/>
        </w:rPr>
        <w:drawing>
          <wp:inline distT="0" distB="0" distL="0" distR="0" wp14:anchorId="392BAAC4" wp14:editId="5B430262">
            <wp:extent cx="5391150" cy="1114425"/>
            <wp:effectExtent l="0" t="0" r="0" b="9525"/>
            <wp:docPr id="5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1150" cy="1114425"/>
                    </a:xfrm>
                    <a:prstGeom prst="rect">
                      <a:avLst/>
                    </a:prstGeom>
                    <a:noFill/>
                    <a:ln>
                      <a:noFill/>
                    </a:ln>
                  </pic:spPr>
                </pic:pic>
              </a:graphicData>
            </a:graphic>
          </wp:inline>
        </w:drawing>
      </w:r>
    </w:p>
    <w:p w14:paraId="44440F52" w14:textId="77777777" w:rsidR="009F6996" w:rsidRPr="00EF22E8" w:rsidRDefault="009F6996" w:rsidP="00441A26">
      <w:pPr>
        <w:pStyle w:val="BodyText"/>
      </w:pPr>
      <w:r w:rsidRPr="00EF22E8">
        <w:t>The Old Facility Amount Available represents the amount available under the facility before this drawdown was applied to it. The New Facility Amount Available is the amount after this drawdown was applied.</w:t>
      </w:r>
    </w:p>
    <w:p w14:paraId="020CA0F9" w14:textId="77777777" w:rsidR="009F6996" w:rsidRPr="00EF22E8" w:rsidRDefault="009F6996" w:rsidP="00441A26">
      <w:pPr>
        <w:pStyle w:val="BodyText"/>
      </w:pPr>
      <w:r w:rsidRPr="00EF22E8">
        <w:t xml:space="preserve">If you create a new export credit agency facility from within a financing transaction </w:t>
      </w:r>
      <w:r w:rsidR="00106DBA" w:rsidRPr="00EF22E8">
        <w:t xml:space="preserve">the system </w:t>
      </w:r>
      <w:r w:rsidRPr="00EF22E8">
        <w:t>creates two subsidiary events for the financing transaction Create event - one to create the new export credit agency facility (and its master record), and one to create a drawdown against it. These subsidiary events are validated at the same time as the financing transaction.</w:t>
      </w:r>
    </w:p>
    <w:p w14:paraId="39881E50" w14:textId="77777777" w:rsidR="009F6996" w:rsidRPr="00EF22E8" w:rsidRDefault="009F6996" w:rsidP="00441A26">
      <w:pPr>
        <w:pStyle w:val="BodyText"/>
      </w:pPr>
      <w:r w:rsidRPr="00EF22E8">
        <w:t>The Related Masters link in the Master Summary window for a financing transaction shows details of the export credit agency facility to which it is linked.</w:t>
      </w:r>
    </w:p>
    <w:p w14:paraId="35FFC333" w14:textId="77777777" w:rsidR="009F6996" w:rsidRPr="00EF22E8" w:rsidRDefault="009F6996" w:rsidP="00441A26">
      <w:pPr>
        <w:pStyle w:val="BodyText"/>
      </w:pPr>
      <w:r w:rsidRPr="00EF22E8">
        <w:rPr>
          <w:noProof/>
          <w:lang w:eastAsia="en-GB"/>
        </w:rPr>
        <w:lastRenderedPageBreak/>
        <w:drawing>
          <wp:inline distT="0" distB="0" distL="0" distR="0" wp14:anchorId="34BF59FF" wp14:editId="2BEC50CC">
            <wp:extent cx="5391150" cy="542925"/>
            <wp:effectExtent l="0" t="0" r="0" b="9525"/>
            <wp:docPr id="6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91150" cy="542925"/>
                    </a:xfrm>
                    <a:prstGeom prst="rect">
                      <a:avLst/>
                    </a:prstGeom>
                    <a:noFill/>
                    <a:ln>
                      <a:noFill/>
                    </a:ln>
                  </pic:spPr>
                </pic:pic>
              </a:graphicData>
            </a:graphic>
          </wp:inline>
        </w:drawing>
      </w:r>
    </w:p>
    <w:p w14:paraId="2FF047BB" w14:textId="77777777" w:rsidR="009F6996" w:rsidRPr="00EF22E8" w:rsidRDefault="009F6996" w:rsidP="00441A26">
      <w:pPr>
        <w:pStyle w:val="BodyText"/>
      </w:pPr>
      <w:r w:rsidRPr="00EF22E8">
        <w:t>The Related Masters link in the Master Summary window for an export credit agency facility shows details of the financing transactions to which it is linked.</w:t>
      </w:r>
    </w:p>
    <w:p w14:paraId="2FFCA05C" w14:textId="77777777" w:rsidR="009F6996" w:rsidRPr="00EF22E8" w:rsidRDefault="009F6996" w:rsidP="00441A26">
      <w:pPr>
        <w:pStyle w:val="BodyText"/>
      </w:pPr>
      <w:r w:rsidRPr="00EF22E8">
        <w:rPr>
          <w:noProof/>
          <w:lang w:eastAsia="en-GB"/>
        </w:rPr>
        <w:drawing>
          <wp:inline distT="0" distB="0" distL="0" distR="0" wp14:anchorId="23E46EB0" wp14:editId="0D7721D8">
            <wp:extent cx="5400675" cy="647700"/>
            <wp:effectExtent l="0" t="0" r="9525" b="0"/>
            <wp:docPr id="7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675" cy="647700"/>
                    </a:xfrm>
                    <a:prstGeom prst="rect">
                      <a:avLst/>
                    </a:prstGeom>
                    <a:noFill/>
                    <a:ln>
                      <a:noFill/>
                    </a:ln>
                  </pic:spPr>
                </pic:pic>
              </a:graphicData>
            </a:graphic>
          </wp:inline>
        </w:drawing>
      </w:r>
    </w:p>
    <w:p w14:paraId="09A0B195" w14:textId="77777777" w:rsidR="009F6996" w:rsidRPr="00EF22E8" w:rsidRDefault="009F6996" w:rsidP="00441A26">
      <w:pPr>
        <w:pStyle w:val="BodyText"/>
      </w:pPr>
      <w:r w:rsidRPr="00EF22E8">
        <w:t xml:space="preserve">Once you have linked a financing transaction to an export credit agency facility, </w:t>
      </w:r>
      <w:r w:rsidR="00106DBA" w:rsidRPr="00EF22E8">
        <w:t xml:space="preserve">the system </w:t>
      </w:r>
      <w:r w:rsidRPr="00EF22E8">
        <w:t xml:space="preserve">will create a Drawdown/Revolve Facility event against that facility reducing its available amount whenever you increase the amount of the financing transaction. </w:t>
      </w:r>
      <w:r w:rsidR="00106DBA" w:rsidRPr="00EF22E8">
        <w:t xml:space="preserve">The system </w:t>
      </w:r>
      <w:r w:rsidRPr="00EF22E8">
        <w:t>will validate any such amendments to ensure that they do not cause the amount or tenor of the export credit agency facility to be exceeded.</w:t>
      </w:r>
    </w:p>
    <w:p w14:paraId="74C95188" w14:textId="77777777" w:rsidR="009F6996" w:rsidRPr="00EF22E8" w:rsidRDefault="009F6996" w:rsidP="00441A26">
      <w:pPr>
        <w:pStyle w:val="BodyText"/>
      </w:pPr>
      <w:r w:rsidRPr="00EF22E8">
        <w:t xml:space="preserve">Similarly, when you attempt to amend an export credit agency facility, </w:t>
      </w:r>
      <w:r w:rsidR="00106DBA" w:rsidRPr="00EF22E8">
        <w:t xml:space="preserve">the system </w:t>
      </w:r>
      <w:r w:rsidRPr="00EF22E8">
        <w:t>will take into account the amount and tenor of the financing transactions linked to it, and will not allow either the commitment amount to be reduced to less than the total of all drawdowns recorded against it; or the expiry date to be earlier than that of any linked financing transaction.</w:t>
      </w:r>
    </w:p>
    <w:p w14:paraId="6A49B548" w14:textId="77777777" w:rsidR="009F6996" w:rsidRPr="00EF22E8" w:rsidRDefault="009F6996" w:rsidP="00441A26">
      <w:pPr>
        <w:pStyle w:val="BodyText"/>
      </w:pPr>
      <w:r w:rsidRPr="00EF22E8">
        <w:t>Payments against financing transactions also create Drawdown/Revolve Facility events against their related export credit agency facility. If the facility is revolving, the Drawdown/Revolve Facility event increases the facility's available amount by the amount repaid.</w:t>
      </w:r>
    </w:p>
    <w:p w14:paraId="28BC7422" w14:textId="77777777" w:rsidR="009F6996" w:rsidRPr="00EF22E8" w:rsidRDefault="009F6996" w:rsidP="00EF22E8">
      <w:pPr>
        <w:pStyle w:val="Heading2"/>
      </w:pPr>
      <w:bookmarkStart w:id="221" w:name="O_52906"/>
      <w:bookmarkStart w:id="222" w:name="_Toc317756671"/>
      <w:bookmarkStart w:id="223" w:name="_Toc331499964"/>
      <w:bookmarkStart w:id="224" w:name="_Toc390475336"/>
      <w:bookmarkStart w:id="225" w:name="_Toc411430741"/>
      <w:bookmarkStart w:id="226" w:name="_Toc166586307"/>
      <w:bookmarkEnd w:id="221"/>
      <w:r w:rsidRPr="00EF22E8">
        <w:t>Cost of Funds Payments</w:t>
      </w:r>
      <w:bookmarkEnd w:id="222"/>
      <w:bookmarkEnd w:id="223"/>
      <w:bookmarkEnd w:id="224"/>
      <w:bookmarkEnd w:id="225"/>
      <w:bookmarkEnd w:id="226"/>
    </w:p>
    <w:p w14:paraId="60C0022F" w14:textId="77777777" w:rsidR="009F6996" w:rsidRPr="00EF22E8" w:rsidRDefault="009F6996" w:rsidP="00441A26">
      <w:pPr>
        <w:pStyle w:val="BodyText"/>
      </w:pPr>
      <w:r w:rsidRPr="00EF22E8">
        <w:t xml:space="preserve">For financing transactions linked to export credit agency facilities </w:t>
      </w:r>
      <w:r w:rsidR="00106DBA" w:rsidRPr="00EF22E8">
        <w:t xml:space="preserve">the system </w:t>
      </w:r>
      <w:r w:rsidRPr="00EF22E8">
        <w:t>allows your bank to define two separate forms of interest:</w:t>
      </w:r>
    </w:p>
    <w:p w14:paraId="4120AA01" w14:textId="77777777" w:rsidR="009F6996" w:rsidRPr="00EF22E8" w:rsidRDefault="009F6996" w:rsidP="00997F43">
      <w:pPr>
        <w:pStyle w:val="BulletLevel1"/>
      </w:pPr>
      <w:r w:rsidRPr="00EF22E8">
        <w:t>Interest for your bank</w:t>
      </w:r>
    </w:p>
    <w:p w14:paraId="1D26B58B" w14:textId="77777777" w:rsidR="009F6996" w:rsidRPr="00EF22E8" w:rsidRDefault="009F6996" w:rsidP="00997F43">
      <w:pPr>
        <w:pStyle w:val="BulletLevel1"/>
      </w:pPr>
      <w:r w:rsidRPr="00EF22E8">
        <w:t>Interest levied to meet the cost of funds for the export credit agency</w:t>
      </w:r>
    </w:p>
    <w:p w14:paraId="710F4C6A" w14:textId="77777777" w:rsidR="009F6996" w:rsidRPr="00EF22E8" w:rsidRDefault="009F6996" w:rsidP="00441A26">
      <w:pPr>
        <w:pStyle w:val="BodyText"/>
      </w:pPr>
      <w:r w:rsidRPr="00EF22E8">
        <w:t>Both types of interest are set up using interest type</w:t>
      </w:r>
      <w:r w:rsidR="00C80064" w:rsidRPr="00EF22E8">
        <w:t>s.</w:t>
      </w:r>
    </w:p>
    <w:p w14:paraId="72F3842D" w14:textId="77777777" w:rsidR="009F6996" w:rsidRPr="00EF22E8" w:rsidRDefault="009F6996" w:rsidP="00441A26">
      <w:pPr>
        <w:pStyle w:val="BodyText"/>
      </w:pPr>
      <w:r w:rsidRPr="00EF22E8">
        <w:t xml:space="preserve">For cost-of-fund interest your bank can define whether the interest is to be calculated and paid as each repayment event is processed; or whether it is to be handled instead by overnight processing. If the latter, at a regular frequency (defined by your bank) </w:t>
      </w:r>
      <w:r w:rsidR="00106DBA" w:rsidRPr="00EF22E8">
        <w:t xml:space="preserve">the system’s </w:t>
      </w:r>
      <w:r w:rsidRPr="00EF22E8">
        <w:t>overnight processing will calculate and pay the interest for all financing transactions so flagged, making one payment per product type per export credit agency facility. These settings are defined at product-type level, but can be overridden at individual financing transaction level and at repayment event level.</w:t>
      </w:r>
    </w:p>
    <w:p w14:paraId="0322B45A" w14:textId="77777777" w:rsidR="009F6996" w:rsidRPr="00EF22E8" w:rsidRDefault="009F6996" w:rsidP="00441A26">
      <w:pPr>
        <w:pStyle w:val="BodyText"/>
      </w:pPr>
      <w:r w:rsidRPr="00EF22E8">
        <w:t>Interest types provide the schedules and default details used to calculate the interest, and these can also be overridden during transaction processing.</w:t>
      </w:r>
    </w:p>
    <w:p w14:paraId="656D99DD" w14:textId="2DB1097D" w:rsidR="009F6996" w:rsidRPr="00EF22E8" w:rsidRDefault="009F6996" w:rsidP="00441A26">
      <w:pPr>
        <w:pStyle w:val="BodyText"/>
      </w:pPr>
      <w:r w:rsidRPr="00EF22E8">
        <w:t xml:space="preserve">For information on setting up interest types see the </w:t>
      </w:r>
      <w:r w:rsidRPr="00EF22E8">
        <w:rPr>
          <w:rStyle w:val="Italic"/>
        </w:rPr>
        <w:t>System Tailoring User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t xml:space="preserve">. For information on processing cost-of-fund details during transaction processing see the </w:t>
      </w:r>
      <w:r w:rsidRPr="00EF22E8">
        <w:rPr>
          <w:rStyle w:val="Italic"/>
        </w:rPr>
        <w:t>Financing User Guide</w:t>
      </w:r>
      <w:r w:rsidR="00E50A00" w:rsidRPr="00EF22E8">
        <w:rPr>
          <w:rStyle w:val="Italic"/>
        </w:rPr>
        <w:t xml:space="preserve"> </w:t>
      </w:r>
      <w:r w:rsidR="00E50A00" w:rsidRPr="00235B54">
        <w:rPr>
          <w:rStyle w:val="Italic"/>
        </w:rPr>
        <w:t xml:space="preserve">– </w:t>
      </w:r>
      <w:r w:rsidR="00717F11">
        <w:rPr>
          <w:rStyle w:val="Italic"/>
        </w:rPr>
        <w:t>Trade Innovation</w:t>
      </w:r>
      <w:r w:rsidRPr="00EF22E8">
        <w:t>.</w:t>
      </w:r>
    </w:p>
    <w:p w14:paraId="38B4A3D5" w14:textId="77777777" w:rsidR="009F6996" w:rsidRPr="00EF22E8" w:rsidRDefault="009F6996" w:rsidP="00EF22E8">
      <w:pPr>
        <w:pStyle w:val="Heading3"/>
      </w:pPr>
      <w:bookmarkStart w:id="227" w:name="O_52907"/>
      <w:bookmarkStart w:id="228" w:name="_Toc317756672"/>
      <w:bookmarkStart w:id="229" w:name="_Toc331499965"/>
      <w:bookmarkStart w:id="230" w:name="_Toc411430742"/>
      <w:bookmarkStart w:id="231" w:name="_Toc166586308"/>
      <w:bookmarkEnd w:id="227"/>
      <w:r w:rsidRPr="00EF22E8">
        <w:t>Past Due Processing</w:t>
      </w:r>
      <w:bookmarkEnd w:id="228"/>
      <w:bookmarkEnd w:id="229"/>
      <w:bookmarkEnd w:id="230"/>
      <w:bookmarkEnd w:id="231"/>
    </w:p>
    <w:p w14:paraId="04FDE61E" w14:textId="77777777" w:rsidR="009F6996" w:rsidRPr="00EF22E8" w:rsidRDefault="009F6996" w:rsidP="00441A26">
      <w:pPr>
        <w:pStyle w:val="BodyText"/>
      </w:pPr>
      <w:r w:rsidRPr="00EF22E8">
        <w:t xml:space="preserve">Interest schedules for calculating cost-of-funds interest calculations apply from the creation of a financing transaction to its maturity date. Consequently, cost-of-funds interest ceases to accrue when a transaction </w:t>
      </w:r>
      <w:r w:rsidR="00C80064" w:rsidRPr="00EF22E8">
        <w:t>becomes 'past due'.</w:t>
      </w:r>
    </w:p>
    <w:p w14:paraId="28D227C6" w14:textId="7829AEBA" w:rsidR="001B401F" w:rsidRPr="00EF22E8" w:rsidRDefault="00106DBA" w:rsidP="00441A26">
      <w:pPr>
        <w:pStyle w:val="BodyText"/>
      </w:pPr>
      <w:r w:rsidRPr="00EF22E8">
        <w:t xml:space="preserve">The system </w:t>
      </w:r>
      <w:r w:rsidR="009F6996" w:rsidRPr="00EF22E8">
        <w:t>allows you to set up separate schedules for use in calculating interest once a financing transaction has reached its due date without being paid in full. Such schedules can be defined to increase their interest rate as time passes</w:t>
      </w:r>
      <w:bookmarkEnd w:id="20"/>
      <w:bookmarkEnd w:id="21"/>
      <w:bookmarkEnd w:id="22"/>
      <w:bookmarkEnd w:id="23"/>
      <w:bookmarkEnd w:id="24"/>
      <w:bookmarkEnd w:id="25"/>
      <w:r w:rsidR="00786E70" w:rsidRPr="00EF22E8">
        <w:t>.</w:t>
      </w:r>
    </w:p>
    <w:sectPr w:rsidR="001B401F" w:rsidRPr="00EF22E8" w:rsidSect="00D20AE4">
      <w:headerReference w:type="default" r:id="rId32"/>
      <w:footerReference w:type="default" r:id="rId33"/>
      <w:pgSz w:w="11906" w:h="16838" w:code="9"/>
      <w:pgMar w:top="1008" w:right="1008" w:bottom="1008" w:left="1008" w:header="706" w:footer="706"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B" wne:kcmSecondary="0042">
      <wne:acd wne:acdName="acd29"/>
    </wne:keymap>
    <wne:keymap wne:kcmPrimary="025B" wne:kcmSecondary="0049">
      <wne:acd wne:acdName="acd28"/>
    </wne:keymap>
    <wne:keymap wne:kcmPrimary="025B" wne:kcmSecondary="005B">
      <wne:acd wne:acdName="acd16"/>
    </wne:keymap>
    <wne:keymap wne:kcmPrimary="0331">
      <wne:acd wne:acdName="acd32"/>
    </wne:keymap>
    <wne:keymap wne:kcmPrimary="0332">
      <wne:acd wne:acdName="acd33"/>
    </wne:keymap>
    <wne:keymap wne:kcmPrimary="0333">
      <wne:acd wne:acdName="acd34"/>
    </wne:keymap>
    <wne:keymap wne:kcmPrimary="0334">
      <wne:acd wne:acdName="acd6"/>
    </wne:keymap>
    <wne:keymap wne:kcmPrimary="0335">
      <wne:acd wne:acdName="acd7"/>
    </wne:keymap>
    <wne:keymap wne:kcmPrimary="0336">
      <wne:acd wne:acdName="acd8"/>
    </wne:keymap>
    <wne:keymap wne:kcmPrimary="0337">
      <wne:acd wne:acdName="acd52"/>
    </wne:keymap>
    <wne:keymap wne:kcmPrimary="0338">
      <wne:acd wne:acdName="acd55"/>
    </wne:keymap>
    <wne:keymap wne:kcmPrimary="0431">
      <wne:acd wne:acdName="acd0"/>
    </wne:keymap>
    <wne:keymap wne:kcmPrimary="0432">
      <wne:acd wne:acdName="acd1"/>
    </wne:keymap>
    <wne:keymap wne:kcmPrimary="0433">
      <wne:acd wne:acdName="acd11"/>
    </wne:keymap>
    <wne:keymap wne:kcmPrimary="0457" wne:kcmSecondary="0031">
      <wne:acd wne:acdName="acd59"/>
    </wne:keymap>
    <wne:keymap wne:kcmPrimary="0457" wne:kcmSecondary="0032">
      <wne:acd wne:acdName="acd42"/>
    </wne:keymap>
    <wne:keymap wne:kcmPrimary="0457" wne:kcmSecondary="0033">
      <wne:acd wne:acdName="acd42"/>
    </wne:keymap>
    <wne:keymap wne:kcmPrimary="0530">
      <wne:acd wne:acdName="acd40"/>
    </wne:keymap>
    <wne:keymap wne:kcmPrimary="0534">
      <wne:acd wne:acdName="acd12"/>
    </wne:keymap>
    <wne:keymap wne:kcmPrimary="0535">
      <wne:acd wne:acdName="acd13"/>
    </wne:keymap>
    <wne:keymap wne:kcmPrimary="0542">
      <wne:acd wne:acdName="acd4"/>
    </wne:keymap>
    <wne:keymap wne:kcmPrimary="0543">
      <wne:acd wne:acdName="acd25"/>
    </wne:keymap>
    <wne:keymap wne:kcmPrimary="0634">
      <wne:acd wne:acdName="acd44"/>
    </wne:keymap>
    <wne:keymap wne:kcmPrimary="0642">
      <wne:acd wne:acdName="acd5"/>
    </wne:keymap>
    <wne:keymap wne:kcmPrimary="0658">
      <wne:acd wne:acdName="acd10"/>
    </wne:keymap>
    <wne:keymap wne:kcmPrimary="0731">
      <wne:acd wne:acdName="acd39"/>
    </wne:keymap>
    <wne:keymap wne:kcmPrimary="0732">
      <wne:acd wne:acdName="acd36"/>
    </wne:keymap>
    <wne:keymap wne:kcmPrimary="0733">
      <wne:acd wne:acdName="acd37"/>
    </wne:keymap>
    <wne:keymap wne:kcmPrimary="0734">
      <wne:acd wne:acdName="acd38"/>
    </wne:keymap>
    <wne:keymap wne:kcmPrimary="0738">
      <wne:acd wne:acdName="acd17"/>
    </wne:keymap>
    <wne:keymap wne:kcmPrimary="0739">
      <wne:acd wne:acdName="acd56"/>
    </wne:keymap>
    <wne:keymap wne:kcmPrimary="0742">
      <wne:acd wne:acdName="acd3"/>
    </wne:keymap>
    <wne:keymap wne:kcmPrimary="0743">
      <wne:acd wne:acdName="acd58"/>
    </wne:keymap>
    <wne:keymap wne:kcmPrimary="0748">
      <wne:acd wne:acdName="acd19"/>
    </wne:keymap>
    <wne:keymap wne:kcmPrimary="074E">
      <wne:acd wne:acdName="acd51"/>
    </wne:keymap>
    <wne:keymap wne:kcmPrimary="0754">
      <wne:acd wne:acdName="acd14"/>
    </wne:keymap>
    <wne:keymap wne:kcmPrimary="07BB">
      <wne:acd wne:acdName="acd18"/>
    </wne:keymap>
    <wne:keymap wne:kcmPrimary="07C0">
      <wne:acd wne:acdName="acd57"/>
    </wne:keymap>
    <wne:keymap wne:kcmPrimary="07DC">
      <wne:macro wne:macroName="NORMAL.NEWMACROS.TABLE1RESIZE"/>
    </wne:keymap>
    <wne:keymap wne:kcmPrimary="07DD">
      <wne:macro wne:macroName="NORMAL.NEWMACROS.TABLE2RESIZE"/>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Manifest>
  </wne:toolbars>
  <wne:acds>
    <wne:acd wne:argValue="AgBNAGkAcwB5AHMAIABOAG8AdABlADEA" wne:acdName="acd0" wne:fciIndexBasedOn="0065"/>
    <wne:acd wne:argValue="AgBNAGkAcwB5AHMAIABOAG8AdABlADIA" wne:acdName="acd1" wne:fciIndexBasedOn="0065"/>
    <wne:acd wne:acdName="acd2" wne:fciIndexBasedOn="0065"/>
    <wne:acd wne:argValue="AgBCAHUAbABsAGUAdABMAGUAdgBlAGwAMgA=" wne:acdName="acd3" wne:fciIndexBasedOn="0065"/>
    <wne:acd wne:argValue="AgBCAHUAbABsAGUAdABMAGUAdgBlAGwAMwA=" wne:acdName="acd4" wne:fciIndexBasedOn="0065"/>
    <wne:acd wne:argValue="AgBNAGkAcwB5AHMAIABCAHUAbABsAGUAdAAgADEA" wne:acdName="acd5" wne:fciIndexBasedOn="0065"/>
    <wne:acd wne:argValue="AgBCAG8AZAB5AFQAZQB4AHQASQBuAGQAZQBuAHQAMQA=" wne:acdName="acd6" wne:fciIndexBasedOn="0065"/>
    <wne:acd wne:argValue="AgBCAG8AZAB5AFQAZQB4AHQASQBuAGQAZQBuAHQAMgA=" wne:acdName="acd7" wne:fciIndexBasedOn="0065"/>
    <wne:acd wne:argValue="AgBCAG8AZAB5AFQAZQB4AHQASQBuAGQAZQBuAHQAMwA=" wne:acdName="acd8" wne:fciIndexBasedOn="0065"/>
    <wne:acd wne:acdName="acd9" wne:fciIndexBasedOn="0065"/>
    <wne:acd wne:argValue="AgBNAGkAcwB5AHMAIABYAE0ATAAxAA==" wne:acdName="acd10" wne:fciIndexBasedOn="0065"/>
    <wne:acd wne:argValue="AgBNAGkAcwB5AHMAIABOAG8AdABlADMA" wne:acdName="acd11" wne:fciIndexBasedOn="0065"/>
    <wne:acd wne:argValue="AQAAAAQA" wne:acdName="acd12" wne:fciIndexBasedOn="0065"/>
    <wne:acd wne:argValue="AQAAAAUA" wne:acdName="acd13" wne:fciIndexBasedOn="0065"/>
    <wne:acd wne:argValue="AgBNAGkAcwB5AHMAIABUAGEAYgBsAGUAVABlAHgAdAA=" wne:acdName="acd14" wne:fciIndexBasedOn="0065"/>
    <wne:acd wne:acdName="acd15" wne:fciIndexBasedOn="0065"/>
    <wne:acd wne:argValue="AgBNAGkAcwB5AHMAIABGAGkAbABlAE4AYQBtAGUASQBuAEwAaQBuAGUA" wne:acdName="acd16" wne:fciIndexBasedOn="0065"/>
    <wne:acd wne:argValue="AgBNAGkAcwB5AHMAIABUAGEAYgBsAGUAQgB1AGwAbABlAHQAMQA=" wne:acdName="acd17" wne:fciIndexBasedOn="0065"/>
    <wne:acd wne:argValue="AgBNAGkAcwB5AHMAIABUAGEAYgBsAGUAQwBvAGQAZQA=" wne:acdName="acd18" wne:fciIndexBasedOn="0065"/>
    <wne:acd wne:argValue="AgBUAGEAYgBsAGUASABlAGEAZAAgADIA" wne:acdName="acd19" wne:fciIndexBasedOn="0065"/>
    <wne:acd wne:acdName="acd20" wne:fciIndexBasedOn="0065"/>
    <wne:acd wne:acdName="acd21" wne:fciIndexBasedOn="0065"/>
    <wne:acd wne:argValue="AgBNAGkAcwB5AHMAIABGAGkAbABlAE4AYQBtAGUASQBuAEwAaQBuAGUA" wne:acdName="acd22" wne:fciIndexBasedOn="0065"/>
    <wne:acd wne:argValue="AgBNAGkAcwB5AHMAIABUAGEAYgBsAGUAQgB1AGwAbABlAHQAMQA=" wne:acdName="acd23" wne:fciIndexBasedOn="0065"/>
    <wne:acd wne:acdName="acd24" wne:fciIndexBasedOn="0065"/>
    <wne:acd wne:argValue="AgBNAGkAcwB5AHMAIABDAG8AZABlAEkAbgBMAGkAbgBlAA==" wne:acdName="acd25" wne:fciIndexBasedOn="0065"/>
    <wne:acd wne:acdName="acd26" wne:fciIndexBasedOn="0065"/>
    <wne:acd wne:acdName="acd27" wne:fciIndexBasedOn="0065"/>
    <wne:acd wne:argValue="AgBNAGkAcwB5AHMAIABJAHQAYQBsAGkAYwA=" wne:acdName="acd28" wne:fciIndexBasedOn="0065"/>
    <wne:acd wne:argValue="AgBNAGkAcwB5AHMAIABCAG8AbABkAA==" wne:acdName="acd29" wne:fciIndexBasedOn="0065"/>
    <wne:acd wne:acdName="acd30" wne:fciIndexBasedOn="0065"/>
    <wne:acd wne:acdName="acd31" wne:fciIndexBasedOn="0065"/>
    <wne:acd wne:argValue="AgBOAHUAbQBIAGUAYQBkAGkAbgBnACAAMQA=" wne:acdName="acd32" wne:fciIndexBasedOn="0065"/>
    <wne:acd wne:argValue="AgBOAHUAbQBIAGUAYQBkAGkAbgBnACAAMgA=" wne:acdName="acd33" wne:fciIndexBasedOn="0065"/>
    <wne:acd wne:argValue="AgBOAHUAbQBIAGUAYQBkAGkAbgBnACAAMwA=" wne:acdName="acd34" wne:fciIndexBasedOn="0065"/>
    <wne:acd wne:argValue="AgBNAGkAcwB5AHMAIABUAGEAYgBsAGUAVABlAHgAdAA=" wne:acdName="acd35" wne:fciIndexBasedOn="0065"/>
    <wne:acd wne:argValue="AgBCAG8AZAB5AFQAZQB4AHQARgBpAHIAcwB0AEkAbgBkAGUAbgB0ADEA" wne:acdName="acd36" wne:fciIndexBasedOn="0065"/>
    <wne:acd wne:argValue="AgBCAG8AZAB5AFQAZQB4AHQARgBpAHIAcwB0AEkAbgBkAGUAbgB0ADIA" wne:acdName="acd37" wne:fciIndexBasedOn="0065"/>
    <wne:acd wne:argValue="AgBCAG8AZAB5AFQAZQB4AHQARgBpAHIAcwB0AEkAbgBkAGUAbgB0ADMA" wne:acdName="acd38" wne:fciIndexBasedOn="0065"/>
    <wne:acd wne:argValue="AgBCAG8AZAB5AFQAZQB4AHQARgBpAHIAcwB0AA==" wne:acdName="acd39" wne:fciIndexBasedOn="0065"/>
    <wne:acd wne:argValue="AgBIAGUAYQBkAGkAbgBnACAAMgBfAFQAbwBwAE8AZgBQAGEAZwBlAA==" wne:acdName="acd40" wne:fciIndexBasedOn="0065"/>
    <wne:acd wne:acdName="acd41" wne:fciIndexBasedOn="0065"/>
    <wne:acd wne:argValue="AgBXAGEAcgBuAGkAbgBnADIA" wne:acdName="acd42" wne:fciIndexBasedOn="0065"/>
    <wne:acd wne:acdName="acd43" wne:fciIndexBasedOn="0065"/>
    <wne:acd wne:argValue="AgBNAGkAcwB5AHMAIABCAG8AZAB5AFQAZQB4AHQA" wne:acdName="acd44" wne:fciIndexBasedOn="0065"/>
    <wne:acd wne:acdName="acd45" wne:fciIndexBasedOn="0065"/>
    <wne:acd wne:acdName="acd46" wne:fciIndexBasedOn="0065"/>
    <wne:acd wne:argValue="AgBUAGEAYgBsAGUASABlAGEAZAAgADIA" wne:acdName="acd47" wne:fciIndexBasedOn="0065"/>
    <wne:acd wne:argValue="AgBNAGkAcwB5AHMAIABUAGEAYgBsAGUAQwBvAGQAZQA=" wne:acdName="acd48" wne:fciIndexBasedOn="0065"/>
    <wne:acd wne:acdName="acd49" wne:fciIndexBasedOn="0065"/>
    <wne:acd wne:acdName="acd50" wne:fciIndexBasedOn="0065"/>
    <wne:acd wne:argValue="AgBNAGkAcwB5AHMAIABMAGkAcwB0ADEA" wne:acdName="acd51" wne:fciIndexBasedOn="0065"/>
    <wne:acd wne:argValue="AgBNAGkAcwB5AHMAIABMAGkAcwB0ADIA" wne:acdName="acd52" wne:fciIndexBasedOn="0065"/>
    <wne:acd wne:acdName="acd53" wne:fciIndexBasedOn="0065"/>
    <wne:acd wne:acdName="acd54" wne:fciIndexBasedOn="0065"/>
    <wne:acd wne:argValue="AgBNAGkAcwB5AHMAIABMAGkAcwB0ADMA" wne:acdName="acd55" wne:fciIndexBasedOn="0065"/>
    <wne:acd wne:argValue="AgBNAGkAcwB5AHMAIABUAGEAYgBsAGUATABpAHMAdAAxAA==" wne:acdName="acd56" wne:fciIndexBasedOn="0065"/>
    <wne:acd wne:argValue="AgBNAGkAcwB5AHMAIABBAGIAbwB1AHQAVABpAHQAbABlAA==" wne:acdName="acd57" wne:fciIndexBasedOn="0065"/>
    <wne:acd wne:argValue="AgBDAG8AZABlAFMAbgBpAHAAcABlAHQAIAAyAA==" wne:acdName="acd58" wne:fciIndexBasedOn="0065"/>
    <wne:acd wne:argValue="AgBXAGEAcgBuAGkAbgBnADEA" wne:acdName="acd5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CEF01" w14:textId="77777777" w:rsidR="00D778A7" w:rsidRDefault="00D778A7" w:rsidP="00BD57E7">
      <w:pPr>
        <w:spacing w:after="0"/>
      </w:pPr>
      <w:r>
        <w:separator/>
      </w:r>
    </w:p>
    <w:p w14:paraId="3B59C69D" w14:textId="77777777" w:rsidR="00D778A7" w:rsidRDefault="00D778A7"/>
    <w:p w14:paraId="7E255949" w14:textId="77777777" w:rsidR="00D778A7" w:rsidRDefault="00D778A7"/>
  </w:endnote>
  <w:endnote w:type="continuationSeparator" w:id="0">
    <w:p w14:paraId="05B659A1" w14:textId="77777777" w:rsidR="00D778A7" w:rsidRDefault="00D778A7" w:rsidP="00BD57E7">
      <w:pPr>
        <w:spacing w:after="0"/>
      </w:pPr>
      <w:r>
        <w:continuationSeparator/>
      </w:r>
    </w:p>
    <w:p w14:paraId="3F99321B" w14:textId="77777777" w:rsidR="00D778A7" w:rsidRDefault="00D778A7"/>
    <w:p w14:paraId="73240D9F" w14:textId="77777777" w:rsidR="00D778A7" w:rsidRDefault="00D77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65 Medium">
    <w:altName w:val="Trebuchet MS"/>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F29E" w14:textId="77777777" w:rsidR="001B401F" w:rsidRPr="001B401F" w:rsidRDefault="001B401F" w:rsidP="001B4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9DF3B" w14:textId="77777777" w:rsidR="00D778A7" w:rsidRDefault="00D778A7" w:rsidP="00BD57E7">
      <w:pPr>
        <w:spacing w:after="0"/>
      </w:pPr>
      <w:r>
        <w:separator/>
      </w:r>
    </w:p>
    <w:p w14:paraId="61A5D5D7" w14:textId="77777777" w:rsidR="00D778A7" w:rsidRDefault="00D778A7"/>
    <w:p w14:paraId="3209793D" w14:textId="77777777" w:rsidR="00D778A7" w:rsidRDefault="00D778A7"/>
  </w:footnote>
  <w:footnote w:type="continuationSeparator" w:id="0">
    <w:p w14:paraId="44C535B3" w14:textId="77777777" w:rsidR="00D778A7" w:rsidRDefault="00D778A7" w:rsidP="00BD57E7">
      <w:pPr>
        <w:spacing w:after="0"/>
      </w:pPr>
      <w:r>
        <w:continuationSeparator/>
      </w:r>
    </w:p>
    <w:p w14:paraId="5CA9DB5C" w14:textId="77777777" w:rsidR="00D778A7" w:rsidRDefault="00D778A7"/>
    <w:p w14:paraId="7B512F43" w14:textId="77777777" w:rsidR="00D778A7" w:rsidRDefault="00D778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8170" w14:textId="77777777" w:rsidR="001B401F" w:rsidRPr="001B401F" w:rsidRDefault="001B401F" w:rsidP="001B4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56BE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9252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CC602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E442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6A7C8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2CE7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F4A9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C4ED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28FB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5478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242"/>
    <w:multiLevelType w:val="hybridMultilevel"/>
    <w:tmpl w:val="C3A4EB40"/>
    <w:lvl w:ilvl="0" w:tplc="B8869C50">
      <w:start w:val="1"/>
      <w:numFmt w:val="bullet"/>
      <w:pStyle w:val="TableBullet2"/>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1D2936"/>
    <w:multiLevelType w:val="hybridMultilevel"/>
    <w:tmpl w:val="63F4EF4C"/>
    <w:lvl w:ilvl="0" w:tplc="AD529FD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E64471"/>
    <w:multiLevelType w:val="hybridMultilevel"/>
    <w:tmpl w:val="D1565C74"/>
    <w:lvl w:ilvl="0" w:tplc="0CE0384C">
      <w:start w:val="1"/>
      <w:numFmt w:val="bullet"/>
      <w:pStyle w:val="BulletLevel3"/>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5297A19"/>
    <w:multiLevelType w:val="multilevel"/>
    <w:tmpl w:val="1212A4C2"/>
    <w:lvl w:ilvl="0">
      <w:start w:val="1"/>
      <w:numFmt w:val="none"/>
      <w:pStyle w:val="Note1"/>
      <w:lvlText w:val="%1Note:"/>
      <w:lvlJc w:val="left"/>
      <w:pPr>
        <w:ind w:left="720" w:hanging="720"/>
      </w:pPr>
      <w:rPr>
        <w:rFonts w:ascii="Arial" w:hAnsi="Arial" w:hint="default"/>
        <w:b/>
        <w:i w:val="0"/>
        <w:color w:val="CB42A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94E785E"/>
    <w:multiLevelType w:val="multilevel"/>
    <w:tmpl w:val="96E2D5AE"/>
    <w:lvl w:ilvl="0">
      <w:start w:val="1"/>
      <w:numFmt w:val="none"/>
      <w:lvlText w:val="%1Note:"/>
      <w:lvlJc w:val="left"/>
      <w:pPr>
        <w:ind w:left="432" w:hanging="432"/>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AC535BA"/>
    <w:multiLevelType w:val="multilevel"/>
    <w:tmpl w:val="544A0856"/>
    <w:lvl w:ilvl="0">
      <w:start w:val="1"/>
      <w:numFmt w:val="none"/>
      <w:lvlText w:val="%1Note:"/>
      <w:lvlJc w:val="left"/>
      <w:pPr>
        <w:ind w:left="720" w:hanging="72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AD35973"/>
    <w:multiLevelType w:val="hybridMultilevel"/>
    <w:tmpl w:val="AE5C86AE"/>
    <w:lvl w:ilvl="0" w:tplc="356842B6">
      <w:start w:val="1"/>
      <w:numFmt w:val="lowerLetter"/>
      <w:pStyle w:val="TableNumBullet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6F4626"/>
    <w:multiLevelType w:val="hybridMultilevel"/>
    <w:tmpl w:val="A6D23AEC"/>
    <w:lvl w:ilvl="0" w:tplc="003A23A2">
      <w:start w:val="1"/>
      <w:numFmt w:val="bullet"/>
      <w:pStyle w:val="BulletLevel2"/>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39F5490"/>
    <w:multiLevelType w:val="hybridMultilevel"/>
    <w:tmpl w:val="EF702D8C"/>
    <w:lvl w:ilvl="0" w:tplc="D46E28F4">
      <w:start w:val="1"/>
      <w:numFmt w:val="bullet"/>
      <w:lvlText w:val=""/>
      <w:lvlJc w:val="left"/>
      <w:pPr>
        <w:ind w:left="720" w:hanging="360"/>
      </w:pPr>
      <w:rPr>
        <w:rFonts w:ascii="Wingdings" w:hAnsi="Wingdings"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2F4789"/>
    <w:multiLevelType w:val="hybridMultilevel"/>
    <w:tmpl w:val="EA5455F6"/>
    <w:lvl w:ilvl="0" w:tplc="4CF2745E">
      <w:start w:val="1"/>
      <w:numFmt w:val="decimal"/>
      <w:pStyle w:val="TableNumBullet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906FDC"/>
    <w:multiLevelType w:val="hybridMultilevel"/>
    <w:tmpl w:val="53F69D54"/>
    <w:lvl w:ilvl="0" w:tplc="1A6023A2">
      <w:start w:val="1"/>
      <w:numFmt w:val="bullet"/>
      <w:pStyle w:val="TableBullet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D12777"/>
    <w:multiLevelType w:val="hybridMultilevel"/>
    <w:tmpl w:val="FF76E484"/>
    <w:lvl w:ilvl="0" w:tplc="2ECEDF46">
      <w:start w:val="1"/>
      <w:numFmt w:val="decimal"/>
      <w:lvlText w:val="CHAPTER %1 "/>
      <w:lvlJc w:val="left"/>
      <w:pPr>
        <w:ind w:left="360" w:hanging="360"/>
      </w:pPr>
      <w:rPr>
        <w:rFonts w:ascii="Arial" w:hAnsi="Arial" w:hint="default"/>
        <w:b w:val="0"/>
        <w:i w:val="0"/>
        <w:caps/>
        <w:color w:val="00338D"/>
        <w:spacing w:val="32"/>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6D49EE"/>
    <w:multiLevelType w:val="hybridMultilevel"/>
    <w:tmpl w:val="2B222AA2"/>
    <w:lvl w:ilvl="0" w:tplc="E68E7F74">
      <w:start w:val="1"/>
      <w:numFmt w:val="bullet"/>
      <w:lvlText w:val=""/>
      <w:lvlJc w:val="left"/>
      <w:pPr>
        <w:ind w:left="720" w:hanging="360"/>
      </w:pPr>
      <w:rPr>
        <w:rFonts w:ascii="Symbol" w:hAnsi="Symbol" w:hint="default"/>
        <w:b w:val="0"/>
        <w:i w:val="0"/>
        <w:color w:val="414141"/>
        <w:sz w:val="18"/>
      </w:rPr>
    </w:lvl>
    <w:lvl w:ilvl="1" w:tplc="E86AB6C6">
      <w:start w:val="1"/>
      <w:numFmt w:val="bullet"/>
      <w:lvlText w:val="-"/>
      <w:lvlJc w:val="left"/>
      <w:pPr>
        <w:tabs>
          <w:tab w:val="num" w:pos="360"/>
        </w:tabs>
        <w:ind w:left="360" w:hanging="360"/>
      </w:pPr>
      <w:rPr>
        <w:rFonts w:ascii="Arial" w:hAnsi="Arial" w:hint="default"/>
        <w:color w:val="5C7F92"/>
      </w:rPr>
    </w:lvl>
    <w:lvl w:ilvl="2" w:tplc="B96027BA">
      <w:start w:val="1"/>
      <w:numFmt w:val="bullet"/>
      <w:lvlText w:val=""/>
      <w:lvlJc w:val="left"/>
      <w:pPr>
        <w:tabs>
          <w:tab w:val="num" w:pos="2160"/>
        </w:tabs>
        <w:ind w:left="2160" w:hanging="360"/>
      </w:pPr>
      <w:rPr>
        <w:rFonts w:ascii="Wingdings" w:hAnsi="Wingdings" w:hint="default"/>
      </w:rPr>
    </w:lvl>
    <w:lvl w:ilvl="3" w:tplc="969A2D5A" w:tentative="1">
      <w:start w:val="1"/>
      <w:numFmt w:val="bullet"/>
      <w:lvlText w:val=""/>
      <w:lvlJc w:val="left"/>
      <w:pPr>
        <w:tabs>
          <w:tab w:val="num" w:pos="2880"/>
        </w:tabs>
        <w:ind w:left="2880" w:hanging="360"/>
      </w:pPr>
      <w:rPr>
        <w:rFonts w:ascii="Symbol" w:hAnsi="Symbol" w:hint="default"/>
      </w:rPr>
    </w:lvl>
    <w:lvl w:ilvl="4" w:tplc="610EF2E0" w:tentative="1">
      <w:start w:val="1"/>
      <w:numFmt w:val="bullet"/>
      <w:lvlText w:val="o"/>
      <w:lvlJc w:val="left"/>
      <w:pPr>
        <w:tabs>
          <w:tab w:val="num" w:pos="3600"/>
        </w:tabs>
        <w:ind w:left="3600" w:hanging="360"/>
      </w:pPr>
      <w:rPr>
        <w:rFonts w:ascii="Courier New" w:hAnsi="Courier New" w:cs="Courier New" w:hint="default"/>
      </w:rPr>
    </w:lvl>
    <w:lvl w:ilvl="5" w:tplc="12989FEC" w:tentative="1">
      <w:start w:val="1"/>
      <w:numFmt w:val="bullet"/>
      <w:lvlText w:val=""/>
      <w:lvlJc w:val="left"/>
      <w:pPr>
        <w:tabs>
          <w:tab w:val="num" w:pos="4320"/>
        </w:tabs>
        <w:ind w:left="4320" w:hanging="360"/>
      </w:pPr>
      <w:rPr>
        <w:rFonts w:ascii="Wingdings" w:hAnsi="Wingdings" w:hint="default"/>
      </w:rPr>
    </w:lvl>
    <w:lvl w:ilvl="6" w:tplc="8D72E27E" w:tentative="1">
      <w:start w:val="1"/>
      <w:numFmt w:val="bullet"/>
      <w:lvlText w:val=""/>
      <w:lvlJc w:val="left"/>
      <w:pPr>
        <w:tabs>
          <w:tab w:val="num" w:pos="5040"/>
        </w:tabs>
        <w:ind w:left="5040" w:hanging="360"/>
      </w:pPr>
      <w:rPr>
        <w:rFonts w:ascii="Symbol" w:hAnsi="Symbol" w:hint="default"/>
      </w:rPr>
    </w:lvl>
    <w:lvl w:ilvl="7" w:tplc="9E8A90DC" w:tentative="1">
      <w:start w:val="1"/>
      <w:numFmt w:val="bullet"/>
      <w:lvlText w:val="o"/>
      <w:lvlJc w:val="left"/>
      <w:pPr>
        <w:tabs>
          <w:tab w:val="num" w:pos="5760"/>
        </w:tabs>
        <w:ind w:left="5760" w:hanging="360"/>
      </w:pPr>
      <w:rPr>
        <w:rFonts w:ascii="Courier New" w:hAnsi="Courier New" w:cs="Courier New" w:hint="default"/>
      </w:rPr>
    </w:lvl>
    <w:lvl w:ilvl="8" w:tplc="F368840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19247C"/>
    <w:multiLevelType w:val="hybridMultilevel"/>
    <w:tmpl w:val="D1043524"/>
    <w:lvl w:ilvl="0" w:tplc="648488D4">
      <w:start w:val="1"/>
      <w:numFmt w:val="lowerLetter"/>
      <w:pStyle w:val="NumBulletLevel2"/>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EC0648E"/>
    <w:multiLevelType w:val="hybridMultilevel"/>
    <w:tmpl w:val="B9F4397A"/>
    <w:lvl w:ilvl="0" w:tplc="8A124A4C">
      <w:start w:val="1"/>
      <w:numFmt w:val="decimal"/>
      <w:pStyle w:val="FigureCaption"/>
      <w:lvlText w:val="Figur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EA5CC1"/>
    <w:multiLevelType w:val="hybridMultilevel"/>
    <w:tmpl w:val="3D928466"/>
    <w:lvl w:ilvl="0" w:tplc="AB148ABC">
      <w:start w:val="1"/>
      <w:numFmt w:val="decimal"/>
      <w:lvlText w:val="Chapter %1 – "/>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56054426"/>
    <w:multiLevelType w:val="hybridMultilevel"/>
    <w:tmpl w:val="BDE23A4C"/>
    <w:lvl w:ilvl="0" w:tplc="D4B4AAAE">
      <w:start w:val="1"/>
      <w:numFmt w:val="decimal"/>
      <w:pStyle w:val="NumBulletLevel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436C4E"/>
    <w:multiLevelType w:val="multilevel"/>
    <w:tmpl w:val="E466D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962853"/>
    <w:multiLevelType w:val="multilevel"/>
    <w:tmpl w:val="6896A912"/>
    <w:lvl w:ilvl="0">
      <w:start w:val="1"/>
      <w:numFmt w:val="none"/>
      <w:lvlText w:val="%1Warning!"/>
      <w:lvlJc w:val="left"/>
      <w:pPr>
        <w:ind w:left="1080" w:hanging="108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8E4379D"/>
    <w:multiLevelType w:val="multilevel"/>
    <w:tmpl w:val="19704A2A"/>
    <w:lvl w:ilvl="0">
      <w:start w:val="1"/>
      <w:numFmt w:val="decimal"/>
      <w:lvlText w:val="CHAPTER %1 "/>
      <w:lvlJc w:val="left"/>
      <w:pPr>
        <w:tabs>
          <w:tab w:val="num" w:pos="576"/>
        </w:tabs>
        <w:ind w:left="576" w:hanging="576"/>
      </w:pPr>
      <w:rPr>
        <w:rFonts w:ascii="Arial" w:hAnsi="Arial" w:hint="default"/>
        <w:b w:val="0"/>
        <w:i w:val="0"/>
        <w:color w:val="00338D"/>
        <w:spacing w:val="32"/>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A5477BD"/>
    <w:multiLevelType w:val="hybridMultilevel"/>
    <w:tmpl w:val="C26C5C0A"/>
    <w:lvl w:ilvl="0" w:tplc="F42AB832">
      <w:start w:val="1"/>
      <w:numFmt w:val="lowerRoman"/>
      <w:pStyle w:val="NumBulletLevel3"/>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30555F"/>
    <w:multiLevelType w:val="hybridMultilevel"/>
    <w:tmpl w:val="EEB6554C"/>
    <w:lvl w:ilvl="0" w:tplc="48CC1AC2">
      <w:start w:val="1"/>
      <w:numFmt w:val="lowerRoman"/>
      <w:pStyle w:val="TableNumBullet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C8153C2"/>
    <w:multiLevelType w:val="hybridMultilevel"/>
    <w:tmpl w:val="1BD40D8C"/>
    <w:lvl w:ilvl="0" w:tplc="CDA6D81A">
      <w:start w:val="1"/>
      <w:numFmt w:val="decimal"/>
      <w:pStyle w:val="TableCaption"/>
      <w:lvlText w:val="Tabl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3A0A91"/>
    <w:multiLevelType w:val="multilevel"/>
    <w:tmpl w:val="0EE251B6"/>
    <w:lvl w:ilvl="0">
      <w:start w:val="1"/>
      <w:numFmt w:val="none"/>
      <w:lvlText w:val="%1Note:"/>
      <w:lvlJc w:val="left"/>
      <w:pPr>
        <w:ind w:left="720" w:hanging="720"/>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0717BCD"/>
    <w:multiLevelType w:val="hybridMultilevel"/>
    <w:tmpl w:val="77DA4D70"/>
    <w:lvl w:ilvl="0" w:tplc="02C6D39E">
      <w:start w:val="1"/>
      <w:numFmt w:val="bullet"/>
      <w:pStyle w:val="Table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3F3454"/>
    <w:multiLevelType w:val="multilevel"/>
    <w:tmpl w:val="0EB4791E"/>
    <w:lvl w:ilvl="0">
      <w:start w:val="1"/>
      <w:numFmt w:val="none"/>
      <w:pStyle w:val="TableNote"/>
      <w:lvlText w:val="%1Note:"/>
      <w:lvlJc w:val="left"/>
      <w:pPr>
        <w:tabs>
          <w:tab w:val="num" w:pos="576"/>
        </w:tabs>
        <w:ind w:left="576" w:hanging="576"/>
      </w:pPr>
      <w:rPr>
        <w:rFonts w:ascii="Arial" w:hAnsi="Arial" w:hint="default"/>
        <w:b/>
        <w:i w:val="0"/>
        <w:color w:val="CB42A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CC15411"/>
    <w:multiLevelType w:val="hybridMultilevel"/>
    <w:tmpl w:val="D3ECAB8A"/>
    <w:lvl w:ilvl="0" w:tplc="649AE800">
      <w:start w:val="1"/>
      <w:numFmt w:val="bullet"/>
      <w:pStyle w:val="BulletLevel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3381959">
    <w:abstractNumId w:val="36"/>
  </w:num>
  <w:num w:numId="2" w16cid:durableId="1916470004">
    <w:abstractNumId w:val="17"/>
  </w:num>
  <w:num w:numId="3" w16cid:durableId="1477526409">
    <w:abstractNumId w:val="12"/>
  </w:num>
  <w:num w:numId="4" w16cid:durableId="2034332613">
    <w:abstractNumId w:val="26"/>
  </w:num>
  <w:num w:numId="5" w16cid:durableId="1037587831">
    <w:abstractNumId w:val="23"/>
  </w:num>
  <w:num w:numId="6" w16cid:durableId="1407536042">
    <w:abstractNumId w:val="30"/>
  </w:num>
  <w:num w:numId="7" w16cid:durableId="1928885766">
    <w:abstractNumId w:val="20"/>
  </w:num>
  <w:num w:numId="8" w16cid:durableId="807744801">
    <w:abstractNumId w:val="10"/>
  </w:num>
  <w:num w:numId="9" w16cid:durableId="366832555">
    <w:abstractNumId w:val="19"/>
  </w:num>
  <w:num w:numId="10" w16cid:durableId="1941254312">
    <w:abstractNumId w:val="16"/>
  </w:num>
  <w:num w:numId="11" w16cid:durableId="1342393330">
    <w:abstractNumId w:val="32"/>
  </w:num>
  <w:num w:numId="12" w16cid:durableId="2109155320">
    <w:abstractNumId w:val="24"/>
  </w:num>
  <w:num w:numId="13" w16cid:durableId="281420933">
    <w:abstractNumId w:val="35"/>
  </w:num>
  <w:num w:numId="14" w16cid:durableId="1547718981">
    <w:abstractNumId w:val="34"/>
  </w:num>
  <w:num w:numId="15" w16cid:durableId="595676577">
    <w:abstractNumId w:val="31"/>
  </w:num>
  <w:num w:numId="16" w16cid:durableId="1224410295">
    <w:abstractNumId w:val="25"/>
  </w:num>
  <w:num w:numId="17" w16cid:durableId="192811973">
    <w:abstractNumId w:val="22"/>
  </w:num>
  <w:num w:numId="18" w16cid:durableId="587661538">
    <w:abstractNumId w:val="2"/>
  </w:num>
  <w:num w:numId="19" w16cid:durableId="459030385">
    <w:abstractNumId w:val="8"/>
  </w:num>
  <w:num w:numId="20" w16cid:durableId="863713410">
    <w:abstractNumId w:val="9"/>
  </w:num>
  <w:num w:numId="21" w16cid:durableId="2054034826">
    <w:abstractNumId w:val="7"/>
  </w:num>
  <w:num w:numId="22" w16cid:durableId="1557938042">
    <w:abstractNumId w:val="6"/>
  </w:num>
  <w:num w:numId="23" w16cid:durableId="1352560955">
    <w:abstractNumId w:val="5"/>
  </w:num>
  <w:num w:numId="24" w16cid:durableId="2052655582">
    <w:abstractNumId w:val="4"/>
  </w:num>
  <w:num w:numId="25" w16cid:durableId="2029481935">
    <w:abstractNumId w:val="3"/>
  </w:num>
  <w:num w:numId="26" w16cid:durableId="1010452264">
    <w:abstractNumId w:val="1"/>
  </w:num>
  <w:num w:numId="27" w16cid:durableId="449473379">
    <w:abstractNumId w:val="0"/>
  </w:num>
  <w:num w:numId="28" w16cid:durableId="1623727504">
    <w:abstractNumId w:val="13"/>
    <w:lvlOverride w:ilvl="0">
      <w:lvl w:ilvl="0">
        <w:start w:val="1"/>
        <w:numFmt w:val="none"/>
        <w:pStyle w:val="Note1"/>
        <w:lvlText w:val="%1Note:"/>
        <w:lvlJc w:val="left"/>
        <w:pPr>
          <w:ind w:left="720" w:hanging="720"/>
        </w:pPr>
        <w:rPr>
          <w:rFonts w:ascii="Arial" w:hAnsi="Arial" w:hint="default"/>
          <w:b/>
          <w:i w:val="0"/>
          <w:color w:val="C137A2"/>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16cid:durableId="756681851">
    <w:abstractNumId w:val="11"/>
  </w:num>
  <w:num w:numId="30" w16cid:durableId="650868351">
    <w:abstractNumId w:val="27"/>
  </w:num>
  <w:num w:numId="31" w16cid:durableId="1930625897">
    <w:abstractNumId w:val="18"/>
  </w:num>
  <w:num w:numId="32" w16cid:durableId="1211573084">
    <w:abstractNumId w:val="13"/>
  </w:num>
  <w:num w:numId="33" w16cid:durableId="2124229880">
    <w:abstractNumId w:val="33"/>
  </w:num>
  <w:num w:numId="34" w16cid:durableId="2048530392">
    <w:abstractNumId w:val="14"/>
  </w:num>
  <w:num w:numId="35" w16cid:durableId="2037726520">
    <w:abstractNumId w:val="29"/>
  </w:num>
  <w:num w:numId="36" w16cid:durableId="1682467312">
    <w:abstractNumId w:val="21"/>
  </w:num>
  <w:num w:numId="37" w16cid:durableId="931667412">
    <w:abstractNumId w:val="13"/>
    <w:lvlOverride w:ilvl="0">
      <w:lvl w:ilvl="0">
        <w:start w:val="1"/>
        <w:numFmt w:val="none"/>
        <w:pStyle w:val="Note1"/>
        <w:lvlText w:val="%1Warning!"/>
        <w:lvlJc w:val="left"/>
        <w:pPr>
          <w:ind w:left="720" w:hanging="720"/>
        </w:pPr>
        <w:rPr>
          <w:rFonts w:ascii="Arial" w:hAnsi="Arial" w:hint="default"/>
          <w:b/>
          <w:i w:val="0"/>
          <w:color w:val="414141"/>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10749274">
    <w:abstractNumId w:val="28"/>
  </w:num>
  <w:num w:numId="39" w16cid:durableId="496922611">
    <w:abstractNumId w:val="15"/>
  </w:num>
  <w:num w:numId="40" w16cid:durableId="1511217212">
    <w:abstractNumId w:val="15"/>
    <w:lvlOverride w:ilvl="0">
      <w:lvl w:ilvl="0">
        <w:start w:val="1"/>
        <w:numFmt w:val="none"/>
        <w:lvlText w:val="%1Warning!"/>
        <w:lvlJc w:val="left"/>
        <w:pPr>
          <w:ind w:left="1080" w:hanging="1080"/>
        </w:pPr>
        <w:rPr>
          <w:rFonts w:ascii="Arial" w:hAnsi="Arial" w:hint="default"/>
          <w:b/>
          <w:i w:val="0"/>
          <w:color w:val="CB42AB"/>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6E"/>
    <w:rsid w:val="0000112D"/>
    <w:rsid w:val="00001F46"/>
    <w:rsid w:val="00004D7A"/>
    <w:rsid w:val="000067FF"/>
    <w:rsid w:val="00013385"/>
    <w:rsid w:val="00013513"/>
    <w:rsid w:val="000144B2"/>
    <w:rsid w:val="00024E96"/>
    <w:rsid w:val="00030126"/>
    <w:rsid w:val="00030AFE"/>
    <w:rsid w:val="00031AA8"/>
    <w:rsid w:val="000364DB"/>
    <w:rsid w:val="000373F5"/>
    <w:rsid w:val="00047B33"/>
    <w:rsid w:val="00050EE6"/>
    <w:rsid w:val="00062590"/>
    <w:rsid w:val="00064010"/>
    <w:rsid w:val="000668CC"/>
    <w:rsid w:val="00067016"/>
    <w:rsid w:val="00071865"/>
    <w:rsid w:val="00073E18"/>
    <w:rsid w:val="00085AE5"/>
    <w:rsid w:val="00087EDA"/>
    <w:rsid w:val="0009120E"/>
    <w:rsid w:val="000925CF"/>
    <w:rsid w:val="00095926"/>
    <w:rsid w:val="0009626E"/>
    <w:rsid w:val="0009786C"/>
    <w:rsid w:val="000B036A"/>
    <w:rsid w:val="000B2776"/>
    <w:rsid w:val="000B6F90"/>
    <w:rsid w:val="000C0083"/>
    <w:rsid w:val="000C0E66"/>
    <w:rsid w:val="000C2892"/>
    <w:rsid w:val="000C3D26"/>
    <w:rsid w:val="000D6FAD"/>
    <w:rsid w:val="000E1D34"/>
    <w:rsid w:val="000E6975"/>
    <w:rsid w:val="000E7496"/>
    <w:rsid w:val="000E7C4A"/>
    <w:rsid w:val="000F1443"/>
    <w:rsid w:val="000F1B09"/>
    <w:rsid w:val="000F4E70"/>
    <w:rsid w:val="000F5308"/>
    <w:rsid w:val="001022D6"/>
    <w:rsid w:val="00106DBA"/>
    <w:rsid w:val="001075DF"/>
    <w:rsid w:val="00107CB1"/>
    <w:rsid w:val="00113170"/>
    <w:rsid w:val="00116F58"/>
    <w:rsid w:val="00120A35"/>
    <w:rsid w:val="001216FC"/>
    <w:rsid w:val="00121C58"/>
    <w:rsid w:val="00123FDA"/>
    <w:rsid w:val="00127AED"/>
    <w:rsid w:val="00130038"/>
    <w:rsid w:val="00130EA3"/>
    <w:rsid w:val="00131B31"/>
    <w:rsid w:val="00135EDF"/>
    <w:rsid w:val="001422C5"/>
    <w:rsid w:val="00144575"/>
    <w:rsid w:val="001463BB"/>
    <w:rsid w:val="00146E5C"/>
    <w:rsid w:val="00151D32"/>
    <w:rsid w:val="00155E44"/>
    <w:rsid w:val="001619BC"/>
    <w:rsid w:val="001637FC"/>
    <w:rsid w:val="00163B2B"/>
    <w:rsid w:val="0016576E"/>
    <w:rsid w:val="00166F4D"/>
    <w:rsid w:val="00177178"/>
    <w:rsid w:val="00182300"/>
    <w:rsid w:val="00182A2A"/>
    <w:rsid w:val="00182EA9"/>
    <w:rsid w:val="001852B7"/>
    <w:rsid w:val="00190321"/>
    <w:rsid w:val="00192187"/>
    <w:rsid w:val="00195F3D"/>
    <w:rsid w:val="001A58B1"/>
    <w:rsid w:val="001A67DA"/>
    <w:rsid w:val="001B0B80"/>
    <w:rsid w:val="001B3A90"/>
    <w:rsid w:val="001B401F"/>
    <w:rsid w:val="001B632A"/>
    <w:rsid w:val="001C072F"/>
    <w:rsid w:val="001C1421"/>
    <w:rsid w:val="001C1AA8"/>
    <w:rsid w:val="001C1D1D"/>
    <w:rsid w:val="001C2F58"/>
    <w:rsid w:val="001C47FF"/>
    <w:rsid w:val="001C6A59"/>
    <w:rsid w:val="001C7A08"/>
    <w:rsid w:val="001C7C78"/>
    <w:rsid w:val="001D0949"/>
    <w:rsid w:val="001D112C"/>
    <w:rsid w:val="001D5665"/>
    <w:rsid w:val="001D57B6"/>
    <w:rsid w:val="001D7EA5"/>
    <w:rsid w:val="001E17C1"/>
    <w:rsid w:val="001E1957"/>
    <w:rsid w:val="001E1E52"/>
    <w:rsid w:val="001E4CCA"/>
    <w:rsid w:val="001E52F3"/>
    <w:rsid w:val="001E795E"/>
    <w:rsid w:val="001F0052"/>
    <w:rsid w:val="001F363F"/>
    <w:rsid w:val="001F3B55"/>
    <w:rsid w:val="001F4509"/>
    <w:rsid w:val="001F5B2B"/>
    <w:rsid w:val="00201C32"/>
    <w:rsid w:val="0021220A"/>
    <w:rsid w:val="00213B0F"/>
    <w:rsid w:val="00217370"/>
    <w:rsid w:val="0022355C"/>
    <w:rsid w:val="00223B42"/>
    <w:rsid w:val="002245AA"/>
    <w:rsid w:val="00235B54"/>
    <w:rsid w:val="00236EDF"/>
    <w:rsid w:val="002429ED"/>
    <w:rsid w:val="002503F4"/>
    <w:rsid w:val="0025180D"/>
    <w:rsid w:val="00254B19"/>
    <w:rsid w:val="002569FE"/>
    <w:rsid w:val="00256F78"/>
    <w:rsid w:val="00263B7D"/>
    <w:rsid w:val="00276CED"/>
    <w:rsid w:val="002772EB"/>
    <w:rsid w:val="00280637"/>
    <w:rsid w:val="00285162"/>
    <w:rsid w:val="00286307"/>
    <w:rsid w:val="00287098"/>
    <w:rsid w:val="00293792"/>
    <w:rsid w:val="00293E90"/>
    <w:rsid w:val="0029639D"/>
    <w:rsid w:val="002A7A3B"/>
    <w:rsid w:val="002B4ABB"/>
    <w:rsid w:val="002B6E6D"/>
    <w:rsid w:val="002B70E2"/>
    <w:rsid w:val="002B7289"/>
    <w:rsid w:val="002B7314"/>
    <w:rsid w:val="002C1471"/>
    <w:rsid w:val="002C1A21"/>
    <w:rsid w:val="002C2751"/>
    <w:rsid w:val="002C6742"/>
    <w:rsid w:val="002C6B60"/>
    <w:rsid w:val="002D2A74"/>
    <w:rsid w:val="002D3DC4"/>
    <w:rsid w:val="002E5636"/>
    <w:rsid w:val="002F0AA7"/>
    <w:rsid w:val="002F1B95"/>
    <w:rsid w:val="002F3A94"/>
    <w:rsid w:val="002F657C"/>
    <w:rsid w:val="0030665B"/>
    <w:rsid w:val="00314D82"/>
    <w:rsid w:val="00321BA6"/>
    <w:rsid w:val="00333CFE"/>
    <w:rsid w:val="0033412C"/>
    <w:rsid w:val="0034357D"/>
    <w:rsid w:val="00345E11"/>
    <w:rsid w:val="00355407"/>
    <w:rsid w:val="00364674"/>
    <w:rsid w:val="003669A4"/>
    <w:rsid w:val="00367041"/>
    <w:rsid w:val="00367E0A"/>
    <w:rsid w:val="0037096B"/>
    <w:rsid w:val="00374878"/>
    <w:rsid w:val="00385E34"/>
    <w:rsid w:val="0039360F"/>
    <w:rsid w:val="003950C8"/>
    <w:rsid w:val="003A1079"/>
    <w:rsid w:val="003A450F"/>
    <w:rsid w:val="003A70C4"/>
    <w:rsid w:val="003B03F5"/>
    <w:rsid w:val="003B2BA5"/>
    <w:rsid w:val="003B6F50"/>
    <w:rsid w:val="003C1864"/>
    <w:rsid w:val="003C4F84"/>
    <w:rsid w:val="003C59CE"/>
    <w:rsid w:val="003D581A"/>
    <w:rsid w:val="003F120B"/>
    <w:rsid w:val="003F2BA1"/>
    <w:rsid w:val="003F2E31"/>
    <w:rsid w:val="003F3F49"/>
    <w:rsid w:val="003F443C"/>
    <w:rsid w:val="0040216D"/>
    <w:rsid w:val="00402818"/>
    <w:rsid w:val="00405A2F"/>
    <w:rsid w:val="00407594"/>
    <w:rsid w:val="004116AC"/>
    <w:rsid w:val="004128C0"/>
    <w:rsid w:val="00415A19"/>
    <w:rsid w:val="0041705D"/>
    <w:rsid w:val="00422E30"/>
    <w:rsid w:val="00427B24"/>
    <w:rsid w:val="004315D0"/>
    <w:rsid w:val="00431C6C"/>
    <w:rsid w:val="00436194"/>
    <w:rsid w:val="00436DAC"/>
    <w:rsid w:val="00441A26"/>
    <w:rsid w:val="004471E6"/>
    <w:rsid w:val="00457875"/>
    <w:rsid w:val="004646AB"/>
    <w:rsid w:val="00464AE7"/>
    <w:rsid w:val="00464BC8"/>
    <w:rsid w:val="004651C1"/>
    <w:rsid w:val="00467282"/>
    <w:rsid w:val="00474525"/>
    <w:rsid w:val="00475829"/>
    <w:rsid w:val="004767DE"/>
    <w:rsid w:val="004803DB"/>
    <w:rsid w:val="00480FCE"/>
    <w:rsid w:val="00481EE7"/>
    <w:rsid w:val="00484876"/>
    <w:rsid w:val="00484988"/>
    <w:rsid w:val="004860C6"/>
    <w:rsid w:val="00486902"/>
    <w:rsid w:val="00490853"/>
    <w:rsid w:val="00491FF6"/>
    <w:rsid w:val="00492144"/>
    <w:rsid w:val="0049260C"/>
    <w:rsid w:val="0049568F"/>
    <w:rsid w:val="004A05D1"/>
    <w:rsid w:val="004A0789"/>
    <w:rsid w:val="004A22E5"/>
    <w:rsid w:val="004A2AF7"/>
    <w:rsid w:val="004B6AE6"/>
    <w:rsid w:val="004B72DD"/>
    <w:rsid w:val="004C1A7E"/>
    <w:rsid w:val="004C521E"/>
    <w:rsid w:val="004D74F9"/>
    <w:rsid w:val="004E26FC"/>
    <w:rsid w:val="004E55AF"/>
    <w:rsid w:val="004F50BB"/>
    <w:rsid w:val="004F611C"/>
    <w:rsid w:val="004F6875"/>
    <w:rsid w:val="005020EC"/>
    <w:rsid w:val="00502570"/>
    <w:rsid w:val="00506C3E"/>
    <w:rsid w:val="00517F12"/>
    <w:rsid w:val="005211B3"/>
    <w:rsid w:val="00527751"/>
    <w:rsid w:val="00533F0B"/>
    <w:rsid w:val="005366BF"/>
    <w:rsid w:val="005375DF"/>
    <w:rsid w:val="00540A04"/>
    <w:rsid w:val="005412AD"/>
    <w:rsid w:val="005432A2"/>
    <w:rsid w:val="00543E8D"/>
    <w:rsid w:val="0054482B"/>
    <w:rsid w:val="00545E25"/>
    <w:rsid w:val="005507B3"/>
    <w:rsid w:val="00551B36"/>
    <w:rsid w:val="005551C7"/>
    <w:rsid w:val="00555411"/>
    <w:rsid w:val="00557526"/>
    <w:rsid w:val="00564B2E"/>
    <w:rsid w:val="00570D51"/>
    <w:rsid w:val="00574B0E"/>
    <w:rsid w:val="00582BF5"/>
    <w:rsid w:val="005862C9"/>
    <w:rsid w:val="00587488"/>
    <w:rsid w:val="00587DB2"/>
    <w:rsid w:val="005A5586"/>
    <w:rsid w:val="005A60C8"/>
    <w:rsid w:val="005B0927"/>
    <w:rsid w:val="005B2420"/>
    <w:rsid w:val="005B337E"/>
    <w:rsid w:val="005B6F99"/>
    <w:rsid w:val="005C65DD"/>
    <w:rsid w:val="005D0293"/>
    <w:rsid w:val="005D19AC"/>
    <w:rsid w:val="005D6F89"/>
    <w:rsid w:val="005E3B0B"/>
    <w:rsid w:val="006014C7"/>
    <w:rsid w:val="00601B15"/>
    <w:rsid w:val="00603BC7"/>
    <w:rsid w:val="006059A1"/>
    <w:rsid w:val="006119C6"/>
    <w:rsid w:val="00612635"/>
    <w:rsid w:val="00616F6A"/>
    <w:rsid w:val="00617B8E"/>
    <w:rsid w:val="00617F1D"/>
    <w:rsid w:val="006243EA"/>
    <w:rsid w:val="00634B72"/>
    <w:rsid w:val="006370C5"/>
    <w:rsid w:val="00650E9B"/>
    <w:rsid w:val="00653B1C"/>
    <w:rsid w:val="006558E4"/>
    <w:rsid w:val="006702E9"/>
    <w:rsid w:val="00673E0E"/>
    <w:rsid w:val="00675B01"/>
    <w:rsid w:val="00675E7B"/>
    <w:rsid w:val="00681AE1"/>
    <w:rsid w:val="00692741"/>
    <w:rsid w:val="0069395A"/>
    <w:rsid w:val="006A1825"/>
    <w:rsid w:val="006A29DE"/>
    <w:rsid w:val="006A60DA"/>
    <w:rsid w:val="006A6726"/>
    <w:rsid w:val="006B0743"/>
    <w:rsid w:val="006C0243"/>
    <w:rsid w:val="006C33CE"/>
    <w:rsid w:val="006C397F"/>
    <w:rsid w:val="006C46D3"/>
    <w:rsid w:val="006C5F58"/>
    <w:rsid w:val="006D2DCD"/>
    <w:rsid w:val="006E565D"/>
    <w:rsid w:val="006E5958"/>
    <w:rsid w:val="006F454F"/>
    <w:rsid w:val="006F504E"/>
    <w:rsid w:val="006F64D0"/>
    <w:rsid w:val="006F6F12"/>
    <w:rsid w:val="00700D62"/>
    <w:rsid w:val="0070429B"/>
    <w:rsid w:val="007047FC"/>
    <w:rsid w:val="007078F8"/>
    <w:rsid w:val="00711CFC"/>
    <w:rsid w:val="00712861"/>
    <w:rsid w:val="00717F11"/>
    <w:rsid w:val="0072780E"/>
    <w:rsid w:val="0073214C"/>
    <w:rsid w:val="00732C34"/>
    <w:rsid w:val="0073620A"/>
    <w:rsid w:val="00742984"/>
    <w:rsid w:val="00743448"/>
    <w:rsid w:val="0074404A"/>
    <w:rsid w:val="00746300"/>
    <w:rsid w:val="007531D6"/>
    <w:rsid w:val="00753398"/>
    <w:rsid w:val="007575F6"/>
    <w:rsid w:val="0076291F"/>
    <w:rsid w:val="00764F36"/>
    <w:rsid w:val="00767FE4"/>
    <w:rsid w:val="00770A33"/>
    <w:rsid w:val="00774081"/>
    <w:rsid w:val="00775FA9"/>
    <w:rsid w:val="007845F0"/>
    <w:rsid w:val="00786E70"/>
    <w:rsid w:val="00791893"/>
    <w:rsid w:val="00794BC8"/>
    <w:rsid w:val="0079661F"/>
    <w:rsid w:val="007A09D8"/>
    <w:rsid w:val="007A25C5"/>
    <w:rsid w:val="007A41CE"/>
    <w:rsid w:val="007A7A66"/>
    <w:rsid w:val="007B0912"/>
    <w:rsid w:val="007B0FA4"/>
    <w:rsid w:val="007B3ADE"/>
    <w:rsid w:val="007B6451"/>
    <w:rsid w:val="007B7DE3"/>
    <w:rsid w:val="007C5784"/>
    <w:rsid w:val="007D22D7"/>
    <w:rsid w:val="007D36BF"/>
    <w:rsid w:val="007E095D"/>
    <w:rsid w:val="007E2FB8"/>
    <w:rsid w:val="007F1E09"/>
    <w:rsid w:val="007F5638"/>
    <w:rsid w:val="007F7F85"/>
    <w:rsid w:val="00802B00"/>
    <w:rsid w:val="00805034"/>
    <w:rsid w:val="0080568C"/>
    <w:rsid w:val="00806F64"/>
    <w:rsid w:val="008167B9"/>
    <w:rsid w:val="00824537"/>
    <w:rsid w:val="00824971"/>
    <w:rsid w:val="00824F02"/>
    <w:rsid w:val="00825959"/>
    <w:rsid w:val="00826775"/>
    <w:rsid w:val="00830BED"/>
    <w:rsid w:val="00834C35"/>
    <w:rsid w:val="008362C7"/>
    <w:rsid w:val="008448B4"/>
    <w:rsid w:val="008475C0"/>
    <w:rsid w:val="00862573"/>
    <w:rsid w:val="00863613"/>
    <w:rsid w:val="0086723A"/>
    <w:rsid w:val="00867C01"/>
    <w:rsid w:val="00872C92"/>
    <w:rsid w:val="00873ADF"/>
    <w:rsid w:val="00874A36"/>
    <w:rsid w:val="008754E1"/>
    <w:rsid w:val="008758B4"/>
    <w:rsid w:val="00875956"/>
    <w:rsid w:val="008778E4"/>
    <w:rsid w:val="00880847"/>
    <w:rsid w:val="00880CD9"/>
    <w:rsid w:val="008812C4"/>
    <w:rsid w:val="00882163"/>
    <w:rsid w:val="00885C39"/>
    <w:rsid w:val="0089214B"/>
    <w:rsid w:val="00895563"/>
    <w:rsid w:val="008A1CA0"/>
    <w:rsid w:val="008A4070"/>
    <w:rsid w:val="008A4B98"/>
    <w:rsid w:val="008A705C"/>
    <w:rsid w:val="008B1B0F"/>
    <w:rsid w:val="008B1FC0"/>
    <w:rsid w:val="008B289A"/>
    <w:rsid w:val="008B5F5A"/>
    <w:rsid w:val="008C17E0"/>
    <w:rsid w:val="008C1FA0"/>
    <w:rsid w:val="008D3608"/>
    <w:rsid w:val="008D7A74"/>
    <w:rsid w:val="008E4A08"/>
    <w:rsid w:val="008F1757"/>
    <w:rsid w:val="008F1BAE"/>
    <w:rsid w:val="008F2DDA"/>
    <w:rsid w:val="008F70CE"/>
    <w:rsid w:val="008F7BC7"/>
    <w:rsid w:val="00901C50"/>
    <w:rsid w:val="00905840"/>
    <w:rsid w:val="00907517"/>
    <w:rsid w:val="00913404"/>
    <w:rsid w:val="00917ECD"/>
    <w:rsid w:val="00921502"/>
    <w:rsid w:val="009235B3"/>
    <w:rsid w:val="00924401"/>
    <w:rsid w:val="00932AB6"/>
    <w:rsid w:val="00932CAC"/>
    <w:rsid w:val="009334A6"/>
    <w:rsid w:val="00935A48"/>
    <w:rsid w:val="00936788"/>
    <w:rsid w:val="00941C5E"/>
    <w:rsid w:val="00945030"/>
    <w:rsid w:val="00950D1A"/>
    <w:rsid w:val="0095275D"/>
    <w:rsid w:val="00952B4D"/>
    <w:rsid w:val="009557FE"/>
    <w:rsid w:val="00961882"/>
    <w:rsid w:val="00961D37"/>
    <w:rsid w:val="0096369A"/>
    <w:rsid w:val="00965405"/>
    <w:rsid w:val="00971BB0"/>
    <w:rsid w:val="00974072"/>
    <w:rsid w:val="00974B4D"/>
    <w:rsid w:val="00977F6F"/>
    <w:rsid w:val="009873B9"/>
    <w:rsid w:val="00990A48"/>
    <w:rsid w:val="009912F6"/>
    <w:rsid w:val="00997F43"/>
    <w:rsid w:val="009B0E02"/>
    <w:rsid w:val="009B2629"/>
    <w:rsid w:val="009B2B57"/>
    <w:rsid w:val="009B3333"/>
    <w:rsid w:val="009B4595"/>
    <w:rsid w:val="009B7315"/>
    <w:rsid w:val="009C0617"/>
    <w:rsid w:val="009C171D"/>
    <w:rsid w:val="009C27A3"/>
    <w:rsid w:val="009C6172"/>
    <w:rsid w:val="009D0480"/>
    <w:rsid w:val="009D0CE8"/>
    <w:rsid w:val="009D0D89"/>
    <w:rsid w:val="009D5845"/>
    <w:rsid w:val="009D60DC"/>
    <w:rsid w:val="009D6911"/>
    <w:rsid w:val="009E470C"/>
    <w:rsid w:val="009F082E"/>
    <w:rsid w:val="009F1024"/>
    <w:rsid w:val="009F24AF"/>
    <w:rsid w:val="009F6996"/>
    <w:rsid w:val="00A043AA"/>
    <w:rsid w:val="00A0798E"/>
    <w:rsid w:val="00A11DFB"/>
    <w:rsid w:val="00A16177"/>
    <w:rsid w:val="00A23254"/>
    <w:rsid w:val="00A2438B"/>
    <w:rsid w:val="00A413D9"/>
    <w:rsid w:val="00A45C41"/>
    <w:rsid w:val="00A63E35"/>
    <w:rsid w:val="00A677AB"/>
    <w:rsid w:val="00A72192"/>
    <w:rsid w:val="00A72810"/>
    <w:rsid w:val="00A72BFF"/>
    <w:rsid w:val="00A72E84"/>
    <w:rsid w:val="00A7472A"/>
    <w:rsid w:val="00A814EE"/>
    <w:rsid w:val="00A85036"/>
    <w:rsid w:val="00A87246"/>
    <w:rsid w:val="00A91160"/>
    <w:rsid w:val="00A9182A"/>
    <w:rsid w:val="00A935F0"/>
    <w:rsid w:val="00A97AF3"/>
    <w:rsid w:val="00AA46A9"/>
    <w:rsid w:val="00AA488C"/>
    <w:rsid w:val="00AB05EB"/>
    <w:rsid w:val="00AB72A7"/>
    <w:rsid w:val="00AC4D20"/>
    <w:rsid w:val="00AC64B8"/>
    <w:rsid w:val="00AD3D9E"/>
    <w:rsid w:val="00AD5A12"/>
    <w:rsid w:val="00AE1636"/>
    <w:rsid w:val="00AE4203"/>
    <w:rsid w:val="00AE43ED"/>
    <w:rsid w:val="00AF2D22"/>
    <w:rsid w:val="00AF4D58"/>
    <w:rsid w:val="00B00417"/>
    <w:rsid w:val="00B173FC"/>
    <w:rsid w:val="00B20280"/>
    <w:rsid w:val="00B20425"/>
    <w:rsid w:val="00B25A26"/>
    <w:rsid w:val="00B26053"/>
    <w:rsid w:val="00B26728"/>
    <w:rsid w:val="00B30C84"/>
    <w:rsid w:val="00B3649E"/>
    <w:rsid w:val="00B4177E"/>
    <w:rsid w:val="00B4320B"/>
    <w:rsid w:val="00B46CD5"/>
    <w:rsid w:val="00B50B25"/>
    <w:rsid w:val="00B5146E"/>
    <w:rsid w:val="00B5433C"/>
    <w:rsid w:val="00B55087"/>
    <w:rsid w:val="00B55677"/>
    <w:rsid w:val="00B55DA9"/>
    <w:rsid w:val="00B56D22"/>
    <w:rsid w:val="00B57977"/>
    <w:rsid w:val="00B6255C"/>
    <w:rsid w:val="00B67C3D"/>
    <w:rsid w:val="00B7251F"/>
    <w:rsid w:val="00B74599"/>
    <w:rsid w:val="00B76BE4"/>
    <w:rsid w:val="00B83088"/>
    <w:rsid w:val="00B85B65"/>
    <w:rsid w:val="00B86660"/>
    <w:rsid w:val="00B86A8E"/>
    <w:rsid w:val="00B8707C"/>
    <w:rsid w:val="00B9007D"/>
    <w:rsid w:val="00B94659"/>
    <w:rsid w:val="00B97689"/>
    <w:rsid w:val="00B97B52"/>
    <w:rsid w:val="00BA186B"/>
    <w:rsid w:val="00BA642F"/>
    <w:rsid w:val="00BA7238"/>
    <w:rsid w:val="00BB4849"/>
    <w:rsid w:val="00BD2985"/>
    <w:rsid w:val="00BD39A0"/>
    <w:rsid w:val="00BD4FE8"/>
    <w:rsid w:val="00BD57E7"/>
    <w:rsid w:val="00BD71FD"/>
    <w:rsid w:val="00BD7895"/>
    <w:rsid w:val="00BE1A0B"/>
    <w:rsid w:val="00BE36FC"/>
    <w:rsid w:val="00BE5C58"/>
    <w:rsid w:val="00BE60C2"/>
    <w:rsid w:val="00BE6559"/>
    <w:rsid w:val="00BE67AA"/>
    <w:rsid w:val="00BF354F"/>
    <w:rsid w:val="00BF538D"/>
    <w:rsid w:val="00C11FCF"/>
    <w:rsid w:val="00C13FCB"/>
    <w:rsid w:val="00C14190"/>
    <w:rsid w:val="00C1481B"/>
    <w:rsid w:val="00C17CCD"/>
    <w:rsid w:val="00C21016"/>
    <w:rsid w:val="00C233BA"/>
    <w:rsid w:val="00C27FAE"/>
    <w:rsid w:val="00C308AC"/>
    <w:rsid w:val="00C31358"/>
    <w:rsid w:val="00C330FC"/>
    <w:rsid w:val="00C4054E"/>
    <w:rsid w:val="00C41343"/>
    <w:rsid w:val="00C4392C"/>
    <w:rsid w:val="00C46DA5"/>
    <w:rsid w:val="00C501CD"/>
    <w:rsid w:val="00C51537"/>
    <w:rsid w:val="00C54686"/>
    <w:rsid w:val="00C56462"/>
    <w:rsid w:val="00C571A1"/>
    <w:rsid w:val="00C57979"/>
    <w:rsid w:val="00C60744"/>
    <w:rsid w:val="00C62501"/>
    <w:rsid w:val="00C65CD1"/>
    <w:rsid w:val="00C72343"/>
    <w:rsid w:val="00C75DF5"/>
    <w:rsid w:val="00C776F9"/>
    <w:rsid w:val="00C80064"/>
    <w:rsid w:val="00C82274"/>
    <w:rsid w:val="00C86655"/>
    <w:rsid w:val="00CB18A4"/>
    <w:rsid w:val="00CC0C30"/>
    <w:rsid w:val="00CC1A08"/>
    <w:rsid w:val="00CC359C"/>
    <w:rsid w:val="00CC5D61"/>
    <w:rsid w:val="00CC76BD"/>
    <w:rsid w:val="00CD0630"/>
    <w:rsid w:val="00CD502B"/>
    <w:rsid w:val="00CD5FE8"/>
    <w:rsid w:val="00CD6E24"/>
    <w:rsid w:val="00CD7DAB"/>
    <w:rsid w:val="00CE05F8"/>
    <w:rsid w:val="00CE1DE6"/>
    <w:rsid w:val="00CE2C40"/>
    <w:rsid w:val="00CE45E7"/>
    <w:rsid w:val="00CE677A"/>
    <w:rsid w:val="00CE6EB0"/>
    <w:rsid w:val="00CF324D"/>
    <w:rsid w:val="00CF4BCA"/>
    <w:rsid w:val="00CF5B41"/>
    <w:rsid w:val="00D030D6"/>
    <w:rsid w:val="00D04785"/>
    <w:rsid w:val="00D10687"/>
    <w:rsid w:val="00D20AE4"/>
    <w:rsid w:val="00D2104A"/>
    <w:rsid w:val="00D21B3E"/>
    <w:rsid w:val="00D22576"/>
    <w:rsid w:val="00D36FE8"/>
    <w:rsid w:val="00D4509D"/>
    <w:rsid w:val="00D46133"/>
    <w:rsid w:val="00D50F38"/>
    <w:rsid w:val="00D5226C"/>
    <w:rsid w:val="00D5554F"/>
    <w:rsid w:val="00D55C25"/>
    <w:rsid w:val="00D57F27"/>
    <w:rsid w:val="00D6466F"/>
    <w:rsid w:val="00D65AB2"/>
    <w:rsid w:val="00D67102"/>
    <w:rsid w:val="00D72113"/>
    <w:rsid w:val="00D761FF"/>
    <w:rsid w:val="00D778A7"/>
    <w:rsid w:val="00D86412"/>
    <w:rsid w:val="00D939F3"/>
    <w:rsid w:val="00D93F57"/>
    <w:rsid w:val="00D96118"/>
    <w:rsid w:val="00D96432"/>
    <w:rsid w:val="00D96799"/>
    <w:rsid w:val="00DA2ABC"/>
    <w:rsid w:val="00DA2FA6"/>
    <w:rsid w:val="00DA2FC2"/>
    <w:rsid w:val="00DA3D45"/>
    <w:rsid w:val="00DA4B40"/>
    <w:rsid w:val="00DB0C60"/>
    <w:rsid w:val="00DB271C"/>
    <w:rsid w:val="00DC14DA"/>
    <w:rsid w:val="00DC4256"/>
    <w:rsid w:val="00DC4322"/>
    <w:rsid w:val="00DC4729"/>
    <w:rsid w:val="00DC52F7"/>
    <w:rsid w:val="00DC7314"/>
    <w:rsid w:val="00DC73DE"/>
    <w:rsid w:val="00DC73F8"/>
    <w:rsid w:val="00DD52F3"/>
    <w:rsid w:val="00DD5862"/>
    <w:rsid w:val="00DD76F7"/>
    <w:rsid w:val="00DE0A05"/>
    <w:rsid w:val="00DE2F2B"/>
    <w:rsid w:val="00DE3C47"/>
    <w:rsid w:val="00DE730D"/>
    <w:rsid w:val="00DF003B"/>
    <w:rsid w:val="00DF373D"/>
    <w:rsid w:val="00DF415E"/>
    <w:rsid w:val="00E0624B"/>
    <w:rsid w:val="00E15E06"/>
    <w:rsid w:val="00E27FCD"/>
    <w:rsid w:val="00E42765"/>
    <w:rsid w:val="00E4287B"/>
    <w:rsid w:val="00E42B0F"/>
    <w:rsid w:val="00E4515B"/>
    <w:rsid w:val="00E453A0"/>
    <w:rsid w:val="00E470D5"/>
    <w:rsid w:val="00E5066E"/>
    <w:rsid w:val="00E50A00"/>
    <w:rsid w:val="00E51EDA"/>
    <w:rsid w:val="00E549CC"/>
    <w:rsid w:val="00E575CC"/>
    <w:rsid w:val="00E579AC"/>
    <w:rsid w:val="00E63E7C"/>
    <w:rsid w:val="00E65F46"/>
    <w:rsid w:val="00E67B3B"/>
    <w:rsid w:val="00E7476C"/>
    <w:rsid w:val="00E761C4"/>
    <w:rsid w:val="00E77047"/>
    <w:rsid w:val="00E775D9"/>
    <w:rsid w:val="00E80C4F"/>
    <w:rsid w:val="00E839DB"/>
    <w:rsid w:val="00E84691"/>
    <w:rsid w:val="00E86B88"/>
    <w:rsid w:val="00E87BC5"/>
    <w:rsid w:val="00E93727"/>
    <w:rsid w:val="00E96E7F"/>
    <w:rsid w:val="00E97900"/>
    <w:rsid w:val="00EA11C0"/>
    <w:rsid w:val="00EA14B5"/>
    <w:rsid w:val="00EB2156"/>
    <w:rsid w:val="00EB2FAE"/>
    <w:rsid w:val="00EC516F"/>
    <w:rsid w:val="00ED101C"/>
    <w:rsid w:val="00EE0092"/>
    <w:rsid w:val="00EE37C5"/>
    <w:rsid w:val="00EE5748"/>
    <w:rsid w:val="00EE65A1"/>
    <w:rsid w:val="00EE6619"/>
    <w:rsid w:val="00EF22E8"/>
    <w:rsid w:val="00EF3F0C"/>
    <w:rsid w:val="00F022E7"/>
    <w:rsid w:val="00F027B3"/>
    <w:rsid w:val="00F07DDE"/>
    <w:rsid w:val="00F10C6A"/>
    <w:rsid w:val="00F12A18"/>
    <w:rsid w:val="00F13A90"/>
    <w:rsid w:val="00F14483"/>
    <w:rsid w:val="00F1518D"/>
    <w:rsid w:val="00F17A2E"/>
    <w:rsid w:val="00F21872"/>
    <w:rsid w:val="00F233C6"/>
    <w:rsid w:val="00F321A0"/>
    <w:rsid w:val="00F32522"/>
    <w:rsid w:val="00F34902"/>
    <w:rsid w:val="00F420FC"/>
    <w:rsid w:val="00F43884"/>
    <w:rsid w:val="00F458EE"/>
    <w:rsid w:val="00F50A7C"/>
    <w:rsid w:val="00F52026"/>
    <w:rsid w:val="00F54CCD"/>
    <w:rsid w:val="00F5563A"/>
    <w:rsid w:val="00F57FF9"/>
    <w:rsid w:val="00F63D5F"/>
    <w:rsid w:val="00F66174"/>
    <w:rsid w:val="00F7401A"/>
    <w:rsid w:val="00F850D2"/>
    <w:rsid w:val="00F9188A"/>
    <w:rsid w:val="00F9216A"/>
    <w:rsid w:val="00F97FB5"/>
    <w:rsid w:val="00FA24C3"/>
    <w:rsid w:val="00FA3CC0"/>
    <w:rsid w:val="00FA41DE"/>
    <w:rsid w:val="00FA4DAF"/>
    <w:rsid w:val="00FB0FE7"/>
    <w:rsid w:val="00FB11B8"/>
    <w:rsid w:val="00FC368A"/>
    <w:rsid w:val="00FC4177"/>
    <w:rsid w:val="00FC779A"/>
    <w:rsid w:val="00FC7E8A"/>
    <w:rsid w:val="00FD3492"/>
    <w:rsid w:val="00FD46C7"/>
    <w:rsid w:val="00FD59A0"/>
    <w:rsid w:val="00FE054B"/>
    <w:rsid w:val="00FE30A8"/>
    <w:rsid w:val="00FE5B76"/>
    <w:rsid w:val="00FE7AB0"/>
    <w:rsid w:val="00FF2CC9"/>
    <w:rsid w:val="00FF6348"/>
    <w:rsid w:val="00FF6FCE"/>
    <w:rsid w:val="10E629C8"/>
    <w:rsid w:val="75FDCB8A"/>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B0053"/>
  <w15:docId w15:val="{0F7B333E-0585-4711-9486-D451B5ED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D37"/>
    <w:pPr>
      <w:spacing w:after="120" w:line="240" w:lineRule="auto"/>
    </w:pPr>
    <w:rPr>
      <w:rFonts w:ascii="Arial" w:hAnsi="Arial"/>
      <w:color w:val="414141"/>
      <w:sz w:val="20"/>
      <w:lang w:val="en-US"/>
    </w:rPr>
  </w:style>
  <w:style w:type="paragraph" w:styleId="Heading1">
    <w:name w:val="heading 1"/>
    <w:basedOn w:val="Normal"/>
    <w:next w:val="BodyText"/>
    <w:link w:val="Heading1Char"/>
    <w:uiPriority w:val="9"/>
    <w:qFormat/>
    <w:rsid w:val="00961D37"/>
    <w:pPr>
      <w:keepNext/>
      <w:keepLines/>
      <w:pageBreakBefore/>
      <w:spacing w:before="360" w:after="360"/>
      <w:outlineLvl w:val="0"/>
    </w:pPr>
    <w:rPr>
      <w:rFonts w:eastAsiaTheme="majorEastAsia" w:cstheme="majorBidi"/>
      <w:bCs/>
      <w:sz w:val="32"/>
      <w:szCs w:val="28"/>
    </w:rPr>
  </w:style>
  <w:style w:type="paragraph" w:styleId="Heading2">
    <w:name w:val="heading 2"/>
    <w:basedOn w:val="Normal"/>
    <w:next w:val="BodyText"/>
    <w:link w:val="Heading2Char"/>
    <w:uiPriority w:val="9"/>
    <w:unhideWhenUsed/>
    <w:qFormat/>
    <w:rsid w:val="00961D37"/>
    <w:pPr>
      <w:keepNext/>
      <w:keepLines/>
      <w:spacing w:before="240" w:after="240"/>
      <w:outlineLvl w:val="1"/>
    </w:pPr>
    <w:rPr>
      <w:rFonts w:eastAsiaTheme="majorEastAsia" w:cstheme="majorBidi"/>
      <w:bCs/>
      <w:sz w:val="28"/>
      <w:szCs w:val="26"/>
    </w:rPr>
  </w:style>
  <w:style w:type="paragraph" w:styleId="Heading3">
    <w:name w:val="heading 3"/>
    <w:basedOn w:val="Normal"/>
    <w:next w:val="BodyText"/>
    <w:link w:val="Heading3Char"/>
    <w:uiPriority w:val="9"/>
    <w:unhideWhenUsed/>
    <w:qFormat/>
    <w:rsid w:val="00961D37"/>
    <w:pPr>
      <w:keepNext/>
      <w:keepLines/>
      <w:spacing w:before="240" w:after="240"/>
      <w:outlineLvl w:val="2"/>
    </w:pPr>
    <w:rPr>
      <w:rFonts w:eastAsiaTheme="majorEastAsia" w:cstheme="majorBidi"/>
      <w:bCs/>
      <w:sz w:val="24"/>
    </w:rPr>
  </w:style>
  <w:style w:type="paragraph" w:styleId="Heading4">
    <w:name w:val="heading 4"/>
    <w:basedOn w:val="Normal"/>
    <w:next w:val="BodyText"/>
    <w:link w:val="Heading4Char"/>
    <w:uiPriority w:val="9"/>
    <w:unhideWhenUsed/>
    <w:qFormat/>
    <w:rsid w:val="00961D37"/>
    <w:pPr>
      <w:keepNext/>
      <w:keepLines/>
      <w:spacing w:before="240"/>
      <w:outlineLvl w:val="3"/>
    </w:pPr>
    <w:rPr>
      <w:rFonts w:eastAsiaTheme="majorEastAsia" w:cstheme="majorBidi"/>
      <w:bCs/>
      <w:iCs/>
      <w:sz w:val="22"/>
    </w:rPr>
  </w:style>
  <w:style w:type="paragraph" w:styleId="Heading5">
    <w:name w:val="heading 5"/>
    <w:basedOn w:val="Normal"/>
    <w:next w:val="Normal"/>
    <w:link w:val="Heading5Char"/>
    <w:uiPriority w:val="9"/>
    <w:unhideWhenUsed/>
    <w:qFormat/>
    <w:rsid w:val="00961D37"/>
    <w:pPr>
      <w:keepNext/>
      <w:keepLines/>
      <w:spacing w:before="240"/>
      <w:outlineLvl w:val="4"/>
    </w:pPr>
    <w:rPr>
      <w:rFonts w:eastAsiaTheme="majorEastAsia" w:cstheme="majorBidi"/>
    </w:rPr>
  </w:style>
  <w:style w:type="paragraph" w:styleId="Heading6">
    <w:name w:val="heading 6"/>
    <w:basedOn w:val="Normal"/>
    <w:next w:val="Normal"/>
    <w:link w:val="Heading6Char"/>
    <w:uiPriority w:val="9"/>
    <w:semiHidden/>
    <w:unhideWhenUsed/>
    <w:rsid w:val="00961D37"/>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61D3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61D3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1D3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qFormat/>
    <w:rsid w:val="00961D37"/>
  </w:style>
  <w:style w:type="character" w:customStyle="1" w:styleId="Heading1Char">
    <w:name w:val="Heading 1 Char"/>
    <w:basedOn w:val="DefaultParagraphFont"/>
    <w:link w:val="Heading1"/>
    <w:uiPriority w:val="9"/>
    <w:rsid w:val="00961D37"/>
    <w:rPr>
      <w:rFonts w:ascii="Arial" w:eastAsiaTheme="majorEastAsia" w:hAnsi="Arial" w:cstheme="majorBidi"/>
      <w:bCs/>
      <w:color w:val="414141"/>
      <w:sz w:val="32"/>
      <w:szCs w:val="28"/>
      <w:lang w:val="en-US"/>
    </w:rPr>
  </w:style>
  <w:style w:type="character" w:customStyle="1" w:styleId="Heading2Char">
    <w:name w:val="Heading 2 Char"/>
    <w:basedOn w:val="DefaultParagraphFont"/>
    <w:link w:val="Heading2"/>
    <w:uiPriority w:val="9"/>
    <w:rsid w:val="00961D37"/>
    <w:rPr>
      <w:rFonts w:ascii="Arial" w:eastAsiaTheme="majorEastAsia" w:hAnsi="Arial" w:cstheme="majorBidi"/>
      <w:bCs/>
      <w:color w:val="414141"/>
      <w:sz w:val="28"/>
      <w:szCs w:val="26"/>
      <w:lang w:val="en-US"/>
    </w:rPr>
  </w:style>
  <w:style w:type="character" w:customStyle="1" w:styleId="Heading3Char">
    <w:name w:val="Heading 3 Char"/>
    <w:basedOn w:val="DefaultParagraphFont"/>
    <w:link w:val="Heading3"/>
    <w:uiPriority w:val="9"/>
    <w:rsid w:val="00961D37"/>
    <w:rPr>
      <w:rFonts w:ascii="Arial" w:eastAsiaTheme="majorEastAsia" w:hAnsi="Arial" w:cstheme="majorBidi"/>
      <w:bCs/>
      <w:color w:val="414141"/>
      <w:sz w:val="24"/>
      <w:lang w:val="en-US"/>
    </w:rPr>
  </w:style>
  <w:style w:type="character" w:customStyle="1" w:styleId="Heading4Char">
    <w:name w:val="Heading 4 Char"/>
    <w:basedOn w:val="DefaultParagraphFont"/>
    <w:link w:val="Heading4"/>
    <w:uiPriority w:val="9"/>
    <w:rsid w:val="00961D37"/>
    <w:rPr>
      <w:rFonts w:ascii="Arial" w:eastAsiaTheme="majorEastAsia" w:hAnsi="Arial" w:cstheme="majorBidi"/>
      <w:bCs/>
      <w:iCs/>
      <w:color w:val="414141"/>
      <w:lang w:val="en-US"/>
    </w:rPr>
  </w:style>
  <w:style w:type="character" w:customStyle="1" w:styleId="Heading5Char">
    <w:name w:val="Heading 5 Char"/>
    <w:basedOn w:val="DefaultParagraphFont"/>
    <w:link w:val="Heading5"/>
    <w:uiPriority w:val="9"/>
    <w:rsid w:val="00961D37"/>
    <w:rPr>
      <w:rFonts w:ascii="Arial" w:eastAsiaTheme="majorEastAsia" w:hAnsi="Arial" w:cstheme="majorBidi"/>
      <w:color w:val="414141"/>
      <w:sz w:val="20"/>
      <w:lang w:val="en-US"/>
    </w:rPr>
  </w:style>
  <w:style w:type="character" w:customStyle="1" w:styleId="Heading6Char">
    <w:name w:val="Heading 6 Char"/>
    <w:basedOn w:val="DefaultParagraphFont"/>
    <w:link w:val="Heading6"/>
    <w:uiPriority w:val="9"/>
    <w:semiHidden/>
    <w:rsid w:val="00961D37"/>
    <w:rPr>
      <w:rFonts w:asciiTheme="majorHAnsi" w:eastAsiaTheme="majorEastAsia" w:hAnsiTheme="majorHAnsi" w:cstheme="majorBidi"/>
      <w:color w:val="243F60" w:themeColor="accent1" w:themeShade="7F"/>
      <w:sz w:val="20"/>
      <w:lang w:val="en-US"/>
    </w:rPr>
  </w:style>
  <w:style w:type="character" w:customStyle="1" w:styleId="Heading7Char">
    <w:name w:val="Heading 7 Char"/>
    <w:basedOn w:val="DefaultParagraphFont"/>
    <w:link w:val="Heading7"/>
    <w:uiPriority w:val="9"/>
    <w:semiHidden/>
    <w:rsid w:val="00961D37"/>
    <w:rPr>
      <w:rFonts w:asciiTheme="majorHAnsi" w:eastAsiaTheme="majorEastAsia" w:hAnsiTheme="majorHAnsi" w:cstheme="majorBidi"/>
      <w:i/>
      <w:iCs/>
      <w:color w:val="243F60" w:themeColor="accent1" w:themeShade="7F"/>
      <w:sz w:val="20"/>
      <w:lang w:val="en-US"/>
    </w:rPr>
  </w:style>
  <w:style w:type="character" w:customStyle="1" w:styleId="Heading8Char">
    <w:name w:val="Heading 8 Char"/>
    <w:basedOn w:val="DefaultParagraphFont"/>
    <w:link w:val="Heading8"/>
    <w:uiPriority w:val="9"/>
    <w:semiHidden/>
    <w:rsid w:val="00961D3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61D37"/>
    <w:rPr>
      <w:rFonts w:asciiTheme="majorHAnsi" w:eastAsiaTheme="majorEastAsia" w:hAnsiTheme="majorHAnsi" w:cstheme="majorBidi"/>
      <w:i/>
      <w:iCs/>
      <w:color w:val="272727" w:themeColor="text1" w:themeTint="D8"/>
      <w:sz w:val="21"/>
      <w:szCs w:val="21"/>
      <w:lang w:val="en-US"/>
    </w:rPr>
  </w:style>
  <w:style w:type="paragraph" w:styleId="Footer">
    <w:name w:val="footer"/>
    <w:aliases w:val="Misys Footer"/>
    <w:basedOn w:val="Normal"/>
    <w:link w:val="FooterChar"/>
    <w:uiPriority w:val="99"/>
    <w:unhideWhenUsed/>
    <w:qFormat/>
    <w:rsid w:val="00961D37"/>
    <w:pPr>
      <w:tabs>
        <w:tab w:val="center" w:pos="4513"/>
        <w:tab w:val="right" w:pos="9026"/>
      </w:tabs>
      <w:spacing w:before="40" w:after="40"/>
    </w:pPr>
    <w:rPr>
      <w:sz w:val="16"/>
    </w:rPr>
  </w:style>
  <w:style w:type="character" w:customStyle="1" w:styleId="FooterChar">
    <w:name w:val="Footer Char"/>
    <w:aliases w:val="Misys Footer Char"/>
    <w:basedOn w:val="DefaultParagraphFont"/>
    <w:link w:val="Footer"/>
    <w:uiPriority w:val="99"/>
    <w:rsid w:val="00961D37"/>
    <w:rPr>
      <w:rFonts w:ascii="Arial" w:hAnsi="Arial"/>
      <w:color w:val="414141"/>
      <w:sz w:val="16"/>
      <w:lang w:val="en-US"/>
    </w:rPr>
  </w:style>
  <w:style w:type="paragraph" w:styleId="BalloonText">
    <w:name w:val="Balloon Text"/>
    <w:basedOn w:val="Normal"/>
    <w:link w:val="BalloonTextChar"/>
    <w:uiPriority w:val="99"/>
    <w:semiHidden/>
    <w:unhideWhenUsed/>
    <w:rsid w:val="00961D3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D37"/>
    <w:rPr>
      <w:rFonts w:ascii="Tahoma" w:hAnsi="Tahoma" w:cs="Tahoma"/>
      <w:color w:val="414141"/>
      <w:sz w:val="16"/>
      <w:szCs w:val="16"/>
      <w:lang w:val="en-US"/>
    </w:rPr>
  </w:style>
  <w:style w:type="character" w:styleId="Hyperlink">
    <w:name w:val="Hyperlink"/>
    <w:basedOn w:val="DefaultParagraphFont"/>
    <w:uiPriority w:val="99"/>
    <w:unhideWhenUsed/>
    <w:rsid w:val="00961D37"/>
    <w:rPr>
      <w:color w:val="C137A2"/>
      <w:u w:val="none"/>
    </w:rPr>
  </w:style>
  <w:style w:type="paragraph" w:customStyle="1" w:styleId="CodeSnippet2">
    <w:name w:val="CodeSnippet 2"/>
    <w:basedOn w:val="Normal"/>
    <w:qFormat/>
    <w:rsid w:val="00C330FC"/>
    <w:pPr>
      <w:pBdr>
        <w:top w:val="single" w:sz="8" w:space="1" w:color="BFBFBF"/>
        <w:left w:val="single" w:sz="8" w:space="4" w:color="BFBFBF"/>
        <w:bottom w:val="single" w:sz="8" w:space="1" w:color="BFBFBF"/>
        <w:right w:val="single" w:sz="8" w:space="4" w:color="BFBFBF"/>
      </w:pBdr>
      <w:spacing w:before="60" w:after="60"/>
    </w:pPr>
    <w:rPr>
      <w:rFonts w:ascii="Courier New" w:hAnsi="Courier New"/>
      <w:sz w:val="18"/>
    </w:rPr>
  </w:style>
  <w:style w:type="paragraph" w:styleId="Header">
    <w:name w:val="header"/>
    <w:basedOn w:val="Normal"/>
    <w:link w:val="HeaderChar"/>
    <w:uiPriority w:val="99"/>
    <w:unhideWhenUsed/>
    <w:rsid w:val="00961D37"/>
    <w:pPr>
      <w:pBdr>
        <w:bottom w:val="single" w:sz="4" w:space="6" w:color="A6A6A6" w:themeColor="background1" w:themeShade="A6"/>
      </w:pBdr>
      <w:tabs>
        <w:tab w:val="center" w:pos="4513"/>
        <w:tab w:val="right" w:pos="9026"/>
      </w:tabs>
      <w:spacing w:after="40"/>
    </w:pPr>
    <w:rPr>
      <w:caps/>
      <w:sz w:val="16"/>
    </w:rPr>
  </w:style>
  <w:style w:type="character" w:customStyle="1" w:styleId="HeaderChar">
    <w:name w:val="Header Char"/>
    <w:basedOn w:val="DefaultParagraphFont"/>
    <w:link w:val="Header"/>
    <w:uiPriority w:val="99"/>
    <w:rsid w:val="00961D37"/>
    <w:rPr>
      <w:rFonts w:ascii="Arial" w:hAnsi="Arial"/>
      <w:caps/>
      <w:color w:val="414141"/>
      <w:sz w:val="16"/>
      <w:lang w:val="en-US"/>
    </w:rPr>
  </w:style>
  <w:style w:type="table" w:styleId="TableGrid">
    <w:name w:val="Table Grid"/>
    <w:aliases w:val="TableGridHeader"/>
    <w:basedOn w:val="TableNormal"/>
    <w:uiPriority w:val="59"/>
    <w:rsid w:val="00961D37"/>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paragraph" w:customStyle="1" w:styleId="TableHead2">
    <w:name w:val="TableHead 2"/>
    <w:basedOn w:val="TableHeading"/>
    <w:qFormat/>
    <w:rsid w:val="00AD5A12"/>
    <w:rPr>
      <w:sz w:val="18"/>
      <w:szCs w:val="20"/>
      <w:lang w:eastAsia="zh-CN"/>
    </w:rPr>
  </w:style>
  <w:style w:type="paragraph" w:customStyle="1" w:styleId="TableHeading">
    <w:name w:val="TableHeading"/>
    <w:basedOn w:val="Normal"/>
    <w:semiHidden/>
    <w:qFormat/>
    <w:rsid w:val="00E97900"/>
    <w:pPr>
      <w:spacing w:before="120"/>
    </w:pPr>
    <w:rPr>
      <w:rFonts w:eastAsia="MS Mincho" w:cs="Times New Roman"/>
      <w:b/>
      <w:noProof/>
      <w:color w:val="FFFFFF"/>
    </w:rPr>
  </w:style>
  <w:style w:type="paragraph" w:styleId="TOC2">
    <w:name w:val="toc 2"/>
    <w:basedOn w:val="Normal"/>
    <w:next w:val="Normal"/>
    <w:uiPriority w:val="39"/>
    <w:unhideWhenUsed/>
    <w:rsid w:val="00961D37"/>
    <w:pPr>
      <w:tabs>
        <w:tab w:val="right" w:leader="dot" w:pos="9016"/>
      </w:tabs>
      <w:spacing w:after="100"/>
    </w:pPr>
    <w:rPr>
      <w:noProof/>
    </w:rPr>
  </w:style>
  <w:style w:type="paragraph" w:styleId="TOC1">
    <w:name w:val="toc 1"/>
    <w:basedOn w:val="Normal"/>
    <w:next w:val="Normal"/>
    <w:uiPriority w:val="39"/>
    <w:unhideWhenUsed/>
    <w:rsid w:val="00961D37"/>
    <w:pPr>
      <w:tabs>
        <w:tab w:val="left" w:pos="1080"/>
        <w:tab w:val="left" w:pos="1320"/>
        <w:tab w:val="right" w:leader="dot" w:pos="9016"/>
      </w:tabs>
      <w:spacing w:after="100"/>
    </w:pPr>
    <w:rPr>
      <w:b/>
      <w:caps/>
      <w:noProof/>
      <w:color w:val="C137A2"/>
    </w:rPr>
  </w:style>
  <w:style w:type="paragraph" w:styleId="TOC3">
    <w:name w:val="toc 3"/>
    <w:basedOn w:val="Normal"/>
    <w:next w:val="Normal"/>
    <w:uiPriority w:val="39"/>
    <w:unhideWhenUsed/>
    <w:rsid w:val="00961D37"/>
    <w:pPr>
      <w:tabs>
        <w:tab w:val="right" w:leader="dot" w:pos="9016"/>
      </w:tabs>
      <w:ind w:left="360"/>
    </w:pPr>
    <w:rPr>
      <w:noProof/>
      <w:sz w:val="18"/>
    </w:rPr>
  </w:style>
  <w:style w:type="table" w:customStyle="1" w:styleId="TableGridNoHeader">
    <w:name w:val="TableGridNoHeader"/>
    <w:basedOn w:val="TableNormal"/>
    <w:uiPriority w:val="99"/>
    <w:rsid w:val="00961D37"/>
    <w:pPr>
      <w:spacing w:after="0" w:line="240" w:lineRule="auto"/>
    </w:pPr>
    <w:rPr>
      <w:rFonts w:ascii="Avenir LT Std 65 Medium" w:hAnsi="Avenir LT Std 65 Medium"/>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band1Horz">
      <w:tblPr/>
      <w:tcPr>
        <w:shd w:val="clear" w:color="auto" w:fill="CECECE"/>
      </w:tcPr>
    </w:tblStylePr>
    <w:tblStylePr w:type="band2Horz">
      <w:tblPr/>
      <w:tcPr>
        <w:shd w:val="clear" w:color="auto" w:fill="F2F2F2"/>
      </w:tcPr>
    </w:tblStylePr>
  </w:style>
  <w:style w:type="character" w:styleId="FollowedHyperlink">
    <w:name w:val="FollowedHyperlink"/>
    <w:basedOn w:val="DefaultParagraphFont"/>
    <w:uiPriority w:val="99"/>
    <w:semiHidden/>
    <w:unhideWhenUsed/>
    <w:rsid w:val="00961D37"/>
    <w:rPr>
      <w:color w:val="800080" w:themeColor="followedHyperlink"/>
      <w:u w:val="single"/>
    </w:rPr>
  </w:style>
  <w:style w:type="paragraph" w:customStyle="1" w:styleId="Warning1">
    <w:name w:val="Warning1"/>
    <w:basedOn w:val="Normal"/>
    <w:qFormat/>
    <w:rsid w:val="009D0D89"/>
    <w:pPr>
      <w:pBdr>
        <w:top w:val="single" w:sz="8" w:space="6" w:color="2AB5B2"/>
        <w:bottom w:val="single" w:sz="8" w:space="6" w:color="2AB5B2"/>
      </w:pBdr>
      <w:ind w:left="1080" w:hanging="1080"/>
    </w:pPr>
  </w:style>
  <w:style w:type="paragraph" w:customStyle="1" w:styleId="Warning2">
    <w:name w:val="Warning2"/>
    <w:basedOn w:val="Normal"/>
    <w:qFormat/>
    <w:rsid w:val="009D0D89"/>
    <w:pPr>
      <w:pBdr>
        <w:top w:val="single" w:sz="8" w:space="5" w:color="2AB5B2"/>
        <w:bottom w:val="single" w:sz="8" w:space="6" w:color="2AB5B2"/>
      </w:pBdr>
      <w:spacing w:before="120"/>
      <w:ind w:left="1800" w:hanging="1080"/>
    </w:pPr>
  </w:style>
  <w:style w:type="character" w:styleId="PlaceholderText">
    <w:name w:val="Placeholder Text"/>
    <w:basedOn w:val="DefaultParagraphFont"/>
    <w:uiPriority w:val="99"/>
    <w:semiHidden/>
    <w:rsid w:val="00961D37"/>
    <w:rPr>
      <w:color w:val="808080"/>
    </w:rPr>
  </w:style>
  <w:style w:type="paragraph" w:styleId="ListBullet">
    <w:name w:val="List Bullet"/>
    <w:basedOn w:val="Normal"/>
    <w:uiPriority w:val="99"/>
    <w:semiHidden/>
    <w:unhideWhenUsed/>
    <w:rsid w:val="00961D37"/>
    <w:pPr>
      <w:numPr>
        <w:numId w:val="20"/>
      </w:numPr>
      <w:contextualSpacing/>
    </w:pPr>
  </w:style>
  <w:style w:type="table" w:customStyle="1" w:styleId="MisysTable">
    <w:name w:val="Misys Table"/>
    <w:basedOn w:val="TableNormal"/>
    <w:uiPriority w:val="99"/>
    <w:rsid w:val="00EF3F0C"/>
    <w:pPr>
      <w:spacing w:after="0" w:line="240" w:lineRule="auto"/>
    </w:pPr>
    <w:rPr>
      <w:rFonts w:ascii="Arial" w:eastAsia="Times New Roman" w:hAnsi="Arial" w:cs="Times New Roman"/>
      <w:sz w:val="18"/>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60" w:beforeAutospacing="0" w:afterLines="80" w:afterAutospacing="0"/>
        <w:contextualSpacing w:val="0"/>
        <w:mirrorIndents w:val="0"/>
        <w:jc w:val="left"/>
      </w:pPr>
      <w:rPr>
        <w:rFonts w:ascii="Arial" w:hAnsi="Arial"/>
        <w:b/>
        <w:color w:val="FFFFFF" w:themeColor="background1"/>
        <w:sz w:val="18"/>
      </w:rPr>
      <w:tblPr/>
      <w:tcPr>
        <w:vAlign w:val="center"/>
      </w:tcPr>
    </w:tblStylePr>
  </w:style>
  <w:style w:type="paragraph" w:customStyle="1" w:styleId="SpaceBefore">
    <w:name w:val="SpaceBefore"/>
    <w:basedOn w:val="Normal"/>
    <w:qFormat/>
    <w:rsid w:val="00D5554F"/>
    <w:pPr>
      <w:spacing w:before="240"/>
    </w:pPr>
    <w:rPr>
      <w:rFonts w:eastAsia="Times New Roman" w:cs="Arial"/>
      <w:szCs w:val="18"/>
    </w:rPr>
  </w:style>
  <w:style w:type="paragraph" w:customStyle="1" w:styleId="NoSpaceAfter">
    <w:name w:val="NoSpaceAfter"/>
    <w:basedOn w:val="SpaceBefore"/>
    <w:qFormat/>
    <w:rsid w:val="00D5554F"/>
    <w:pPr>
      <w:spacing w:before="120" w:after="0"/>
    </w:pPr>
  </w:style>
  <w:style w:type="paragraph" w:customStyle="1" w:styleId="TableText">
    <w:name w:val="TableText"/>
    <w:basedOn w:val="BodyText"/>
    <w:qFormat/>
    <w:rsid w:val="00961D37"/>
    <w:pPr>
      <w:spacing w:before="60" w:after="80"/>
    </w:pPr>
    <w:rPr>
      <w:sz w:val="18"/>
    </w:rPr>
  </w:style>
  <w:style w:type="table" w:customStyle="1" w:styleId="MisysTable1">
    <w:name w:val="MisysTable1"/>
    <w:basedOn w:val="TableNormal"/>
    <w:uiPriority w:val="99"/>
    <w:rsid w:val="00E97900"/>
    <w:pPr>
      <w:spacing w:after="0" w:line="240" w:lineRule="auto"/>
    </w:pPr>
    <w:rPr>
      <w:rFonts w:ascii="Arial" w:eastAsia="Calibri" w:hAnsi="Arial" w:cs="Times New Roman"/>
      <w:sz w:val="20"/>
      <w:szCs w:val="20"/>
      <w:lang w:val="en-US" w:eastAsia="zh-CN"/>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tcMar>
        <w:left w:w="115" w:type="dxa"/>
        <w:right w:w="115" w:type="dxa"/>
      </w:tcMar>
    </w:tcPr>
    <w:tblStylePr w:type="firstRow">
      <w:rPr>
        <w:b w:val="0"/>
        <w:color w:val="FFFFFF"/>
      </w:rPr>
      <w:tblPr/>
      <w:tcPr>
        <w:shd w:val="clear" w:color="auto" w:fill="2AB5B2"/>
      </w:tcPr>
    </w:tblStylePr>
    <w:tblStylePr w:type="band1Horz">
      <w:tblPr/>
      <w:tcPr>
        <w:shd w:val="clear" w:color="auto" w:fill="F2F2F2"/>
      </w:tcPr>
    </w:tblStylePr>
    <w:tblStylePr w:type="band2Horz">
      <w:tblPr/>
      <w:tcPr>
        <w:shd w:val="clear" w:color="auto" w:fill="D9D9D9"/>
      </w:tcPr>
    </w:tblStylePr>
  </w:style>
  <w:style w:type="paragraph" w:customStyle="1" w:styleId="ListBulletLevel1">
    <w:name w:val="ListBulletLevel1"/>
    <w:basedOn w:val="Normal"/>
    <w:qFormat/>
    <w:rsid w:val="00E97900"/>
    <w:pPr>
      <w:spacing w:before="120"/>
    </w:pPr>
    <w:rPr>
      <w:rFonts w:eastAsia="MS Mincho" w:cs="Times New Roman"/>
      <w:noProof/>
    </w:rPr>
  </w:style>
  <w:style w:type="paragraph" w:styleId="BodyText0">
    <w:name w:val="Body Text"/>
    <w:basedOn w:val="Normal"/>
    <w:link w:val="BodyTextChar0"/>
    <w:uiPriority w:val="99"/>
    <w:semiHidden/>
    <w:unhideWhenUsed/>
    <w:rsid w:val="00961D37"/>
  </w:style>
  <w:style w:type="character" w:customStyle="1" w:styleId="BodyTextChar0">
    <w:name w:val="Body Text Char"/>
    <w:basedOn w:val="DefaultParagraphFont"/>
    <w:link w:val="BodyText0"/>
    <w:uiPriority w:val="99"/>
    <w:semiHidden/>
    <w:rsid w:val="00961D37"/>
    <w:rPr>
      <w:rFonts w:ascii="Arial" w:hAnsi="Arial"/>
      <w:color w:val="414141"/>
      <w:sz w:val="20"/>
      <w:lang w:val="en-US"/>
    </w:rPr>
  </w:style>
  <w:style w:type="paragraph" w:customStyle="1" w:styleId="TableHeading0">
    <w:name w:val="Table Heading"/>
    <w:basedOn w:val="BodyText0"/>
    <w:semiHidden/>
    <w:qFormat/>
    <w:rsid w:val="009F6996"/>
    <w:pPr>
      <w:shd w:val="clear" w:color="auto" w:fill="31849B"/>
      <w:spacing w:after="0"/>
    </w:pPr>
    <w:rPr>
      <w:b/>
      <w:color w:val="FFFFFF" w:themeColor="background1"/>
      <w:sz w:val="18"/>
      <w:lang w:val="en-NZ"/>
    </w:rPr>
  </w:style>
  <w:style w:type="paragraph" w:customStyle="1" w:styleId="NoSpaceBodyText">
    <w:name w:val="No Space Body Text"/>
    <w:basedOn w:val="BodyText0"/>
    <w:link w:val="NoSpaceBodyTextChar"/>
    <w:semiHidden/>
    <w:qFormat/>
    <w:rsid w:val="009F6996"/>
    <w:pPr>
      <w:spacing w:after="0"/>
    </w:pPr>
  </w:style>
  <w:style w:type="character" w:customStyle="1" w:styleId="NoSpaceBodyTextChar">
    <w:name w:val="No Space Body Text Char"/>
    <w:basedOn w:val="BodyTextChar0"/>
    <w:link w:val="NoSpaceBodyText"/>
    <w:semiHidden/>
    <w:rsid w:val="00830BED"/>
    <w:rPr>
      <w:rFonts w:ascii="Arial" w:eastAsia="Times New Roman" w:hAnsi="Arial" w:cs="Arial"/>
      <w:color w:val="414141"/>
      <w:sz w:val="20"/>
      <w:szCs w:val="18"/>
      <w:lang w:val="en-US"/>
    </w:rPr>
  </w:style>
  <w:style w:type="paragraph" w:customStyle="1" w:styleId="TableText0">
    <w:name w:val="Table Text"/>
    <w:basedOn w:val="BodyText0"/>
    <w:semiHidden/>
    <w:qFormat/>
    <w:rsid w:val="009F6996"/>
    <w:pPr>
      <w:spacing w:before="40" w:after="40"/>
    </w:pPr>
    <w:rPr>
      <w:sz w:val="18"/>
    </w:rPr>
  </w:style>
  <w:style w:type="paragraph" w:customStyle="1" w:styleId="BulletHyphen">
    <w:name w:val="Bullet Hyphen"/>
    <w:basedOn w:val="ListBullet"/>
    <w:semiHidden/>
    <w:qFormat/>
    <w:rsid w:val="009F6996"/>
    <w:pPr>
      <w:spacing w:before="120" w:after="240"/>
      <w:ind w:left="1440" w:hanging="1080"/>
      <w:contextualSpacing w:val="0"/>
    </w:pPr>
    <w:rPr>
      <w:rFonts w:eastAsia="Times New Roman" w:cs="Arial"/>
      <w:color w:val="auto"/>
      <w:szCs w:val="18"/>
    </w:rPr>
  </w:style>
  <w:style w:type="paragraph" w:customStyle="1" w:styleId="Bullet">
    <w:name w:val="Bullet"/>
    <w:basedOn w:val="Normal"/>
    <w:uiPriority w:val="99"/>
    <w:semiHidden/>
    <w:qFormat/>
    <w:rsid w:val="009F6996"/>
    <w:pPr>
      <w:tabs>
        <w:tab w:val="num" w:pos="720"/>
      </w:tabs>
      <w:spacing w:before="120"/>
      <w:ind w:left="720" w:hanging="360"/>
    </w:pPr>
    <w:rPr>
      <w:rFonts w:eastAsia="Times New Roman" w:cs="Arial"/>
      <w:color w:val="auto"/>
      <w:szCs w:val="19"/>
      <w:lang w:eastAsia="en-GB"/>
    </w:rPr>
  </w:style>
  <w:style w:type="character" w:customStyle="1" w:styleId="Italic">
    <w:name w:val="Italic"/>
    <w:basedOn w:val="DefaultParagraphFont"/>
    <w:uiPriority w:val="1"/>
    <w:qFormat/>
    <w:rsid w:val="00961D37"/>
    <w:rPr>
      <w:rFonts w:ascii="Arial" w:hAnsi="Arial"/>
      <w:i/>
      <w:sz w:val="20"/>
    </w:rPr>
  </w:style>
  <w:style w:type="paragraph" w:customStyle="1" w:styleId="Note">
    <w:name w:val="Note"/>
    <w:basedOn w:val="Normal"/>
    <w:next w:val="Normal"/>
    <w:semiHidden/>
    <w:qFormat/>
    <w:rsid w:val="009F6996"/>
    <w:pPr>
      <w:tabs>
        <w:tab w:val="left" w:pos="500"/>
      </w:tabs>
      <w:spacing w:before="240" w:after="240"/>
    </w:pPr>
    <w:rPr>
      <w:rFonts w:eastAsia="Times New Roman" w:cs="Arial"/>
      <w:color w:val="000000" w:themeColor="text1"/>
      <w:szCs w:val="18"/>
    </w:rPr>
  </w:style>
  <w:style w:type="paragraph" w:customStyle="1" w:styleId="AllowPageBreak">
    <w:name w:val="AllowPageBreak"/>
    <w:basedOn w:val="BodyText0"/>
    <w:next w:val="BodyText0"/>
    <w:semiHidden/>
    <w:rsid w:val="009F6996"/>
    <w:pPr>
      <w:widowControl w:val="0"/>
      <w:spacing w:after="0"/>
    </w:pPr>
    <w:rPr>
      <w:rFonts w:ascii="Avenir LT Std 65 Medium" w:eastAsia="Calibri" w:hAnsi="Avenir LT Std 65 Medium" w:cs="Times New Roman"/>
      <w:sz w:val="2"/>
      <w:szCs w:val="16"/>
      <w:lang w:val="en-IN"/>
    </w:rPr>
  </w:style>
  <w:style w:type="paragraph" w:customStyle="1" w:styleId="12BeforeBodyText">
    <w:name w:val="12 Before Body Text"/>
    <w:basedOn w:val="BodyText0"/>
    <w:semiHidden/>
    <w:qFormat/>
    <w:rsid w:val="009F6996"/>
    <w:pPr>
      <w:spacing w:before="240" w:after="0"/>
    </w:pPr>
  </w:style>
  <w:style w:type="paragraph" w:customStyle="1" w:styleId="CellNote">
    <w:name w:val="CellNote"/>
    <w:basedOn w:val="Note"/>
    <w:semiHidden/>
    <w:qFormat/>
    <w:rsid w:val="009F6996"/>
    <w:pPr>
      <w:ind w:hanging="360"/>
    </w:pPr>
  </w:style>
  <w:style w:type="paragraph" w:customStyle="1" w:styleId="CellBullet">
    <w:name w:val="CellBullet"/>
    <w:basedOn w:val="Bullet"/>
    <w:next w:val="Bullet"/>
    <w:semiHidden/>
    <w:qFormat/>
    <w:rsid w:val="009F6996"/>
    <w:pPr>
      <w:tabs>
        <w:tab w:val="clear" w:pos="720"/>
      </w:tabs>
      <w:spacing w:before="60" w:after="60"/>
      <w:ind w:left="360"/>
    </w:pPr>
  </w:style>
  <w:style w:type="paragraph" w:customStyle="1" w:styleId="12AfterBodyText">
    <w:name w:val="12 After Body Text"/>
    <w:basedOn w:val="BodyText0"/>
    <w:semiHidden/>
    <w:qFormat/>
    <w:rsid w:val="009F6996"/>
    <w:pPr>
      <w:spacing w:after="240"/>
    </w:pPr>
  </w:style>
  <w:style w:type="table" w:styleId="TableList5">
    <w:name w:val="Table List 5"/>
    <w:basedOn w:val="TableNormal"/>
    <w:semiHidden/>
    <w:rsid w:val="009F6996"/>
    <w:pPr>
      <w:spacing w:after="0" w:line="264" w:lineRule="atLeast"/>
    </w:pPr>
    <w:rPr>
      <w:rFonts w:ascii="Arial" w:eastAsia="Times New Roman" w:hAnsi="Arial"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styleId="PageNumber">
    <w:name w:val="page number"/>
    <w:semiHidden/>
    <w:rsid w:val="009F6996"/>
    <w:rPr>
      <w:rFonts w:ascii="Verdana" w:hAnsi="Verdana"/>
    </w:rPr>
  </w:style>
  <w:style w:type="paragraph" w:customStyle="1" w:styleId="Copyright">
    <w:name w:val="Copyright"/>
    <w:basedOn w:val="Heading2"/>
    <w:semiHidden/>
    <w:rsid w:val="006119C6"/>
    <w:pPr>
      <w:spacing w:before="200" w:after="100"/>
    </w:pPr>
    <w:rPr>
      <w:bCs w:val="0"/>
      <w:noProof/>
    </w:rPr>
  </w:style>
  <w:style w:type="table" w:customStyle="1" w:styleId="MisysTableNoHeader">
    <w:name w:val="MisysTableNoHeader"/>
    <w:basedOn w:val="TableGrid"/>
    <w:uiPriority w:val="99"/>
    <w:rsid w:val="00830BED"/>
    <w:rPr>
      <w:rFonts w:ascii="Arial" w:eastAsia="Arial" w:hAnsi="Arial" w:cs="Times New Roman"/>
      <w:szCs w:val="20"/>
      <w:lang w:val="en-GB"/>
    </w:rPr>
    <w:tblPr/>
    <w:tcPr>
      <w:tcMar>
        <w:left w:w="115" w:type="dxa"/>
        <w:right w:w="115" w:type="dxa"/>
      </w:tcMar>
    </w:tcPr>
    <w:tblStylePr w:type="firstRow">
      <w:rPr>
        <w:b/>
        <w:color w:val="FFFFFF" w:themeColor="background1"/>
      </w:rPr>
      <w:tblPr/>
      <w:trPr>
        <w:tblHeader/>
      </w:trPr>
      <w:tcPr>
        <w:shd w:val="clear" w:color="auto" w:fill="E36C0A" w:themeFill="accent6" w:themeFillShade="BF"/>
      </w:tcPr>
    </w:tblStylePr>
    <w:tblStylePr w:type="band1Horz">
      <w:tblPr/>
      <w:tcPr>
        <w:shd w:val="clear" w:color="auto" w:fill="D9D9D9"/>
      </w:tcPr>
    </w:tblStylePr>
    <w:tblStylePr w:type="band2Horz">
      <w:tblPr/>
      <w:tcPr>
        <w:shd w:val="clear" w:color="auto" w:fill="F2F2F2"/>
      </w:tcPr>
    </w:tblStylePr>
  </w:style>
  <w:style w:type="paragraph" w:customStyle="1" w:styleId="PrefaceHeader">
    <w:name w:val="PrefaceHeader"/>
    <w:basedOn w:val="Heading2"/>
    <w:uiPriority w:val="99"/>
    <w:qFormat/>
    <w:rsid w:val="00A0798E"/>
    <w:rPr>
      <w:rFonts w:eastAsia="Times New Roman"/>
    </w:rPr>
  </w:style>
  <w:style w:type="paragraph" w:styleId="TOCHeading">
    <w:name w:val="TOC Heading"/>
    <w:basedOn w:val="Heading1"/>
    <w:next w:val="Normal"/>
    <w:uiPriority w:val="39"/>
    <w:semiHidden/>
    <w:unhideWhenUsed/>
    <w:qFormat/>
    <w:rsid w:val="00961D37"/>
    <w:pPr>
      <w:pageBreakBefore w:val="0"/>
      <w:spacing w:before="240" w:after="0"/>
      <w:outlineLvl w:val="9"/>
    </w:pPr>
    <w:rPr>
      <w:rFonts w:asciiTheme="majorHAnsi" w:hAnsiTheme="majorHAnsi"/>
      <w:bCs w:val="0"/>
      <w:color w:val="365F91" w:themeColor="accent1" w:themeShade="BF"/>
      <w:szCs w:val="32"/>
    </w:rPr>
  </w:style>
  <w:style w:type="paragraph" w:customStyle="1" w:styleId="CopyRightHeader">
    <w:name w:val="CopyRightHeader"/>
    <w:basedOn w:val="Normal"/>
    <w:qFormat/>
    <w:rsid w:val="00961D37"/>
    <w:pPr>
      <w:spacing w:before="240" w:after="360"/>
    </w:pPr>
    <w:rPr>
      <w:sz w:val="28"/>
    </w:rPr>
  </w:style>
  <w:style w:type="paragraph" w:customStyle="1" w:styleId="CopyRightText">
    <w:name w:val="CopyRightText"/>
    <w:basedOn w:val="Normal"/>
    <w:qFormat/>
    <w:rsid w:val="00961D37"/>
    <w:pPr>
      <w:spacing w:before="120"/>
    </w:pPr>
    <w:rPr>
      <w:sz w:val="18"/>
    </w:rPr>
  </w:style>
  <w:style w:type="paragraph" w:customStyle="1" w:styleId="CPDocTitle">
    <w:name w:val="CPDocTitle"/>
    <w:basedOn w:val="BodyText"/>
    <w:qFormat/>
    <w:rsid w:val="00961D37"/>
    <w:pPr>
      <w:ind w:left="1440" w:right="1440"/>
    </w:pPr>
    <w:rPr>
      <w:sz w:val="18"/>
    </w:rPr>
  </w:style>
  <w:style w:type="paragraph" w:customStyle="1" w:styleId="CPDocSubTitle">
    <w:name w:val="CPDocSubTitle"/>
    <w:basedOn w:val="Normal"/>
    <w:qFormat/>
    <w:rsid w:val="00961D37"/>
    <w:pPr>
      <w:spacing w:before="480" w:after="360"/>
      <w:ind w:left="1440" w:right="1440"/>
    </w:pPr>
    <w:rPr>
      <w:b/>
      <w:sz w:val="52"/>
    </w:rPr>
  </w:style>
  <w:style w:type="paragraph" w:customStyle="1" w:styleId="DocumentCode">
    <w:name w:val="DocumentCode"/>
    <w:basedOn w:val="VersionReleaseNumber"/>
    <w:qFormat/>
    <w:rsid w:val="00961D37"/>
    <w:pPr>
      <w:ind w:left="1440"/>
    </w:pPr>
    <w:rPr>
      <w:sz w:val="18"/>
    </w:rPr>
  </w:style>
  <w:style w:type="paragraph" w:customStyle="1" w:styleId="VersionReleaseNumber">
    <w:name w:val="VersionReleaseNumber"/>
    <w:basedOn w:val="BodyText"/>
    <w:qFormat/>
    <w:rsid w:val="00961D37"/>
    <w:pPr>
      <w:spacing w:before="360"/>
    </w:pPr>
    <w:rPr>
      <w:sz w:val="24"/>
    </w:rPr>
  </w:style>
  <w:style w:type="paragraph" w:customStyle="1" w:styleId="ProductName">
    <w:name w:val="Product Name"/>
    <w:qFormat/>
    <w:rsid w:val="00961D37"/>
    <w:pPr>
      <w:tabs>
        <w:tab w:val="right" w:pos="6480"/>
      </w:tabs>
      <w:spacing w:after="120" w:line="240" w:lineRule="auto"/>
      <w:ind w:left="446" w:right="3989"/>
    </w:pPr>
    <w:rPr>
      <w:rFonts w:ascii="Arial" w:hAnsi="Arial"/>
      <w:color w:val="414141"/>
      <w:sz w:val="24"/>
      <w:szCs w:val="32"/>
      <w:lang w:val="en-US"/>
    </w:rPr>
  </w:style>
  <w:style w:type="paragraph" w:customStyle="1" w:styleId="TOCHeader">
    <w:name w:val="TOCHeader"/>
    <w:basedOn w:val="Normal"/>
    <w:qFormat/>
    <w:rsid w:val="00961D37"/>
    <w:pPr>
      <w:spacing w:before="240" w:after="600"/>
    </w:pPr>
    <w:rPr>
      <w:caps/>
      <w:color w:val="C137A2"/>
      <w:sz w:val="36"/>
    </w:rPr>
  </w:style>
  <w:style w:type="paragraph" w:customStyle="1" w:styleId="BodyTextIndent1">
    <w:name w:val="BodyTextIndent1"/>
    <w:basedOn w:val="BodyText"/>
    <w:qFormat/>
    <w:rsid w:val="00961D37"/>
    <w:pPr>
      <w:ind w:left="360"/>
    </w:pPr>
  </w:style>
  <w:style w:type="paragraph" w:customStyle="1" w:styleId="BodyTextIndent2">
    <w:name w:val="BodyTextIndent2"/>
    <w:basedOn w:val="BodyTextIndent1"/>
    <w:qFormat/>
    <w:rsid w:val="00961D37"/>
    <w:pPr>
      <w:ind w:left="720"/>
    </w:pPr>
  </w:style>
  <w:style w:type="paragraph" w:customStyle="1" w:styleId="BodyTextIndent3">
    <w:name w:val="BodyTextIndent3"/>
    <w:basedOn w:val="BodyTextIndent1"/>
    <w:qFormat/>
    <w:rsid w:val="00961D37"/>
    <w:pPr>
      <w:ind w:left="1080"/>
    </w:pPr>
  </w:style>
  <w:style w:type="paragraph" w:customStyle="1" w:styleId="BulletLevel1">
    <w:name w:val="BulletLevel1"/>
    <w:basedOn w:val="BodyText"/>
    <w:qFormat/>
    <w:rsid w:val="00961D37"/>
    <w:pPr>
      <w:numPr>
        <w:numId w:val="1"/>
      </w:numPr>
      <w:tabs>
        <w:tab w:val="left" w:pos="360"/>
      </w:tabs>
      <w:spacing w:before="60" w:after="80"/>
      <w:ind w:left="360"/>
    </w:pPr>
  </w:style>
  <w:style w:type="paragraph" w:customStyle="1" w:styleId="BulletLevel2">
    <w:name w:val="BulletLevel2"/>
    <w:basedOn w:val="BulletLevel1"/>
    <w:qFormat/>
    <w:rsid w:val="00961D37"/>
    <w:pPr>
      <w:numPr>
        <w:numId w:val="2"/>
      </w:numPr>
      <w:tabs>
        <w:tab w:val="clear" w:pos="360"/>
        <w:tab w:val="left" w:pos="720"/>
      </w:tabs>
      <w:ind w:left="720"/>
    </w:pPr>
  </w:style>
  <w:style w:type="paragraph" w:customStyle="1" w:styleId="BulletLevel3">
    <w:name w:val="BulletLevel3"/>
    <w:basedOn w:val="BulletLevel1"/>
    <w:qFormat/>
    <w:rsid w:val="00961D37"/>
    <w:pPr>
      <w:numPr>
        <w:numId w:val="3"/>
      </w:numPr>
      <w:tabs>
        <w:tab w:val="clear" w:pos="360"/>
        <w:tab w:val="left" w:pos="1080"/>
      </w:tabs>
      <w:ind w:left="1080"/>
    </w:pPr>
  </w:style>
  <w:style w:type="paragraph" w:customStyle="1" w:styleId="NumBulletLevel1">
    <w:name w:val="NumBulletLevel1"/>
    <w:basedOn w:val="BodyText"/>
    <w:qFormat/>
    <w:rsid w:val="00961D37"/>
    <w:pPr>
      <w:numPr>
        <w:numId w:val="4"/>
      </w:numPr>
      <w:tabs>
        <w:tab w:val="left" w:pos="360"/>
      </w:tabs>
      <w:spacing w:before="60" w:after="80"/>
      <w:ind w:left="360"/>
    </w:pPr>
  </w:style>
  <w:style w:type="paragraph" w:customStyle="1" w:styleId="NumBulletLevel2">
    <w:name w:val="NumBulletLevel2"/>
    <w:basedOn w:val="NumBulletLevel1"/>
    <w:qFormat/>
    <w:rsid w:val="00961D37"/>
    <w:pPr>
      <w:numPr>
        <w:numId w:val="5"/>
      </w:numPr>
      <w:tabs>
        <w:tab w:val="clear" w:pos="360"/>
        <w:tab w:val="left" w:pos="720"/>
      </w:tabs>
      <w:ind w:left="720"/>
    </w:pPr>
  </w:style>
  <w:style w:type="paragraph" w:customStyle="1" w:styleId="NumBulletLevel3">
    <w:name w:val="NumBulletLevel3"/>
    <w:basedOn w:val="NumBulletLevel1"/>
    <w:qFormat/>
    <w:rsid w:val="00961D37"/>
    <w:pPr>
      <w:numPr>
        <w:numId w:val="6"/>
      </w:numPr>
      <w:tabs>
        <w:tab w:val="clear" w:pos="360"/>
        <w:tab w:val="left" w:pos="1080"/>
      </w:tabs>
      <w:ind w:left="1080"/>
    </w:pPr>
  </w:style>
  <w:style w:type="paragraph" w:customStyle="1" w:styleId="ChapterTitle">
    <w:name w:val="ChapterTitle"/>
    <w:basedOn w:val="Heading1"/>
    <w:next w:val="BodyText"/>
    <w:qFormat/>
    <w:rsid w:val="00587DB2"/>
    <w:pPr>
      <w:spacing w:before="1440" w:after="1200"/>
    </w:pPr>
    <w:rPr>
      <w:bCs w:val="0"/>
      <w:spacing w:val="32"/>
      <w:sz w:val="36"/>
    </w:rPr>
  </w:style>
  <w:style w:type="paragraph" w:customStyle="1" w:styleId="XML1">
    <w:name w:val="XML1"/>
    <w:basedOn w:val="BodyText"/>
    <w:qFormat/>
    <w:rsid w:val="00961D37"/>
    <w:pPr>
      <w:spacing w:before="60" w:after="60"/>
    </w:pPr>
    <w:rPr>
      <w:rFonts w:ascii="Courier New" w:hAnsi="Courier New"/>
      <w:color w:val="0000CC"/>
      <w:sz w:val="18"/>
    </w:rPr>
  </w:style>
  <w:style w:type="paragraph" w:customStyle="1" w:styleId="CodeSnippet">
    <w:name w:val="CodeSnippet"/>
    <w:basedOn w:val="Normal"/>
    <w:qFormat/>
    <w:rsid w:val="00961D37"/>
    <w:pPr>
      <w:spacing w:before="60" w:after="60"/>
    </w:pPr>
    <w:rPr>
      <w:rFonts w:ascii="Courier New" w:hAnsi="Courier New"/>
      <w:sz w:val="18"/>
    </w:rPr>
  </w:style>
  <w:style w:type="character" w:customStyle="1" w:styleId="CodeInLine">
    <w:name w:val="CodeInLine"/>
    <w:basedOn w:val="DefaultParagraphFont"/>
    <w:uiPriority w:val="1"/>
    <w:qFormat/>
    <w:rsid w:val="00961D37"/>
    <w:rPr>
      <w:rFonts w:ascii="Courier New" w:hAnsi="Courier New"/>
      <w:sz w:val="18"/>
    </w:rPr>
  </w:style>
  <w:style w:type="character" w:customStyle="1" w:styleId="FileNameInLine">
    <w:name w:val="FileNameInLine"/>
    <w:basedOn w:val="DefaultParagraphFont"/>
    <w:uiPriority w:val="1"/>
    <w:qFormat/>
    <w:rsid w:val="00961D37"/>
    <w:rPr>
      <w:rFonts w:ascii="Courier New" w:hAnsi="Courier New"/>
      <w:color w:val="943634" w:themeColor="accent2" w:themeShade="BF"/>
      <w:sz w:val="18"/>
    </w:rPr>
  </w:style>
  <w:style w:type="character" w:customStyle="1" w:styleId="XMLValue">
    <w:name w:val="XMLValue"/>
    <w:basedOn w:val="DefaultParagraphFont"/>
    <w:uiPriority w:val="1"/>
    <w:qFormat/>
    <w:rsid w:val="00961D37"/>
    <w:rPr>
      <w:rFonts w:ascii="Courier New" w:hAnsi="Courier New"/>
      <w:color w:val="008000"/>
      <w:sz w:val="18"/>
    </w:rPr>
  </w:style>
  <w:style w:type="character" w:customStyle="1" w:styleId="TableTextBold">
    <w:name w:val="TableTextBold"/>
    <w:basedOn w:val="DefaultParagraphFont"/>
    <w:uiPriority w:val="1"/>
    <w:qFormat/>
    <w:rsid w:val="00961D37"/>
    <w:rPr>
      <w:rFonts w:ascii="Arial" w:hAnsi="Arial"/>
      <w:b/>
      <w:sz w:val="18"/>
    </w:rPr>
  </w:style>
  <w:style w:type="paragraph" w:customStyle="1" w:styleId="TableHead">
    <w:name w:val="TableHead"/>
    <w:basedOn w:val="BodyText"/>
    <w:qFormat/>
    <w:rsid w:val="00961D37"/>
    <w:pPr>
      <w:spacing w:before="60" w:after="80"/>
    </w:pPr>
    <w:rPr>
      <w:color w:val="FFFFFF" w:themeColor="background1"/>
      <w:sz w:val="18"/>
    </w:rPr>
  </w:style>
  <w:style w:type="paragraph" w:customStyle="1" w:styleId="TableTextIndent1">
    <w:name w:val="TableTextIndent1"/>
    <w:basedOn w:val="BodyText"/>
    <w:qFormat/>
    <w:rsid w:val="00961D37"/>
    <w:pPr>
      <w:spacing w:before="60" w:after="80"/>
      <w:ind w:left="360"/>
    </w:pPr>
    <w:rPr>
      <w:sz w:val="18"/>
    </w:rPr>
  </w:style>
  <w:style w:type="paragraph" w:customStyle="1" w:styleId="TableTextIndent2">
    <w:name w:val="TableTextIndent2"/>
    <w:basedOn w:val="TableText"/>
    <w:rsid w:val="00961D37"/>
    <w:pPr>
      <w:ind w:left="720"/>
    </w:pPr>
  </w:style>
  <w:style w:type="paragraph" w:customStyle="1" w:styleId="TableBullet1">
    <w:name w:val="TableBullet1"/>
    <w:basedOn w:val="TableText"/>
    <w:qFormat/>
    <w:rsid w:val="00961D37"/>
    <w:pPr>
      <w:numPr>
        <w:numId w:val="7"/>
      </w:numPr>
      <w:tabs>
        <w:tab w:val="left" w:pos="360"/>
      </w:tabs>
      <w:ind w:left="360"/>
    </w:pPr>
  </w:style>
  <w:style w:type="paragraph" w:customStyle="1" w:styleId="TableBullet2">
    <w:name w:val="TableBullet2"/>
    <w:basedOn w:val="TableBullet1"/>
    <w:qFormat/>
    <w:rsid w:val="00961D37"/>
    <w:pPr>
      <w:numPr>
        <w:numId w:val="8"/>
      </w:numPr>
      <w:tabs>
        <w:tab w:val="clear" w:pos="360"/>
        <w:tab w:val="left" w:pos="720"/>
      </w:tabs>
    </w:pPr>
  </w:style>
  <w:style w:type="paragraph" w:customStyle="1" w:styleId="TableNumBullet1">
    <w:name w:val="TableNumBullet1"/>
    <w:basedOn w:val="TableBullet1"/>
    <w:qFormat/>
    <w:rsid w:val="00961D37"/>
    <w:pPr>
      <w:numPr>
        <w:numId w:val="9"/>
      </w:numPr>
      <w:ind w:left="360"/>
    </w:pPr>
  </w:style>
  <w:style w:type="paragraph" w:customStyle="1" w:styleId="TableNumBullet2">
    <w:name w:val="TableNumBullet2"/>
    <w:basedOn w:val="TableNumBullet1"/>
    <w:rsid w:val="00961D37"/>
    <w:pPr>
      <w:numPr>
        <w:numId w:val="10"/>
      </w:numPr>
      <w:tabs>
        <w:tab w:val="clear" w:pos="360"/>
        <w:tab w:val="left" w:pos="720"/>
      </w:tabs>
    </w:pPr>
  </w:style>
  <w:style w:type="paragraph" w:customStyle="1" w:styleId="TableCaption">
    <w:name w:val="TableCaption"/>
    <w:basedOn w:val="BodyText"/>
    <w:qFormat/>
    <w:rsid w:val="00961D37"/>
    <w:pPr>
      <w:numPr>
        <w:numId w:val="11"/>
      </w:numPr>
      <w:tabs>
        <w:tab w:val="left" w:pos="1080"/>
      </w:tabs>
      <w:spacing w:before="120" w:after="60"/>
      <w:ind w:hanging="1080"/>
      <w:jc w:val="center"/>
    </w:pPr>
    <w:rPr>
      <w:sz w:val="18"/>
    </w:rPr>
  </w:style>
  <w:style w:type="paragraph" w:customStyle="1" w:styleId="FigureCaption">
    <w:name w:val="FigureCaption"/>
    <w:basedOn w:val="BodyText"/>
    <w:qFormat/>
    <w:rsid w:val="00961D37"/>
    <w:pPr>
      <w:numPr>
        <w:numId w:val="12"/>
      </w:numPr>
      <w:pBdr>
        <w:top w:val="single" w:sz="4" w:space="4" w:color="7F7F7F" w:themeColor="text1" w:themeTint="80"/>
      </w:pBdr>
      <w:tabs>
        <w:tab w:val="left" w:pos="1080"/>
      </w:tabs>
      <w:spacing w:before="60"/>
      <w:ind w:left="1080" w:hanging="1080"/>
      <w:jc w:val="center"/>
    </w:pPr>
    <w:rPr>
      <w:sz w:val="18"/>
    </w:rPr>
  </w:style>
  <w:style w:type="character" w:customStyle="1" w:styleId="FolderPath">
    <w:name w:val="FolderPath"/>
    <w:basedOn w:val="DefaultParagraphFont"/>
    <w:uiPriority w:val="1"/>
    <w:qFormat/>
    <w:rsid w:val="00961D37"/>
    <w:rPr>
      <w:rFonts w:ascii="Courier New" w:hAnsi="Courier New"/>
      <w:i/>
      <w:sz w:val="18"/>
    </w:rPr>
  </w:style>
  <w:style w:type="character" w:customStyle="1" w:styleId="Bold">
    <w:name w:val="Bold"/>
    <w:basedOn w:val="DefaultParagraphFont"/>
    <w:uiPriority w:val="1"/>
    <w:qFormat/>
    <w:rsid w:val="00961D37"/>
    <w:rPr>
      <w:rFonts w:ascii="Arial" w:hAnsi="Arial"/>
      <w:b/>
      <w:color w:val="414141"/>
      <w:sz w:val="20"/>
    </w:rPr>
  </w:style>
  <w:style w:type="paragraph" w:customStyle="1" w:styleId="CodeSnippetLevel1">
    <w:name w:val="CodeSnippetLevel1"/>
    <w:basedOn w:val="CodeSnippet"/>
    <w:qFormat/>
    <w:rsid w:val="00961D37"/>
    <w:pPr>
      <w:ind w:left="360"/>
    </w:pPr>
  </w:style>
  <w:style w:type="paragraph" w:customStyle="1" w:styleId="CodeSnippetLevel2">
    <w:name w:val="CodeSnippetLevel2"/>
    <w:basedOn w:val="CodeSnippetLevel1"/>
    <w:qFormat/>
    <w:rsid w:val="00961D37"/>
    <w:pPr>
      <w:ind w:left="720"/>
    </w:pPr>
  </w:style>
  <w:style w:type="paragraph" w:customStyle="1" w:styleId="XML2">
    <w:name w:val="XML2"/>
    <w:basedOn w:val="XML1"/>
    <w:qFormat/>
    <w:rsid w:val="00961D37"/>
    <w:pPr>
      <w:ind w:left="360"/>
    </w:pPr>
  </w:style>
  <w:style w:type="paragraph" w:customStyle="1" w:styleId="XML3">
    <w:name w:val="XML3"/>
    <w:basedOn w:val="XML2"/>
    <w:qFormat/>
    <w:rsid w:val="00961D37"/>
    <w:pPr>
      <w:ind w:left="720"/>
    </w:pPr>
  </w:style>
  <w:style w:type="paragraph" w:customStyle="1" w:styleId="BodyTextFirstIndent1">
    <w:name w:val="BodyTextFirstIndent1"/>
    <w:basedOn w:val="BodyText"/>
    <w:next w:val="BodyText"/>
    <w:qFormat/>
    <w:rsid w:val="00961D37"/>
    <w:pPr>
      <w:spacing w:before="240"/>
      <w:ind w:left="360"/>
    </w:pPr>
  </w:style>
  <w:style w:type="paragraph" w:customStyle="1" w:styleId="ItalicCenter">
    <w:name w:val="ItalicCenter"/>
    <w:basedOn w:val="BodyText"/>
    <w:qFormat/>
    <w:rsid w:val="00961D37"/>
    <w:pPr>
      <w:jc w:val="center"/>
    </w:pPr>
    <w:rPr>
      <w:i/>
    </w:rPr>
  </w:style>
  <w:style w:type="character" w:customStyle="1" w:styleId="TableXML">
    <w:name w:val="TableXML"/>
    <w:basedOn w:val="DefaultParagraphFont"/>
    <w:uiPriority w:val="1"/>
    <w:qFormat/>
    <w:rsid w:val="00961D37"/>
    <w:rPr>
      <w:rFonts w:ascii="Courier New" w:hAnsi="Courier New"/>
      <w:color w:val="0033CC"/>
      <w:sz w:val="16"/>
    </w:rPr>
  </w:style>
  <w:style w:type="character" w:customStyle="1" w:styleId="TableTextItalic">
    <w:name w:val="TableTextItalic"/>
    <w:basedOn w:val="DefaultParagraphFont"/>
    <w:uiPriority w:val="1"/>
    <w:qFormat/>
    <w:rsid w:val="00961D37"/>
    <w:rPr>
      <w:i/>
    </w:rPr>
  </w:style>
  <w:style w:type="character" w:customStyle="1" w:styleId="TableFileName">
    <w:name w:val="TableFileName"/>
    <w:basedOn w:val="DefaultParagraphFont"/>
    <w:uiPriority w:val="1"/>
    <w:qFormat/>
    <w:rsid w:val="00961D37"/>
    <w:rPr>
      <w:rFonts w:ascii="Courier New" w:hAnsi="Courier New"/>
      <w:color w:val="943634" w:themeColor="accent2" w:themeShade="BF"/>
      <w:sz w:val="16"/>
    </w:rPr>
  </w:style>
  <w:style w:type="character" w:customStyle="1" w:styleId="TableCode">
    <w:name w:val="TableCode"/>
    <w:basedOn w:val="DefaultParagraphFont"/>
    <w:uiPriority w:val="1"/>
    <w:qFormat/>
    <w:rsid w:val="00961D37"/>
    <w:rPr>
      <w:rFonts w:ascii="Courier New" w:hAnsi="Courier New"/>
      <w:sz w:val="16"/>
    </w:rPr>
  </w:style>
  <w:style w:type="character" w:customStyle="1" w:styleId="TableFolderPath">
    <w:name w:val="TableFolderPath"/>
    <w:basedOn w:val="DefaultParagraphFont"/>
    <w:uiPriority w:val="1"/>
    <w:qFormat/>
    <w:rsid w:val="00961D37"/>
    <w:rPr>
      <w:rFonts w:ascii="Courier New" w:hAnsi="Courier New"/>
      <w:i/>
      <w:sz w:val="16"/>
    </w:rPr>
  </w:style>
  <w:style w:type="paragraph" w:customStyle="1" w:styleId="BodyTextFirstIndent2">
    <w:name w:val="BodyTextFirstIndent2"/>
    <w:basedOn w:val="BodyTextFirstIndent1"/>
    <w:next w:val="BodyText"/>
    <w:qFormat/>
    <w:rsid w:val="00961D37"/>
    <w:pPr>
      <w:ind w:left="720"/>
    </w:pPr>
  </w:style>
  <w:style w:type="paragraph" w:customStyle="1" w:styleId="BodyTextFirstIndent3">
    <w:name w:val="BodyTextFirstIndent3"/>
    <w:basedOn w:val="BodyTextFirstIndent1"/>
    <w:next w:val="BodyText"/>
    <w:qFormat/>
    <w:rsid w:val="00961D37"/>
    <w:pPr>
      <w:ind w:left="1080"/>
    </w:pPr>
  </w:style>
  <w:style w:type="paragraph" w:customStyle="1" w:styleId="Heading2TopOfPage">
    <w:name w:val="Heading 2_TopOfPage"/>
    <w:basedOn w:val="Heading2"/>
    <w:qFormat/>
    <w:rsid w:val="00961D37"/>
    <w:pPr>
      <w:pageBreakBefore/>
    </w:pPr>
  </w:style>
  <w:style w:type="paragraph" w:customStyle="1" w:styleId="Heading3TopOfPage">
    <w:name w:val="Heading 3_TopOfPage"/>
    <w:basedOn w:val="Heading3"/>
    <w:qFormat/>
    <w:rsid w:val="00961D37"/>
    <w:pPr>
      <w:pageBreakBefore/>
    </w:pPr>
  </w:style>
  <w:style w:type="paragraph" w:customStyle="1" w:styleId="Note1">
    <w:name w:val="Note1"/>
    <w:basedOn w:val="BodyText"/>
    <w:qFormat/>
    <w:rsid w:val="00961D37"/>
    <w:pPr>
      <w:numPr>
        <w:numId w:val="28"/>
      </w:numPr>
      <w:pBdr>
        <w:top w:val="single" w:sz="8" w:space="6" w:color="CB42AB"/>
        <w:bottom w:val="single" w:sz="8" w:space="6" w:color="CB42AB"/>
      </w:pBdr>
    </w:pPr>
  </w:style>
  <w:style w:type="paragraph" w:customStyle="1" w:styleId="Note2">
    <w:name w:val="Note2"/>
    <w:basedOn w:val="Note1"/>
    <w:qFormat/>
    <w:rsid w:val="00961D37"/>
    <w:pPr>
      <w:spacing w:before="120"/>
      <w:ind w:left="1080"/>
    </w:pPr>
  </w:style>
  <w:style w:type="paragraph" w:customStyle="1" w:styleId="Note3">
    <w:name w:val="Note3"/>
    <w:basedOn w:val="Note2"/>
    <w:qFormat/>
    <w:rsid w:val="00961D37"/>
    <w:pPr>
      <w:ind w:left="1440"/>
    </w:pPr>
  </w:style>
  <w:style w:type="paragraph" w:customStyle="1" w:styleId="TableNote">
    <w:name w:val="TableNote"/>
    <w:basedOn w:val="TableText"/>
    <w:next w:val="TableText"/>
    <w:qFormat/>
    <w:rsid w:val="00961D37"/>
    <w:pPr>
      <w:numPr>
        <w:numId w:val="13"/>
      </w:numPr>
      <w:spacing w:before="120" w:after="120"/>
    </w:pPr>
  </w:style>
  <w:style w:type="character" w:customStyle="1" w:styleId="HeaderItalic">
    <w:name w:val="HeaderItalic"/>
    <w:basedOn w:val="DefaultParagraphFont"/>
    <w:uiPriority w:val="1"/>
    <w:qFormat/>
    <w:rsid w:val="00961D37"/>
    <w:rPr>
      <w:i/>
    </w:rPr>
  </w:style>
  <w:style w:type="paragraph" w:customStyle="1" w:styleId="TableTextIndent3">
    <w:name w:val="TableTextIndent3"/>
    <w:basedOn w:val="TableTextIndent2"/>
    <w:qFormat/>
    <w:rsid w:val="00961D37"/>
    <w:pPr>
      <w:ind w:left="1080"/>
    </w:pPr>
  </w:style>
  <w:style w:type="paragraph" w:customStyle="1" w:styleId="TableBullet3">
    <w:name w:val="TableBullet3"/>
    <w:basedOn w:val="TableBullet2"/>
    <w:qFormat/>
    <w:rsid w:val="00961D37"/>
    <w:pPr>
      <w:numPr>
        <w:numId w:val="14"/>
      </w:numPr>
      <w:ind w:left="1080"/>
    </w:pPr>
  </w:style>
  <w:style w:type="paragraph" w:customStyle="1" w:styleId="TableNumBullet3">
    <w:name w:val="TableNumBullet3"/>
    <w:basedOn w:val="TableNumBullet2"/>
    <w:qFormat/>
    <w:rsid w:val="00961D37"/>
    <w:pPr>
      <w:numPr>
        <w:numId w:val="15"/>
      </w:numPr>
      <w:tabs>
        <w:tab w:val="clear" w:pos="720"/>
        <w:tab w:val="left" w:pos="1080"/>
      </w:tabs>
      <w:ind w:left="1080"/>
    </w:pPr>
  </w:style>
  <w:style w:type="paragraph" w:styleId="TOC4">
    <w:name w:val="toc 4"/>
    <w:basedOn w:val="Normal"/>
    <w:next w:val="Normal"/>
    <w:uiPriority w:val="39"/>
    <w:unhideWhenUsed/>
    <w:rsid w:val="00961D37"/>
    <w:pPr>
      <w:tabs>
        <w:tab w:val="right" w:leader="dot" w:pos="9016"/>
      </w:tabs>
      <w:ind w:left="720"/>
    </w:pPr>
    <w:rPr>
      <w:noProof/>
      <w:sz w:val="16"/>
    </w:rPr>
  </w:style>
  <w:style w:type="paragraph" w:customStyle="1" w:styleId="BodyTextFirst">
    <w:name w:val="BodyTextFirst"/>
    <w:basedOn w:val="BodyText"/>
    <w:next w:val="BodyText"/>
    <w:qFormat/>
    <w:rsid w:val="00961D37"/>
    <w:pPr>
      <w:spacing w:before="240"/>
    </w:pPr>
  </w:style>
  <w:style w:type="paragraph" w:customStyle="1" w:styleId="ChapterTitleInHeader">
    <w:name w:val="ChapterTitleInHeader"/>
    <w:basedOn w:val="BodyText"/>
    <w:qFormat/>
    <w:rsid w:val="00961D37"/>
    <w:pPr>
      <w:pBdr>
        <w:bottom w:val="single" w:sz="8" w:space="10" w:color="A6A6A6" w:themeColor="background1" w:themeShade="A6"/>
      </w:pBdr>
    </w:pPr>
    <w:rPr>
      <w:i/>
      <w:sz w:val="16"/>
    </w:rPr>
  </w:style>
  <w:style w:type="character" w:customStyle="1" w:styleId="XMLID">
    <w:name w:val="XMLID"/>
    <w:basedOn w:val="DefaultParagraphFont"/>
    <w:uiPriority w:val="1"/>
    <w:qFormat/>
    <w:rsid w:val="00961D37"/>
    <w:rPr>
      <w:rFonts w:ascii="Courier New" w:hAnsi="Courier New"/>
      <w:color w:val="943634" w:themeColor="accent2" w:themeShade="BF"/>
      <w:sz w:val="18"/>
    </w:rPr>
  </w:style>
  <w:style w:type="paragraph" w:customStyle="1" w:styleId="Figure">
    <w:name w:val="Figure"/>
    <w:basedOn w:val="BodyText"/>
    <w:qFormat/>
    <w:rsid w:val="00961D37"/>
    <w:pPr>
      <w:spacing w:after="360"/>
      <w:jc w:val="center"/>
    </w:pPr>
    <w:rPr>
      <w:b/>
    </w:rPr>
  </w:style>
  <w:style w:type="character" w:customStyle="1" w:styleId="XMLComment">
    <w:name w:val="XMLComment"/>
    <w:basedOn w:val="DefaultParagraphFont"/>
    <w:uiPriority w:val="1"/>
    <w:qFormat/>
    <w:rsid w:val="00961D37"/>
    <w:rPr>
      <w:rFonts w:ascii="Courier New" w:hAnsi="Courier New"/>
      <w:color w:val="6E6E6E"/>
      <w:sz w:val="18"/>
    </w:rPr>
  </w:style>
  <w:style w:type="character" w:styleId="UnresolvedMention">
    <w:name w:val="Unresolved Mention"/>
    <w:basedOn w:val="DefaultParagraphFont"/>
    <w:uiPriority w:val="99"/>
    <w:semiHidden/>
    <w:unhideWhenUsed/>
    <w:rsid w:val="00961D37"/>
    <w:rPr>
      <w:color w:val="808080"/>
      <w:shd w:val="clear" w:color="auto" w:fill="E6E6E6"/>
    </w:rPr>
  </w:style>
  <w:style w:type="paragraph" w:styleId="Bibliography">
    <w:name w:val="Bibliography"/>
    <w:basedOn w:val="Normal"/>
    <w:next w:val="Normal"/>
    <w:uiPriority w:val="37"/>
    <w:semiHidden/>
    <w:unhideWhenUsed/>
    <w:rsid w:val="00961D37"/>
  </w:style>
  <w:style w:type="paragraph" w:styleId="BlockText">
    <w:name w:val="Block Text"/>
    <w:basedOn w:val="Normal"/>
    <w:uiPriority w:val="99"/>
    <w:semiHidden/>
    <w:unhideWhenUsed/>
    <w:rsid w:val="00961D3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rsid w:val="00961D37"/>
    <w:pPr>
      <w:spacing w:line="480" w:lineRule="auto"/>
    </w:pPr>
  </w:style>
  <w:style w:type="character" w:customStyle="1" w:styleId="BodyText2Char">
    <w:name w:val="Body Text 2 Char"/>
    <w:basedOn w:val="DefaultParagraphFont"/>
    <w:link w:val="BodyText2"/>
    <w:uiPriority w:val="99"/>
    <w:semiHidden/>
    <w:rsid w:val="00961D37"/>
    <w:rPr>
      <w:rFonts w:ascii="Arial" w:hAnsi="Arial"/>
      <w:color w:val="414141"/>
      <w:sz w:val="20"/>
      <w:lang w:val="en-US"/>
    </w:rPr>
  </w:style>
  <w:style w:type="paragraph" w:styleId="BodyText3">
    <w:name w:val="Body Text 3"/>
    <w:basedOn w:val="Normal"/>
    <w:link w:val="BodyText3Char"/>
    <w:uiPriority w:val="99"/>
    <w:semiHidden/>
    <w:unhideWhenUsed/>
    <w:rsid w:val="00961D37"/>
    <w:rPr>
      <w:sz w:val="16"/>
      <w:szCs w:val="16"/>
    </w:rPr>
  </w:style>
  <w:style w:type="character" w:customStyle="1" w:styleId="BodyText3Char">
    <w:name w:val="Body Text 3 Char"/>
    <w:basedOn w:val="DefaultParagraphFont"/>
    <w:link w:val="BodyText3"/>
    <w:uiPriority w:val="99"/>
    <w:semiHidden/>
    <w:rsid w:val="00961D37"/>
    <w:rPr>
      <w:rFonts w:ascii="Arial" w:hAnsi="Arial"/>
      <w:color w:val="414141"/>
      <w:sz w:val="16"/>
      <w:szCs w:val="16"/>
      <w:lang w:val="en-US"/>
    </w:rPr>
  </w:style>
  <w:style w:type="paragraph" w:styleId="BodyTextFirstIndent">
    <w:name w:val="Body Text First Indent"/>
    <w:basedOn w:val="BodyText0"/>
    <w:link w:val="BodyTextFirstIndentChar"/>
    <w:uiPriority w:val="99"/>
    <w:semiHidden/>
    <w:unhideWhenUsed/>
    <w:rsid w:val="00961D37"/>
    <w:pPr>
      <w:ind w:firstLine="360"/>
    </w:pPr>
  </w:style>
  <w:style w:type="character" w:customStyle="1" w:styleId="BodyTextFirstIndentChar">
    <w:name w:val="Body Text First Indent Char"/>
    <w:basedOn w:val="BodyTextChar0"/>
    <w:link w:val="BodyTextFirstIndent"/>
    <w:uiPriority w:val="99"/>
    <w:semiHidden/>
    <w:rsid w:val="00961D37"/>
    <w:rPr>
      <w:rFonts w:ascii="Arial" w:hAnsi="Arial"/>
      <w:color w:val="414141"/>
      <w:sz w:val="20"/>
      <w:lang w:val="en-US"/>
    </w:rPr>
  </w:style>
  <w:style w:type="paragraph" w:styleId="BodyTextIndent">
    <w:name w:val="Body Text Indent"/>
    <w:basedOn w:val="Normal"/>
    <w:link w:val="BodyTextIndentChar"/>
    <w:uiPriority w:val="99"/>
    <w:semiHidden/>
    <w:unhideWhenUsed/>
    <w:rsid w:val="00961D37"/>
    <w:pPr>
      <w:ind w:left="360"/>
    </w:pPr>
  </w:style>
  <w:style w:type="character" w:customStyle="1" w:styleId="BodyTextIndentChar">
    <w:name w:val="Body Text Indent Char"/>
    <w:basedOn w:val="DefaultParagraphFont"/>
    <w:link w:val="BodyTextIndent"/>
    <w:uiPriority w:val="99"/>
    <w:semiHidden/>
    <w:rsid w:val="00961D37"/>
    <w:rPr>
      <w:rFonts w:ascii="Arial" w:hAnsi="Arial"/>
      <w:color w:val="414141"/>
      <w:sz w:val="20"/>
      <w:lang w:val="en-US"/>
    </w:rPr>
  </w:style>
  <w:style w:type="paragraph" w:styleId="BodyTextFirstIndent20">
    <w:name w:val="Body Text First Indent 2"/>
    <w:basedOn w:val="BodyTextIndent"/>
    <w:link w:val="BodyTextFirstIndent2Char"/>
    <w:uiPriority w:val="99"/>
    <w:semiHidden/>
    <w:unhideWhenUsed/>
    <w:rsid w:val="00961D37"/>
    <w:pPr>
      <w:ind w:firstLine="360"/>
    </w:pPr>
  </w:style>
  <w:style w:type="character" w:customStyle="1" w:styleId="BodyTextFirstIndent2Char">
    <w:name w:val="Body Text First Indent 2 Char"/>
    <w:basedOn w:val="BodyTextIndentChar"/>
    <w:link w:val="BodyTextFirstIndent20"/>
    <w:uiPriority w:val="99"/>
    <w:semiHidden/>
    <w:rsid w:val="00961D37"/>
    <w:rPr>
      <w:rFonts w:ascii="Arial" w:hAnsi="Arial"/>
      <w:color w:val="414141"/>
      <w:sz w:val="20"/>
      <w:lang w:val="en-US"/>
    </w:rPr>
  </w:style>
  <w:style w:type="paragraph" w:styleId="BodyTextIndent20">
    <w:name w:val="Body Text Indent 2"/>
    <w:basedOn w:val="Normal"/>
    <w:link w:val="BodyTextIndent2Char"/>
    <w:uiPriority w:val="99"/>
    <w:semiHidden/>
    <w:unhideWhenUsed/>
    <w:rsid w:val="00961D37"/>
    <w:pPr>
      <w:spacing w:line="480" w:lineRule="auto"/>
      <w:ind w:left="360"/>
    </w:pPr>
  </w:style>
  <w:style w:type="character" w:customStyle="1" w:styleId="BodyTextIndent2Char">
    <w:name w:val="Body Text Indent 2 Char"/>
    <w:basedOn w:val="DefaultParagraphFont"/>
    <w:link w:val="BodyTextIndent20"/>
    <w:uiPriority w:val="99"/>
    <w:semiHidden/>
    <w:rsid w:val="00961D37"/>
    <w:rPr>
      <w:rFonts w:ascii="Arial" w:hAnsi="Arial"/>
      <w:color w:val="414141"/>
      <w:sz w:val="20"/>
      <w:lang w:val="en-US"/>
    </w:rPr>
  </w:style>
  <w:style w:type="paragraph" w:styleId="BodyTextIndent30">
    <w:name w:val="Body Text Indent 3"/>
    <w:basedOn w:val="Normal"/>
    <w:link w:val="BodyTextIndent3Char"/>
    <w:uiPriority w:val="99"/>
    <w:semiHidden/>
    <w:unhideWhenUsed/>
    <w:rsid w:val="00961D37"/>
    <w:pPr>
      <w:ind w:left="360"/>
    </w:pPr>
    <w:rPr>
      <w:sz w:val="16"/>
      <w:szCs w:val="16"/>
    </w:rPr>
  </w:style>
  <w:style w:type="character" w:customStyle="1" w:styleId="BodyTextIndent3Char">
    <w:name w:val="Body Text Indent 3 Char"/>
    <w:basedOn w:val="DefaultParagraphFont"/>
    <w:link w:val="BodyTextIndent30"/>
    <w:uiPriority w:val="99"/>
    <w:semiHidden/>
    <w:rsid w:val="00961D37"/>
    <w:rPr>
      <w:rFonts w:ascii="Arial" w:hAnsi="Arial"/>
      <w:color w:val="414141"/>
      <w:sz w:val="16"/>
      <w:szCs w:val="16"/>
      <w:lang w:val="en-US"/>
    </w:rPr>
  </w:style>
  <w:style w:type="paragraph" w:styleId="Caption">
    <w:name w:val="caption"/>
    <w:basedOn w:val="Normal"/>
    <w:next w:val="Normal"/>
    <w:uiPriority w:val="35"/>
    <w:semiHidden/>
    <w:unhideWhenUsed/>
    <w:qFormat/>
    <w:rsid w:val="00961D37"/>
    <w:pPr>
      <w:spacing w:after="200"/>
    </w:pPr>
    <w:rPr>
      <w:i/>
      <w:iCs/>
      <w:color w:val="1F497D" w:themeColor="text2"/>
      <w:sz w:val="18"/>
      <w:szCs w:val="18"/>
    </w:rPr>
  </w:style>
  <w:style w:type="paragraph" w:styleId="Closing">
    <w:name w:val="Closing"/>
    <w:basedOn w:val="Normal"/>
    <w:link w:val="ClosingChar"/>
    <w:uiPriority w:val="99"/>
    <w:semiHidden/>
    <w:unhideWhenUsed/>
    <w:rsid w:val="00961D37"/>
    <w:pPr>
      <w:spacing w:after="0"/>
      <w:ind w:left="4320"/>
    </w:pPr>
  </w:style>
  <w:style w:type="character" w:customStyle="1" w:styleId="ClosingChar">
    <w:name w:val="Closing Char"/>
    <w:basedOn w:val="DefaultParagraphFont"/>
    <w:link w:val="Closing"/>
    <w:uiPriority w:val="99"/>
    <w:semiHidden/>
    <w:rsid w:val="00961D37"/>
    <w:rPr>
      <w:rFonts w:ascii="Arial" w:hAnsi="Arial"/>
      <w:color w:val="414141"/>
      <w:sz w:val="20"/>
      <w:lang w:val="en-US"/>
    </w:rPr>
  </w:style>
  <w:style w:type="paragraph" w:styleId="CommentText">
    <w:name w:val="annotation text"/>
    <w:basedOn w:val="Normal"/>
    <w:link w:val="CommentTextChar"/>
    <w:uiPriority w:val="99"/>
    <w:unhideWhenUsed/>
    <w:rsid w:val="00961D37"/>
    <w:rPr>
      <w:szCs w:val="20"/>
    </w:rPr>
  </w:style>
  <w:style w:type="character" w:customStyle="1" w:styleId="CommentTextChar">
    <w:name w:val="Comment Text Char"/>
    <w:basedOn w:val="DefaultParagraphFont"/>
    <w:link w:val="CommentText"/>
    <w:uiPriority w:val="99"/>
    <w:rsid w:val="00961D37"/>
    <w:rPr>
      <w:rFonts w:ascii="Arial" w:hAnsi="Arial"/>
      <w:color w:val="414141"/>
      <w:sz w:val="20"/>
      <w:szCs w:val="20"/>
      <w:lang w:val="en-US"/>
    </w:rPr>
  </w:style>
  <w:style w:type="paragraph" w:styleId="CommentSubject">
    <w:name w:val="annotation subject"/>
    <w:basedOn w:val="CommentText"/>
    <w:next w:val="CommentText"/>
    <w:link w:val="CommentSubjectChar"/>
    <w:uiPriority w:val="99"/>
    <w:semiHidden/>
    <w:unhideWhenUsed/>
    <w:rsid w:val="00961D37"/>
    <w:rPr>
      <w:b/>
      <w:bCs/>
    </w:rPr>
  </w:style>
  <w:style w:type="character" w:customStyle="1" w:styleId="CommentSubjectChar">
    <w:name w:val="Comment Subject Char"/>
    <w:basedOn w:val="CommentTextChar"/>
    <w:link w:val="CommentSubject"/>
    <w:uiPriority w:val="99"/>
    <w:semiHidden/>
    <w:rsid w:val="00961D37"/>
    <w:rPr>
      <w:rFonts w:ascii="Arial" w:hAnsi="Arial"/>
      <w:b/>
      <w:bCs/>
      <w:color w:val="414141"/>
      <w:sz w:val="20"/>
      <w:szCs w:val="20"/>
      <w:lang w:val="en-US"/>
    </w:rPr>
  </w:style>
  <w:style w:type="paragraph" w:styleId="Date">
    <w:name w:val="Date"/>
    <w:basedOn w:val="Normal"/>
    <w:next w:val="Normal"/>
    <w:link w:val="DateChar"/>
    <w:uiPriority w:val="99"/>
    <w:semiHidden/>
    <w:unhideWhenUsed/>
    <w:rsid w:val="00961D37"/>
  </w:style>
  <w:style w:type="character" w:customStyle="1" w:styleId="DateChar">
    <w:name w:val="Date Char"/>
    <w:basedOn w:val="DefaultParagraphFont"/>
    <w:link w:val="Date"/>
    <w:uiPriority w:val="99"/>
    <w:semiHidden/>
    <w:rsid w:val="00961D37"/>
    <w:rPr>
      <w:rFonts w:ascii="Arial" w:hAnsi="Arial"/>
      <w:color w:val="414141"/>
      <w:sz w:val="20"/>
      <w:lang w:val="en-US"/>
    </w:rPr>
  </w:style>
  <w:style w:type="paragraph" w:styleId="DocumentMap">
    <w:name w:val="Document Map"/>
    <w:basedOn w:val="Normal"/>
    <w:link w:val="DocumentMapChar"/>
    <w:uiPriority w:val="99"/>
    <w:semiHidden/>
    <w:unhideWhenUsed/>
    <w:rsid w:val="00961D37"/>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1D37"/>
    <w:rPr>
      <w:rFonts w:ascii="Segoe UI" w:hAnsi="Segoe UI" w:cs="Segoe UI"/>
      <w:color w:val="414141"/>
      <w:sz w:val="16"/>
      <w:szCs w:val="16"/>
      <w:lang w:val="en-US"/>
    </w:rPr>
  </w:style>
  <w:style w:type="paragraph" w:styleId="E-mailSignature">
    <w:name w:val="E-mail Signature"/>
    <w:basedOn w:val="Normal"/>
    <w:link w:val="E-mailSignatureChar"/>
    <w:uiPriority w:val="99"/>
    <w:semiHidden/>
    <w:unhideWhenUsed/>
    <w:rsid w:val="00961D37"/>
    <w:pPr>
      <w:spacing w:after="0"/>
    </w:pPr>
  </w:style>
  <w:style w:type="character" w:customStyle="1" w:styleId="E-mailSignatureChar">
    <w:name w:val="E-mail Signature Char"/>
    <w:basedOn w:val="DefaultParagraphFont"/>
    <w:link w:val="E-mailSignature"/>
    <w:uiPriority w:val="99"/>
    <w:semiHidden/>
    <w:rsid w:val="00961D37"/>
    <w:rPr>
      <w:rFonts w:ascii="Arial" w:hAnsi="Arial"/>
      <w:color w:val="414141"/>
      <w:sz w:val="20"/>
      <w:lang w:val="en-US"/>
    </w:rPr>
  </w:style>
  <w:style w:type="paragraph" w:styleId="EndnoteText">
    <w:name w:val="endnote text"/>
    <w:basedOn w:val="Normal"/>
    <w:link w:val="EndnoteTextChar"/>
    <w:uiPriority w:val="99"/>
    <w:semiHidden/>
    <w:unhideWhenUsed/>
    <w:rsid w:val="00961D37"/>
    <w:pPr>
      <w:spacing w:after="0"/>
    </w:pPr>
    <w:rPr>
      <w:szCs w:val="20"/>
    </w:rPr>
  </w:style>
  <w:style w:type="character" w:customStyle="1" w:styleId="EndnoteTextChar">
    <w:name w:val="Endnote Text Char"/>
    <w:basedOn w:val="DefaultParagraphFont"/>
    <w:link w:val="EndnoteText"/>
    <w:uiPriority w:val="99"/>
    <w:semiHidden/>
    <w:rsid w:val="00961D37"/>
    <w:rPr>
      <w:rFonts w:ascii="Arial" w:hAnsi="Arial"/>
      <w:color w:val="414141"/>
      <w:sz w:val="20"/>
      <w:szCs w:val="20"/>
      <w:lang w:val="en-US"/>
    </w:rPr>
  </w:style>
  <w:style w:type="paragraph" w:styleId="EnvelopeAddress">
    <w:name w:val="envelope address"/>
    <w:basedOn w:val="Normal"/>
    <w:uiPriority w:val="99"/>
    <w:semiHidden/>
    <w:unhideWhenUsed/>
    <w:rsid w:val="00961D3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61D3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961D37"/>
    <w:pPr>
      <w:spacing w:after="0"/>
    </w:pPr>
    <w:rPr>
      <w:szCs w:val="20"/>
    </w:rPr>
  </w:style>
  <w:style w:type="character" w:customStyle="1" w:styleId="FootnoteTextChar">
    <w:name w:val="Footnote Text Char"/>
    <w:basedOn w:val="DefaultParagraphFont"/>
    <w:link w:val="FootnoteText"/>
    <w:uiPriority w:val="99"/>
    <w:semiHidden/>
    <w:rsid w:val="00961D37"/>
    <w:rPr>
      <w:rFonts w:ascii="Arial" w:hAnsi="Arial"/>
      <w:color w:val="414141"/>
      <w:sz w:val="20"/>
      <w:szCs w:val="20"/>
      <w:lang w:val="en-US"/>
    </w:rPr>
  </w:style>
  <w:style w:type="paragraph" w:styleId="HTMLAddress">
    <w:name w:val="HTML Address"/>
    <w:basedOn w:val="Normal"/>
    <w:link w:val="HTMLAddressChar"/>
    <w:uiPriority w:val="99"/>
    <w:semiHidden/>
    <w:unhideWhenUsed/>
    <w:rsid w:val="00961D37"/>
    <w:pPr>
      <w:spacing w:after="0"/>
    </w:pPr>
    <w:rPr>
      <w:i/>
      <w:iCs/>
    </w:rPr>
  </w:style>
  <w:style w:type="character" w:customStyle="1" w:styleId="HTMLAddressChar">
    <w:name w:val="HTML Address Char"/>
    <w:basedOn w:val="DefaultParagraphFont"/>
    <w:link w:val="HTMLAddress"/>
    <w:uiPriority w:val="99"/>
    <w:semiHidden/>
    <w:rsid w:val="00961D37"/>
    <w:rPr>
      <w:rFonts w:ascii="Arial" w:hAnsi="Arial"/>
      <w:i/>
      <w:iCs/>
      <w:color w:val="414141"/>
      <w:sz w:val="20"/>
      <w:lang w:val="en-US"/>
    </w:rPr>
  </w:style>
  <w:style w:type="paragraph" w:styleId="HTMLPreformatted">
    <w:name w:val="HTML Preformatted"/>
    <w:basedOn w:val="Normal"/>
    <w:link w:val="HTMLPreformattedChar"/>
    <w:uiPriority w:val="99"/>
    <w:semiHidden/>
    <w:unhideWhenUsed/>
    <w:rsid w:val="00961D3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61D37"/>
    <w:rPr>
      <w:rFonts w:ascii="Consolas" w:hAnsi="Consolas"/>
      <w:color w:val="414141"/>
      <w:sz w:val="20"/>
      <w:szCs w:val="20"/>
      <w:lang w:val="en-US"/>
    </w:rPr>
  </w:style>
  <w:style w:type="paragraph" w:styleId="Index1">
    <w:name w:val="index 1"/>
    <w:basedOn w:val="Normal"/>
    <w:next w:val="Normal"/>
    <w:uiPriority w:val="99"/>
    <w:semiHidden/>
    <w:unhideWhenUsed/>
    <w:rsid w:val="00961D37"/>
    <w:pPr>
      <w:spacing w:after="0"/>
      <w:ind w:left="200" w:hanging="200"/>
    </w:pPr>
  </w:style>
  <w:style w:type="paragraph" w:styleId="Index2">
    <w:name w:val="index 2"/>
    <w:basedOn w:val="Normal"/>
    <w:next w:val="Normal"/>
    <w:uiPriority w:val="99"/>
    <w:semiHidden/>
    <w:unhideWhenUsed/>
    <w:rsid w:val="00961D37"/>
    <w:pPr>
      <w:spacing w:after="0"/>
      <w:ind w:left="400" w:hanging="200"/>
    </w:pPr>
  </w:style>
  <w:style w:type="paragraph" w:styleId="Index3">
    <w:name w:val="index 3"/>
    <w:basedOn w:val="Normal"/>
    <w:next w:val="Normal"/>
    <w:uiPriority w:val="99"/>
    <w:semiHidden/>
    <w:unhideWhenUsed/>
    <w:rsid w:val="00961D37"/>
    <w:pPr>
      <w:spacing w:after="0"/>
      <w:ind w:left="600" w:hanging="200"/>
    </w:pPr>
  </w:style>
  <w:style w:type="paragraph" w:styleId="Index4">
    <w:name w:val="index 4"/>
    <w:basedOn w:val="Normal"/>
    <w:next w:val="Normal"/>
    <w:uiPriority w:val="99"/>
    <w:semiHidden/>
    <w:unhideWhenUsed/>
    <w:rsid w:val="00961D37"/>
    <w:pPr>
      <w:spacing w:after="0"/>
      <w:ind w:left="800" w:hanging="200"/>
    </w:pPr>
  </w:style>
  <w:style w:type="paragraph" w:styleId="Index5">
    <w:name w:val="index 5"/>
    <w:basedOn w:val="Normal"/>
    <w:next w:val="Normal"/>
    <w:uiPriority w:val="99"/>
    <w:semiHidden/>
    <w:unhideWhenUsed/>
    <w:rsid w:val="00961D37"/>
    <w:pPr>
      <w:spacing w:after="0"/>
      <w:ind w:left="1000" w:hanging="200"/>
    </w:pPr>
  </w:style>
  <w:style w:type="paragraph" w:styleId="Index6">
    <w:name w:val="index 6"/>
    <w:basedOn w:val="Normal"/>
    <w:next w:val="Normal"/>
    <w:uiPriority w:val="99"/>
    <w:semiHidden/>
    <w:unhideWhenUsed/>
    <w:rsid w:val="00961D37"/>
    <w:pPr>
      <w:spacing w:after="0"/>
      <w:ind w:left="1200" w:hanging="200"/>
    </w:pPr>
  </w:style>
  <w:style w:type="paragraph" w:styleId="Index7">
    <w:name w:val="index 7"/>
    <w:basedOn w:val="Normal"/>
    <w:next w:val="Normal"/>
    <w:uiPriority w:val="99"/>
    <w:semiHidden/>
    <w:unhideWhenUsed/>
    <w:rsid w:val="00961D37"/>
    <w:pPr>
      <w:spacing w:after="0"/>
      <w:ind w:left="1400" w:hanging="200"/>
    </w:pPr>
  </w:style>
  <w:style w:type="paragraph" w:styleId="Index8">
    <w:name w:val="index 8"/>
    <w:basedOn w:val="Normal"/>
    <w:next w:val="Normal"/>
    <w:uiPriority w:val="99"/>
    <w:semiHidden/>
    <w:unhideWhenUsed/>
    <w:rsid w:val="00961D37"/>
    <w:pPr>
      <w:spacing w:after="0"/>
      <w:ind w:left="1600" w:hanging="200"/>
    </w:pPr>
  </w:style>
  <w:style w:type="paragraph" w:styleId="Index9">
    <w:name w:val="index 9"/>
    <w:basedOn w:val="Normal"/>
    <w:next w:val="Normal"/>
    <w:uiPriority w:val="99"/>
    <w:semiHidden/>
    <w:unhideWhenUsed/>
    <w:rsid w:val="00961D37"/>
    <w:pPr>
      <w:spacing w:after="0"/>
      <w:ind w:left="1800" w:hanging="200"/>
    </w:pPr>
  </w:style>
  <w:style w:type="paragraph" w:styleId="IndexHeading">
    <w:name w:val="index heading"/>
    <w:basedOn w:val="Normal"/>
    <w:next w:val="Index1"/>
    <w:uiPriority w:val="99"/>
    <w:semiHidden/>
    <w:unhideWhenUsed/>
    <w:rsid w:val="00961D3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61D3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61D37"/>
    <w:rPr>
      <w:rFonts w:ascii="Arial" w:hAnsi="Arial"/>
      <w:i/>
      <w:iCs/>
      <w:color w:val="4F81BD" w:themeColor="accent1"/>
      <w:sz w:val="20"/>
      <w:lang w:val="en-US"/>
    </w:rPr>
  </w:style>
  <w:style w:type="paragraph" w:styleId="List">
    <w:name w:val="List"/>
    <w:basedOn w:val="Normal"/>
    <w:uiPriority w:val="99"/>
    <w:semiHidden/>
    <w:unhideWhenUsed/>
    <w:rsid w:val="00961D37"/>
    <w:pPr>
      <w:ind w:left="360" w:hanging="360"/>
      <w:contextualSpacing/>
    </w:pPr>
  </w:style>
  <w:style w:type="paragraph" w:styleId="List2">
    <w:name w:val="List 2"/>
    <w:basedOn w:val="Normal"/>
    <w:uiPriority w:val="99"/>
    <w:semiHidden/>
    <w:unhideWhenUsed/>
    <w:rsid w:val="00961D37"/>
    <w:pPr>
      <w:ind w:left="720" w:hanging="360"/>
      <w:contextualSpacing/>
    </w:pPr>
  </w:style>
  <w:style w:type="paragraph" w:styleId="List3">
    <w:name w:val="List 3"/>
    <w:basedOn w:val="Normal"/>
    <w:uiPriority w:val="99"/>
    <w:semiHidden/>
    <w:unhideWhenUsed/>
    <w:rsid w:val="00961D37"/>
    <w:pPr>
      <w:ind w:left="1080" w:hanging="360"/>
      <w:contextualSpacing/>
    </w:pPr>
  </w:style>
  <w:style w:type="paragraph" w:styleId="List4">
    <w:name w:val="List 4"/>
    <w:basedOn w:val="Normal"/>
    <w:uiPriority w:val="99"/>
    <w:semiHidden/>
    <w:unhideWhenUsed/>
    <w:rsid w:val="00961D37"/>
    <w:pPr>
      <w:ind w:left="1440" w:hanging="360"/>
      <w:contextualSpacing/>
    </w:pPr>
  </w:style>
  <w:style w:type="paragraph" w:styleId="List5">
    <w:name w:val="List 5"/>
    <w:basedOn w:val="Normal"/>
    <w:uiPriority w:val="99"/>
    <w:semiHidden/>
    <w:unhideWhenUsed/>
    <w:rsid w:val="00961D37"/>
    <w:pPr>
      <w:ind w:left="1800" w:hanging="360"/>
      <w:contextualSpacing/>
    </w:pPr>
  </w:style>
  <w:style w:type="paragraph" w:styleId="ListBullet2">
    <w:name w:val="List Bullet 2"/>
    <w:basedOn w:val="Normal"/>
    <w:uiPriority w:val="99"/>
    <w:semiHidden/>
    <w:unhideWhenUsed/>
    <w:rsid w:val="00961D37"/>
    <w:pPr>
      <w:numPr>
        <w:numId w:val="21"/>
      </w:numPr>
      <w:contextualSpacing/>
    </w:pPr>
  </w:style>
  <w:style w:type="paragraph" w:styleId="ListBullet3">
    <w:name w:val="List Bullet 3"/>
    <w:basedOn w:val="Normal"/>
    <w:uiPriority w:val="99"/>
    <w:semiHidden/>
    <w:unhideWhenUsed/>
    <w:rsid w:val="00961D37"/>
    <w:pPr>
      <w:numPr>
        <w:numId w:val="22"/>
      </w:numPr>
      <w:contextualSpacing/>
    </w:pPr>
  </w:style>
  <w:style w:type="paragraph" w:styleId="ListBullet4">
    <w:name w:val="List Bullet 4"/>
    <w:basedOn w:val="Normal"/>
    <w:uiPriority w:val="99"/>
    <w:semiHidden/>
    <w:unhideWhenUsed/>
    <w:rsid w:val="00961D37"/>
    <w:pPr>
      <w:numPr>
        <w:numId w:val="23"/>
      </w:numPr>
      <w:contextualSpacing/>
    </w:pPr>
  </w:style>
  <w:style w:type="paragraph" w:styleId="ListBullet5">
    <w:name w:val="List Bullet 5"/>
    <w:basedOn w:val="Normal"/>
    <w:uiPriority w:val="99"/>
    <w:semiHidden/>
    <w:unhideWhenUsed/>
    <w:rsid w:val="00961D37"/>
    <w:pPr>
      <w:numPr>
        <w:numId w:val="24"/>
      </w:numPr>
      <w:contextualSpacing/>
    </w:pPr>
  </w:style>
  <w:style w:type="paragraph" w:styleId="ListContinue">
    <w:name w:val="List Continue"/>
    <w:basedOn w:val="Normal"/>
    <w:uiPriority w:val="99"/>
    <w:semiHidden/>
    <w:unhideWhenUsed/>
    <w:rsid w:val="00961D37"/>
    <w:pPr>
      <w:ind w:left="360"/>
      <w:contextualSpacing/>
    </w:pPr>
  </w:style>
  <w:style w:type="paragraph" w:styleId="ListContinue2">
    <w:name w:val="List Continue 2"/>
    <w:basedOn w:val="Normal"/>
    <w:uiPriority w:val="99"/>
    <w:semiHidden/>
    <w:unhideWhenUsed/>
    <w:rsid w:val="00961D37"/>
    <w:pPr>
      <w:ind w:left="720"/>
      <w:contextualSpacing/>
    </w:pPr>
  </w:style>
  <w:style w:type="paragraph" w:styleId="ListContinue3">
    <w:name w:val="List Continue 3"/>
    <w:basedOn w:val="Normal"/>
    <w:uiPriority w:val="99"/>
    <w:semiHidden/>
    <w:unhideWhenUsed/>
    <w:rsid w:val="00961D37"/>
    <w:pPr>
      <w:ind w:left="1080"/>
      <w:contextualSpacing/>
    </w:pPr>
  </w:style>
  <w:style w:type="paragraph" w:styleId="ListContinue4">
    <w:name w:val="List Continue 4"/>
    <w:basedOn w:val="Normal"/>
    <w:uiPriority w:val="99"/>
    <w:semiHidden/>
    <w:unhideWhenUsed/>
    <w:rsid w:val="00961D37"/>
    <w:pPr>
      <w:ind w:left="1440"/>
      <w:contextualSpacing/>
    </w:pPr>
  </w:style>
  <w:style w:type="paragraph" w:styleId="ListContinue5">
    <w:name w:val="List Continue 5"/>
    <w:basedOn w:val="Normal"/>
    <w:uiPriority w:val="99"/>
    <w:semiHidden/>
    <w:unhideWhenUsed/>
    <w:rsid w:val="00961D37"/>
    <w:pPr>
      <w:ind w:left="1800"/>
      <w:contextualSpacing/>
    </w:pPr>
  </w:style>
  <w:style w:type="paragraph" w:styleId="ListNumber">
    <w:name w:val="List Number"/>
    <w:basedOn w:val="Normal"/>
    <w:uiPriority w:val="99"/>
    <w:semiHidden/>
    <w:unhideWhenUsed/>
    <w:rsid w:val="00961D37"/>
    <w:pPr>
      <w:numPr>
        <w:numId w:val="19"/>
      </w:numPr>
      <w:contextualSpacing/>
    </w:pPr>
  </w:style>
  <w:style w:type="paragraph" w:styleId="ListNumber2">
    <w:name w:val="List Number 2"/>
    <w:basedOn w:val="Normal"/>
    <w:uiPriority w:val="99"/>
    <w:semiHidden/>
    <w:unhideWhenUsed/>
    <w:rsid w:val="00961D37"/>
    <w:pPr>
      <w:numPr>
        <w:numId w:val="25"/>
      </w:numPr>
      <w:contextualSpacing/>
    </w:pPr>
  </w:style>
  <w:style w:type="paragraph" w:styleId="ListNumber3">
    <w:name w:val="List Number 3"/>
    <w:basedOn w:val="Normal"/>
    <w:uiPriority w:val="99"/>
    <w:semiHidden/>
    <w:unhideWhenUsed/>
    <w:rsid w:val="00961D37"/>
    <w:pPr>
      <w:numPr>
        <w:numId w:val="18"/>
      </w:numPr>
      <w:contextualSpacing/>
    </w:pPr>
  </w:style>
  <w:style w:type="paragraph" w:styleId="ListNumber4">
    <w:name w:val="List Number 4"/>
    <w:basedOn w:val="Normal"/>
    <w:uiPriority w:val="99"/>
    <w:semiHidden/>
    <w:unhideWhenUsed/>
    <w:rsid w:val="00961D37"/>
    <w:pPr>
      <w:numPr>
        <w:numId w:val="26"/>
      </w:numPr>
      <w:contextualSpacing/>
    </w:pPr>
  </w:style>
  <w:style w:type="paragraph" w:styleId="ListNumber5">
    <w:name w:val="List Number 5"/>
    <w:basedOn w:val="Normal"/>
    <w:uiPriority w:val="99"/>
    <w:semiHidden/>
    <w:unhideWhenUsed/>
    <w:rsid w:val="00961D37"/>
    <w:pPr>
      <w:numPr>
        <w:numId w:val="27"/>
      </w:numPr>
      <w:contextualSpacing/>
    </w:pPr>
  </w:style>
  <w:style w:type="paragraph" w:styleId="ListParagraph">
    <w:name w:val="List Paragraph"/>
    <w:basedOn w:val="Normal"/>
    <w:uiPriority w:val="34"/>
    <w:qFormat/>
    <w:rsid w:val="00961D37"/>
    <w:pPr>
      <w:ind w:left="720"/>
      <w:contextualSpacing/>
    </w:pPr>
  </w:style>
  <w:style w:type="paragraph" w:styleId="MacroText">
    <w:name w:val="macro"/>
    <w:link w:val="MacroTextChar"/>
    <w:uiPriority w:val="99"/>
    <w:semiHidden/>
    <w:unhideWhenUsed/>
    <w:rsid w:val="00961D3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14141"/>
      <w:sz w:val="20"/>
      <w:szCs w:val="20"/>
      <w:lang w:val="en-US"/>
    </w:rPr>
  </w:style>
  <w:style w:type="character" w:customStyle="1" w:styleId="MacroTextChar">
    <w:name w:val="Macro Text Char"/>
    <w:basedOn w:val="DefaultParagraphFont"/>
    <w:link w:val="MacroText"/>
    <w:uiPriority w:val="99"/>
    <w:semiHidden/>
    <w:rsid w:val="00961D37"/>
    <w:rPr>
      <w:rFonts w:ascii="Consolas" w:hAnsi="Consolas"/>
      <w:color w:val="414141"/>
      <w:sz w:val="20"/>
      <w:szCs w:val="20"/>
      <w:lang w:val="en-US"/>
    </w:rPr>
  </w:style>
  <w:style w:type="paragraph" w:styleId="MessageHeader">
    <w:name w:val="Message Header"/>
    <w:basedOn w:val="Normal"/>
    <w:link w:val="MessageHeaderChar"/>
    <w:uiPriority w:val="99"/>
    <w:semiHidden/>
    <w:unhideWhenUsed/>
    <w:rsid w:val="00961D3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61D37"/>
    <w:rPr>
      <w:rFonts w:asciiTheme="majorHAnsi" w:eastAsiaTheme="majorEastAsia" w:hAnsiTheme="majorHAnsi" w:cstheme="majorBidi"/>
      <w:color w:val="414141"/>
      <w:sz w:val="24"/>
      <w:szCs w:val="24"/>
      <w:shd w:val="pct20" w:color="auto" w:fill="auto"/>
      <w:lang w:val="en-US"/>
    </w:rPr>
  </w:style>
  <w:style w:type="paragraph" w:styleId="NoSpacing">
    <w:name w:val="No Spacing"/>
    <w:link w:val="NoSpacingChar"/>
    <w:uiPriority w:val="1"/>
    <w:qFormat/>
    <w:rsid w:val="00961D37"/>
    <w:pPr>
      <w:spacing w:after="0" w:line="240" w:lineRule="auto"/>
    </w:pPr>
    <w:rPr>
      <w:rFonts w:ascii="Arial" w:hAnsi="Arial"/>
      <w:color w:val="414141"/>
      <w:sz w:val="20"/>
      <w:lang w:val="en-US"/>
    </w:rPr>
  </w:style>
  <w:style w:type="paragraph" w:styleId="NormalWeb">
    <w:name w:val="Normal (Web)"/>
    <w:basedOn w:val="Normal"/>
    <w:uiPriority w:val="99"/>
    <w:semiHidden/>
    <w:unhideWhenUsed/>
    <w:rsid w:val="00961D37"/>
    <w:rPr>
      <w:rFonts w:ascii="Times New Roman" w:hAnsi="Times New Roman" w:cs="Times New Roman"/>
      <w:sz w:val="24"/>
      <w:szCs w:val="24"/>
    </w:rPr>
  </w:style>
  <w:style w:type="paragraph" w:styleId="NormalIndent">
    <w:name w:val="Normal Indent"/>
    <w:basedOn w:val="Normal"/>
    <w:uiPriority w:val="99"/>
    <w:semiHidden/>
    <w:unhideWhenUsed/>
    <w:rsid w:val="00961D37"/>
    <w:pPr>
      <w:ind w:left="720"/>
    </w:pPr>
  </w:style>
  <w:style w:type="paragraph" w:styleId="NoteHeading">
    <w:name w:val="Note Heading"/>
    <w:basedOn w:val="Normal"/>
    <w:next w:val="Normal"/>
    <w:link w:val="NoteHeadingChar"/>
    <w:uiPriority w:val="99"/>
    <w:semiHidden/>
    <w:unhideWhenUsed/>
    <w:rsid w:val="00961D37"/>
    <w:pPr>
      <w:spacing w:after="0"/>
    </w:pPr>
  </w:style>
  <w:style w:type="character" w:customStyle="1" w:styleId="NoteHeadingChar">
    <w:name w:val="Note Heading Char"/>
    <w:basedOn w:val="DefaultParagraphFont"/>
    <w:link w:val="NoteHeading"/>
    <w:uiPriority w:val="99"/>
    <w:semiHidden/>
    <w:rsid w:val="00961D37"/>
    <w:rPr>
      <w:rFonts w:ascii="Arial" w:hAnsi="Arial"/>
      <w:color w:val="414141"/>
      <w:sz w:val="20"/>
      <w:lang w:val="en-US"/>
    </w:rPr>
  </w:style>
  <w:style w:type="paragraph" w:styleId="PlainText">
    <w:name w:val="Plain Text"/>
    <w:basedOn w:val="Normal"/>
    <w:link w:val="PlainTextChar"/>
    <w:uiPriority w:val="99"/>
    <w:semiHidden/>
    <w:unhideWhenUsed/>
    <w:rsid w:val="00961D37"/>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961D37"/>
    <w:rPr>
      <w:rFonts w:ascii="Consolas" w:hAnsi="Consolas"/>
      <w:color w:val="414141"/>
      <w:sz w:val="21"/>
      <w:szCs w:val="21"/>
      <w:lang w:val="en-US"/>
    </w:rPr>
  </w:style>
  <w:style w:type="paragraph" w:styleId="Quote">
    <w:name w:val="Quote"/>
    <w:basedOn w:val="Normal"/>
    <w:next w:val="Normal"/>
    <w:link w:val="QuoteChar"/>
    <w:uiPriority w:val="29"/>
    <w:qFormat/>
    <w:rsid w:val="00961D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61D37"/>
    <w:rPr>
      <w:rFonts w:ascii="Arial" w:hAnsi="Arial"/>
      <w:i/>
      <w:iCs/>
      <w:color w:val="404040" w:themeColor="text1" w:themeTint="BF"/>
      <w:sz w:val="20"/>
      <w:lang w:val="en-US"/>
    </w:rPr>
  </w:style>
  <w:style w:type="paragraph" w:styleId="Salutation">
    <w:name w:val="Salutation"/>
    <w:basedOn w:val="Normal"/>
    <w:next w:val="Normal"/>
    <w:link w:val="SalutationChar"/>
    <w:uiPriority w:val="99"/>
    <w:semiHidden/>
    <w:unhideWhenUsed/>
    <w:rsid w:val="00961D37"/>
  </w:style>
  <w:style w:type="character" w:customStyle="1" w:styleId="SalutationChar">
    <w:name w:val="Salutation Char"/>
    <w:basedOn w:val="DefaultParagraphFont"/>
    <w:link w:val="Salutation"/>
    <w:uiPriority w:val="99"/>
    <w:semiHidden/>
    <w:rsid w:val="00961D37"/>
    <w:rPr>
      <w:rFonts w:ascii="Arial" w:hAnsi="Arial"/>
      <w:color w:val="414141"/>
      <w:sz w:val="20"/>
      <w:lang w:val="en-US"/>
    </w:rPr>
  </w:style>
  <w:style w:type="paragraph" w:styleId="Signature">
    <w:name w:val="Signature"/>
    <w:basedOn w:val="Normal"/>
    <w:link w:val="SignatureChar"/>
    <w:uiPriority w:val="99"/>
    <w:semiHidden/>
    <w:unhideWhenUsed/>
    <w:rsid w:val="00961D37"/>
    <w:pPr>
      <w:spacing w:after="0"/>
      <w:ind w:left="4320"/>
    </w:pPr>
  </w:style>
  <w:style w:type="character" w:customStyle="1" w:styleId="SignatureChar">
    <w:name w:val="Signature Char"/>
    <w:basedOn w:val="DefaultParagraphFont"/>
    <w:link w:val="Signature"/>
    <w:uiPriority w:val="99"/>
    <w:semiHidden/>
    <w:rsid w:val="00961D37"/>
    <w:rPr>
      <w:rFonts w:ascii="Arial" w:hAnsi="Arial"/>
      <w:color w:val="414141"/>
      <w:sz w:val="20"/>
      <w:lang w:val="en-US"/>
    </w:rPr>
  </w:style>
  <w:style w:type="paragraph" w:styleId="Subtitle">
    <w:name w:val="Subtitle"/>
    <w:basedOn w:val="Normal"/>
    <w:next w:val="Normal"/>
    <w:link w:val="SubtitleChar"/>
    <w:uiPriority w:val="11"/>
    <w:unhideWhenUsed/>
    <w:qFormat/>
    <w:rsid w:val="00961D3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61D37"/>
    <w:rPr>
      <w:rFonts w:eastAsiaTheme="minorEastAsia"/>
      <w:color w:val="5A5A5A" w:themeColor="text1" w:themeTint="A5"/>
      <w:spacing w:val="15"/>
      <w:lang w:val="en-US"/>
    </w:rPr>
  </w:style>
  <w:style w:type="paragraph" w:styleId="TableofAuthorities">
    <w:name w:val="table of authorities"/>
    <w:basedOn w:val="Normal"/>
    <w:next w:val="Normal"/>
    <w:uiPriority w:val="99"/>
    <w:semiHidden/>
    <w:unhideWhenUsed/>
    <w:rsid w:val="00961D37"/>
    <w:pPr>
      <w:spacing w:after="0"/>
      <w:ind w:left="200" w:hanging="200"/>
    </w:pPr>
  </w:style>
  <w:style w:type="paragraph" w:styleId="TableofFigures">
    <w:name w:val="table of figures"/>
    <w:basedOn w:val="Normal"/>
    <w:next w:val="Normal"/>
    <w:uiPriority w:val="99"/>
    <w:semiHidden/>
    <w:unhideWhenUsed/>
    <w:rsid w:val="00961D37"/>
    <w:pPr>
      <w:spacing w:after="0"/>
    </w:pPr>
  </w:style>
  <w:style w:type="paragraph" w:styleId="Title">
    <w:name w:val="Title"/>
    <w:basedOn w:val="Normal"/>
    <w:next w:val="Normal"/>
    <w:link w:val="TitleChar"/>
    <w:uiPriority w:val="10"/>
    <w:qFormat/>
    <w:rsid w:val="00961D37"/>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1D37"/>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961D37"/>
    <w:pPr>
      <w:spacing w:before="120"/>
    </w:pPr>
    <w:rPr>
      <w:rFonts w:asciiTheme="majorHAnsi" w:eastAsiaTheme="majorEastAsia" w:hAnsiTheme="majorHAnsi" w:cstheme="majorBidi"/>
      <w:b/>
      <w:bCs/>
      <w:sz w:val="24"/>
      <w:szCs w:val="24"/>
    </w:rPr>
  </w:style>
  <w:style w:type="paragraph" w:styleId="TOC5">
    <w:name w:val="toc 5"/>
    <w:basedOn w:val="Normal"/>
    <w:next w:val="Normal"/>
    <w:uiPriority w:val="39"/>
    <w:semiHidden/>
    <w:unhideWhenUsed/>
    <w:rsid w:val="00961D37"/>
    <w:pPr>
      <w:spacing w:after="100"/>
      <w:ind w:left="800"/>
    </w:pPr>
  </w:style>
  <w:style w:type="paragraph" w:styleId="TOC6">
    <w:name w:val="toc 6"/>
    <w:basedOn w:val="Normal"/>
    <w:next w:val="Normal"/>
    <w:uiPriority w:val="39"/>
    <w:semiHidden/>
    <w:unhideWhenUsed/>
    <w:rsid w:val="00961D37"/>
    <w:pPr>
      <w:spacing w:after="100"/>
      <w:ind w:left="1000"/>
    </w:pPr>
  </w:style>
  <w:style w:type="paragraph" w:styleId="TOC7">
    <w:name w:val="toc 7"/>
    <w:basedOn w:val="Normal"/>
    <w:next w:val="Normal"/>
    <w:uiPriority w:val="39"/>
    <w:semiHidden/>
    <w:unhideWhenUsed/>
    <w:rsid w:val="00961D37"/>
    <w:pPr>
      <w:spacing w:after="100"/>
      <w:ind w:left="1200"/>
    </w:pPr>
  </w:style>
  <w:style w:type="paragraph" w:styleId="TOC8">
    <w:name w:val="toc 8"/>
    <w:basedOn w:val="Normal"/>
    <w:next w:val="Normal"/>
    <w:uiPriority w:val="39"/>
    <w:semiHidden/>
    <w:unhideWhenUsed/>
    <w:rsid w:val="00961D37"/>
    <w:pPr>
      <w:spacing w:after="100"/>
      <w:ind w:left="1400"/>
    </w:pPr>
  </w:style>
  <w:style w:type="paragraph" w:styleId="TOC9">
    <w:name w:val="toc 9"/>
    <w:basedOn w:val="Normal"/>
    <w:next w:val="Normal"/>
    <w:uiPriority w:val="39"/>
    <w:semiHidden/>
    <w:unhideWhenUsed/>
    <w:rsid w:val="00961D37"/>
    <w:pPr>
      <w:spacing w:after="100"/>
      <w:ind w:left="1600"/>
    </w:pPr>
  </w:style>
  <w:style w:type="character" w:customStyle="1" w:styleId="OldPN">
    <w:name w:val="OldPN"/>
    <w:basedOn w:val="DefaultParagraphFont"/>
    <w:uiPriority w:val="1"/>
    <w:qFormat/>
    <w:rsid w:val="00961D37"/>
    <w:rPr>
      <w:rFonts w:ascii="Arial" w:hAnsi="Arial"/>
      <w:b/>
      <w:i/>
      <w:sz w:val="28"/>
    </w:rPr>
  </w:style>
  <w:style w:type="paragraph" w:customStyle="1" w:styleId="FinastraCoverTitle">
    <w:name w:val="Finastra Cover Title"/>
    <w:autoRedefine/>
    <w:qFormat/>
    <w:rsid w:val="00587DB2"/>
    <w:pPr>
      <w:framePr w:hSpace="187" w:wrap="around" w:hAnchor="margin" w:x="-543" w:y="2881"/>
      <w:spacing w:line="240" w:lineRule="auto"/>
    </w:pPr>
    <w:rPr>
      <w:rFonts w:asciiTheme="majorHAnsi" w:eastAsiaTheme="majorEastAsia" w:hAnsiTheme="majorHAnsi" w:cstheme="majorBidi"/>
      <w:b/>
      <w:color w:val="1F497D" w:themeColor="text2"/>
      <w:sz w:val="60"/>
      <w:szCs w:val="60"/>
      <w:lang w:val="en-GB"/>
    </w:rPr>
  </w:style>
  <w:style w:type="paragraph" w:customStyle="1" w:styleId="FinastraCoverSubTitle">
    <w:name w:val="Finastra Cover Sub Title"/>
    <w:autoRedefine/>
    <w:qFormat/>
    <w:rsid w:val="00587DB2"/>
    <w:pPr>
      <w:framePr w:hSpace="187" w:wrap="around" w:vAnchor="page" w:hAnchor="page" w:x="802" w:y="2734"/>
      <w:spacing w:line="240" w:lineRule="auto"/>
    </w:pPr>
    <w:rPr>
      <w:rFonts w:eastAsiaTheme="minorEastAsia"/>
      <w:color w:val="FFFFFF" w:themeColor="background1"/>
      <w:sz w:val="24"/>
      <w:szCs w:val="32"/>
      <w:lang w:val="en-GB"/>
    </w:rPr>
  </w:style>
  <w:style w:type="paragraph" w:customStyle="1" w:styleId="FinastraCoverFamilyProductname">
    <w:name w:val="Finastra Cover Family/Product name"/>
    <w:autoRedefine/>
    <w:qFormat/>
    <w:rsid w:val="00F420FC"/>
    <w:pPr>
      <w:framePr w:hSpace="187" w:wrap="around" w:vAnchor="page" w:hAnchor="page" w:x="802" w:y="2734"/>
      <w:tabs>
        <w:tab w:val="left" w:pos="4020"/>
      </w:tabs>
      <w:spacing w:after="0" w:line="240" w:lineRule="auto"/>
    </w:pPr>
    <w:rPr>
      <w:rFonts w:eastAsiaTheme="minorEastAsia"/>
      <w:color w:val="FFFFFF" w:themeColor="background1"/>
      <w:sz w:val="24"/>
      <w:szCs w:val="24"/>
      <w:lang w:val="en-GB"/>
    </w:rPr>
  </w:style>
  <w:style w:type="character" w:customStyle="1" w:styleId="NoSpacingChar">
    <w:name w:val="No Spacing Char"/>
    <w:basedOn w:val="DefaultParagraphFont"/>
    <w:link w:val="NoSpacing"/>
    <w:uiPriority w:val="1"/>
    <w:rsid w:val="00587DB2"/>
    <w:rPr>
      <w:rFonts w:ascii="Arial" w:hAnsi="Arial"/>
      <w:color w:val="414141"/>
      <w:sz w:val="20"/>
      <w:lang w:val="en-US"/>
    </w:rPr>
  </w:style>
  <w:style w:type="character" w:customStyle="1" w:styleId="BodyTextChar">
    <w:name w:val="BodyText Char"/>
    <w:basedOn w:val="DefaultParagraphFont"/>
    <w:link w:val="BodyText"/>
    <w:rsid w:val="00587DB2"/>
    <w:rPr>
      <w:rFonts w:ascii="Arial" w:hAnsi="Arial"/>
      <w:color w:val="414141"/>
      <w:sz w:val="20"/>
      <w:lang w:val="en-US"/>
    </w:rPr>
  </w:style>
  <w:style w:type="paragraph" w:customStyle="1" w:styleId="FinastraTextBody">
    <w:name w:val="Finastra Text: Body"/>
    <w:basedOn w:val="BodyText0"/>
    <w:qFormat/>
    <w:rsid w:val="00D20AE4"/>
    <w:pPr>
      <w:tabs>
        <w:tab w:val="left" w:pos="3680"/>
      </w:tabs>
      <w:spacing w:after="0"/>
    </w:pPr>
    <w:rPr>
      <w:rFonts w:cstheme="majorHAnsi"/>
      <w:noProof/>
      <w:color w:val="FFFFFF" w:themeColor="background1"/>
      <w:sz w:val="16"/>
      <w:szCs w:val="20"/>
    </w:rPr>
  </w:style>
  <w:style w:type="paragraph" w:customStyle="1" w:styleId="Backcoverfooter">
    <w:name w:val="Back cover footer"/>
    <w:basedOn w:val="Normal"/>
    <w:uiPriority w:val="16"/>
    <w:qFormat/>
    <w:rsid w:val="002F1B95"/>
    <w:pPr>
      <w:framePr w:wrap="around" w:vAnchor="page" w:hAnchor="margin" w:y="13408"/>
      <w:tabs>
        <w:tab w:val="left" w:pos="3680"/>
      </w:tabs>
      <w:spacing w:after="180"/>
    </w:pPr>
    <w:rPr>
      <w:rFonts w:asciiTheme="majorHAnsi" w:hAnsiTheme="majorHAnsi" w:cstheme="majorHAnsi"/>
      <w:color w:val="FFFFFF" w:themeColor="background1"/>
      <w:sz w:val="16"/>
      <w:szCs w:val="16"/>
    </w:rPr>
  </w:style>
  <w:style w:type="paragraph" w:styleId="Revision">
    <w:name w:val="Revision"/>
    <w:hidden/>
    <w:uiPriority w:val="99"/>
    <w:semiHidden/>
    <w:rsid w:val="00367E0A"/>
    <w:pPr>
      <w:spacing w:after="0" w:line="240" w:lineRule="auto"/>
    </w:pPr>
    <w:rPr>
      <w:rFonts w:ascii="Arial" w:hAnsi="Arial"/>
      <w:color w:val="414141"/>
      <w:sz w:val="20"/>
      <w:lang w:val="en-US"/>
    </w:rPr>
  </w:style>
  <w:style w:type="character" w:styleId="CommentReference">
    <w:name w:val="annotation reference"/>
    <w:basedOn w:val="DefaultParagraphFont"/>
    <w:uiPriority w:val="99"/>
    <w:semiHidden/>
    <w:unhideWhenUsed/>
    <w:rsid w:val="00FB11B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19643">
      <w:bodyDiv w:val="1"/>
      <w:marLeft w:val="0"/>
      <w:marRight w:val="0"/>
      <w:marTop w:val="0"/>
      <w:marBottom w:val="0"/>
      <w:divBdr>
        <w:top w:val="none" w:sz="0" w:space="0" w:color="auto"/>
        <w:left w:val="none" w:sz="0" w:space="0" w:color="auto"/>
        <w:bottom w:val="none" w:sz="0" w:space="0" w:color="auto"/>
        <w:right w:val="none" w:sz="0" w:space="0" w:color="auto"/>
      </w:divBdr>
    </w:div>
    <w:div w:id="158718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hdphoto" Target="media/hdphoto1.wdp"/><Relationship Id="rId26" Type="http://schemas.openxmlformats.org/officeDocument/2006/relationships/image" Target="media/image14.png"/><Relationship Id="rId3" Type="http://schemas.openxmlformats.org/officeDocument/2006/relationships/customXml" Target="../customXml/item2.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Lupa_Documents\New%20Template\New%20Finastra%20Templates\Finastra_UM_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0E4BBF3CA444045BEE14FFC0CC3540B" ma:contentTypeVersion="8" ma:contentTypeDescription="Create a new document." ma:contentTypeScope="" ma:versionID="354412f651a994f5962f7ab9980a178c">
  <xsd:schema xmlns:xsd="http://www.w3.org/2001/XMLSchema" xmlns:xs="http://www.w3.org/2001/XMLSchema" xmlns:p="http://schemas.microsoft.com/office/2006/metadata/properties" xmlns:ns2="a5357f7f-fcfd-4e78-8650-1861af5c3f44" targetNamespace="http://schemas.microsoft.com/office/2006/metadata/properties" ma:root="true" ma:fieldsID="5ddf04becc915652bbdc71a879e022b2" ns2:_="">
    <xsd:import namespace="a5357f7f-fcfd-4e78-8650-1861af5c3f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57f7f-fcfd-4e78-8650-1861af5c3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CFFB7-0C95-4E28-BCE1-EFDBE6A4DA05}">
  <ds:schemaRefs>
    <ds:schemaRef ds:uri="http://schemas.microsoft.com/office/infopath/2007/PartnerControls"/>
    <ds:schemaRef ds:uri="http://purl.org/dc/elements/1.1/"/>
    <ds:schemaRef ds:uri="http://purl.org/dc/dcmitype/"/>
    <ds:schemaRef ds:uri="http://schemas.microsoft.com/office/2006/documentManagement/types"/>
    <ds:schemaRef ds:uri="http://schemas.openxmlformats.org/package/2006/metadata/core-properties"/>
    <ds:schemaRef ds:uri="http://www.w3.org/XML/1998/namespace"/>
    <ds:schemaRef ds:uri="http://purl.org/dc/terms/"/>
    <ds:schemaRef ds:uri="a5357f7f-fcfd-4e78-8650-1861af5c3f44"/>
    <ds:schemaRef ds:uri="http://schemas.microsoft.com/office/2006/metadata/properties"/>
  </ds:schemaRefs>
</ds:datastoreItem>
</file>

<file path=customXml/itemProps2.xml><?xml version="1.0" encoding="utf-8"?>
<ds:datastoreItem xmlns:ds="http://schemas.openxmlformats.org/officeDocument/2006/customXml" ds:itemID="{8D205189-89B9-4015-9413-3B513285017E}">
  <ds:schemaRefs>
    <ds:schemaRef ds:uri="http://schemas.openxmlformats.org/officeDocument/2006/bibliography"/>
  </ds:schemaRefs>
</ds:datastoreItem>
</file>

<file path=customXml/itemProps3.xml><?xml version="1.0" encoding="utf-8"?>
<ds:datastoreItem xmlns:ds="http://schemas.openxmlformats.org/officeDocument/2006/customXml" ds:itemID="{B3E02BFD-BF9B-4EE6-A9CC-05E0E6345CF8}">
  <ds:schemaRefs>
    <ds:schemaRef ds:uri="http://schemas.microsoft.com/sharepoint/v3/contenttype/forms"/>
  </ds:schemaRefs>
</ds:datastoreItem>
</file>

<file path=customXml/itemProps4.xml><?xml version="1.0" encoding="utf-8"?>
<ds:datastoreItem xmlns:ds="http://schemas.openxmlformats.org/officeDocument/2006/customXml" ds:itemID="{63515685-0745-414D-A9AF-479917E83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57f7f-fcfd-4e78-8650-1861af5c3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b9b90da-3fe1-457a-b340-f1b67e1024fb}" enabled="0" method="" siteId="{0b9b90da-3fe1-457a-b340-f1b67e1024fb}" removed="1"/>
</clbl:labelList>
</file>

<file path=docProps/app.xml><?xml version="1.0" encoding="utf-8"?>
<Properties xmlns="http://schemas.openxmlformats.org/officeDocument/2006/extended-properties" xmlns:vt="http://schemas.openxmlformats.org/officeDocument/2006/docPropsVTypes">
  <Template>Finastra_UM_A4</Template>
  <TotalTime>5</TotalTime>
  <Pages>23</Pages>
  <Words>5984</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Export Credit Agency Facility User Guide</vt:lpstr>
    </vt:vector>
  </TitlesOfParts>
  <Company>Finastra</Company>
  <LinksUpToDate>false</LinksUpToDate>
  <CharactersWithSpaces>40013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Credit Agency Facility User Guide</dc:title>
  <dc:creator>Finastra Technical Publications</dc:creator>
  <cp:lastModifiedBy>Dutta, Lupamudra</cp:lastModifiedBy>
  <cp:revision>8</cp:revision>
  <cp:lastPrinted>2022-07-19T12:04:00Z</cp:lastPrinted>
  <dcterms:created xsi:type="dcterms:W3CDTF">2024-05-14T08:08:00Z</dcterms:created>
  <dcterms:modified xsi:type="dcterms:W3CDTF">2024-05-24T10:31:00Z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vt:lpwstr>TRADE INNOVATION</vt:lpwstr>
  </property>
  <property fmtid="{D5CDD505-2E9C-101B-9397-08002B2CF9AE}" pid="3" name="GuideName">
    <vt:lpwstr>Export Credit Agency Facility User Guide - Trade Innovation 2.10</vt:lpwstr>
  </property>
  <property fmtid="{D5CDD505-2E9C-101B-9397-08002B2CF9AE}" pid="4" name="ReleaseDate">
    <vt:lpwstr>May 2024</vt:lpwstr>
  </property>
  <property fmtid="{D5CDD505-2E9C-101B-9397-08002B2CF9AE}" pid="5" name="SWReleaseNumber">
    <vt:lpwstr>2.10</vt:lpwstr>
  </property>
  <property fmtid="{D5CDD505-2E9C-101B-9397-08002B2CF9AE}" pid="6" name="TICC">
    <vt:lpwstr>Trade Innovation Corporate Channels Interface</vt:lpwstr>
  </property>
  <property fmtid="{D5CDD505-2E9C-101B-9397-08002B2CF9AE}" pid="7" name="ProductVersion">
    <vt:lpwstr>2.10</vt:lpwstr>
  </property>
  <property fmtid="{D5CDD505-2E9C-101B-9397-08002B2CF9AE}" pid="8" name="DocumentVersion">
    <vt:lpwstr>Version 2.0</vt:lpwstr>
  </property>
  <property fmtid="{D5CDD505-2E9C-101B-9397-08002B2CF9AE}" pid="9" name="FTI">
    <vt:lpwstr>Fusion Trade Innovation</vt:lpwstr>
  </property>
  <property fmtid="{D5CDD505-2E9C-101B-9397-08002B2CF9AE}" pid="10" name="FCC">
    <vt:lpwstr>Fusion Corporate Channels</vt:lpwstr>
  </property>
  <property fmtid="{D5CDD505-2E9C-101B-9397-08002B2CF9AE}" pid="11" name="ContentTypeId">
    <vt:lpwstr>0x01010070E4BBF3CA444045BEE14FFC0CC3540B</vt:lpwstr>
  </property>
  <property fmtid="{D5CDD505-2E9C-101B-9397-08002B2CF9AE}" pid="12" name="MediaServiceImageTags">
    <vt:lpwstr/>
  </property>
</Properties>
</file>