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0D76" w14:textId="77777777" w:rsidR="00E50D2F" w:rsidRPr="00936320" w:rsidRDefault="00E50D2F" w:rsidP="00567CEA">
      <w:pPr>
        <w:pStyle w:val="ChapterTitle"/>
        <w:rPr>
          <w:lang w:val="en-GB"/>
        </w:rPr>
      </w:pPr>
      <w:bookmarkStart w:id="0" w:name="_Toc317685601"/>
      <w:bookmarkStart w:id="1" w:name="_Toc373150692"/>
      <w:bookmarkStart w:id="2" w:name="_Toc387255681"/>
      <w:bookmarkStart w:id="3" w:name="_Toc389487633"/>
      <w:bookmarkStart w:id="4" w:name="_Toc390459547"/>
      <w:bookmarkStart w:id="5" w:name="_Toc390474753"/>
      <w:bookmarkStart w:id="6" w:name="_Toc390475469"/>
      <w:bookmarkStart w:id="7" w:name="_Toc390475596"/>
      <w:bookmarkStart w:id="8" w:name="_Toc166665316"/>
      <w:r w:rsidRPr="00936320">
        <w:rPr>
          <w:lang w:val="en-GB"/>
        </w:rPr>
        <w:t>Preface</w:t>
      </w:r>
      <w:bookmarkEnd w:id="0"/>
      <w:bookmarkEnd w:id="1"/>
      <w:bookmarkEnd w:id="2"/>
      <w:bookmarkEnd w:id="3"/>
      <w:bookmarkEnd w:id="4"/>
      <w:bookmarkEnd w:id="5"/>
      <w:bookmarkEnd w:id="6"/>
      <w:bookmarkEnd w:id="7"/>
      <w:bookmarkEnd w:id="8"/>
    </w:p>
    <w:p w14:paraId="007C1CA4" w14:textId="77777777" w:rsidR="00E50D2F" w:rsidRPr="00936320" w:rsidRDefault="00E50D2F" w:rsidP="00FB4E11">
      <w:pPr>
        <w:pStyle w:val="BodyText"/>
      </w:pPr>
      <w:r w:rsidRPr="00936320">
        <w:t xml:space="preserve">This Guide explains how to use </w:t>
      </w:r>
      <w:r w:rsidR="00754AEF" w:rsidRPr="00936320">
        <w:t>Trade Innovation</w:t>
      </w:r>
      <w:r w:rsidRPr="00936320">
        <w:t xml:space="preserve"> to process the licenses which are required in some countries for the importation and exportation of goods. This includes the functionality needed by the bank’s trade finance department to maintain the license register, as well as how to link licenses to underlying trade transactions.</w:t>
      </w:r>
    </w:p>
    <w:p w14:paraId="34636669" w14:textId="77777777" w:rsidR="00E50D2F" w:rsidRPr="00936320" w:rsidRDefault="00E50D2F" w:rsidP="00FB4E11">
      <w:pPr>
        <w:pStyle w:val="BodyText"/>
      </w:pPr>
      <w:r w:rsidRPr="00936320">
        <w:t>This Guide assumes that you are familiar with the basic principles of trade finance relating to licenses, and with web browsers.</w:t>
      </w:r>
    </w:p>
    <w:p w14:paraId="70BD276D" w14:textId="77777777" w:rsidR="00E50D2F" w:rsidRPr="00936320" w:rsidRDefault="00E50D2F" w:rsidP="000F5BE4">
      <w:pPr>
        <w:pStyle w:val="Heading1"/>
      </w:pPr>
      <w:bookmarkStart w:id="9" w:name="_Toc317758843"/>
      <w:bookmarkStart w:id="10" w:name="_Toc373155420"/>
      <w:bookmarkStart w:id="11" w:name="_Toc390475599"/>
      <w:bookmarkStart w:id="12" w:name="_Toc411436697"/>
      <w:bookmarkStart w:id="13" w:name="_Ref57056437"/>
      <w:bookmarkStart w:id="14" w:name="_Toc166665320"/>
      <w:bookmarkStart w:id="15" w:name="_Toc317760111"/>
      <w:bookmarkStart w:id="16" w:name="_Toc368308675"/>
      <w:bookmarkStart w:id="17" w:name="_Toc390714439"/>
      <w:bookmarkStart w:id="18" w:name="_Toc332185726"/>
      <w:bookmarkStart w:id="19" w:name="_Toc332271170"/>
      <w:bookmarkStart w:id="20" w:name="_Toc320280508"/>
      <w:r w:rsidRPr="00936320">
        <w:lastRenderedPageBreak/>
        <w:t>Introduction</w:t>
      </w:r>
      <w:bookmarkEnd w:id="9"/>
      <w:bookmarkEnd w:id="10"/>
      <w:bookmarkEnd w:id="11"/>
      <w:bookmarkEnd w:id="12"/>
      <w:bookmarkEnd w:id="13"/>
      <w:bookmarkEnd w:id="14"/>
    </w:p>
    <w:p w14:paraId="239E63CE" w14:textId="77777777" w:rsidR="00E50D2F" w:rsidRPr="00936320" w:rsidRDefault="00E50D2F" w:rsidP="00FB4E11">
      <w:pPr>
        <w:pStyle w:val="BodyText"/>
      </w:pPr>
      <w:r w:rsidRPr="00936320">
        <w:t xml:space="preserve">This chapter provides an overview of </w:t>
      </w:r>
      <w:r w:rsidR="00754AEF" w:rsidRPr="00936320">
        <w:t>Trade Innovation</w:t>
      </w:r>
      <w:r w:rsidRPr="00936320">
        <w:t>’s licenses functionality.</w:t>
      </w:r>
    </w:p>
    <w:p w14:paraId="0E679C32" w14:textId="763BC27A" w:rsidR="00E50D2F" w:rsidRPr="00936320" w:rsidRDefault="00E50D2F" w:rsidP="000F5BE4">
      <w:pPr>
        <w:pStyle w:val="Heading2"/>
      </w:pPr>
      <w:bookmarkStart w:id="21" w:name="O_23653"/>
      <w:bookmarkStart w:id="22" w:name="_Toc317758844"/>
      <w:bookmarkStart w:id="23" w:name="_Toc373155421"/>
      <w:bookmarkStart w:id="24" w:name="_Toc390475600"/>
      <w:bookmarkStart w:id="25" w:name="_Toc411436698"/>
      <w:bookmarkStart w:id="26" w:name="_Toc166665321"/>
      <w:bookmarkEnd w:id="21"/>
      <w:r w:rsidRPr="00936320">
        <w:t xml:space="preserve">Licenses in </w:t>
      </w:r>
      <w:bookmarkEnd w:id="22"/>
      <w:bookmarkEnd w:id="23"/>
      <w:bookmarkEnd w:id="24"/>
      <w:r w:rsidR="00985469">
        <w:t>Trade Innovation</w:t>
      </w:r>
      <w:bookmarkEnd w:id="25"/>
      <w:bookmarkEnd w:id="26"/>
    </w:p>
    <w:p w14:paraId="37DFF325" w14:textId="77777777" w:rsidR="00E50D2F" w:rsidRPr="00936320" w:rsidRDefault="00E50D2F" w:rsidP="00FB4E11">
      <w:pPr>
        <w:pStyle w:val="BodyText"/>
      </w:pPr>
      <w:r w:rsidRPr="00936320">
        <w:t xml:space="preserve">In some countries, licenses are required for trade transactions that involve the import or export of goods, or the purchase of foreign currency. A central authority requires banks to monitor the </w:t>
      </w:r>
      <w:proofErr w:type="spellStart"/>
      <w:r w:rsidRPr="00936320">
        <w:t>utilisation</w:t>
      </w:r>
      <w:proofErr w:type="spellEnd"/>
      <w:r w:rsidRPr="00936320">
        <w:t xml:space="preserve"> against the licenses issued to customers. Returns must be made to the governing authority on a regular basis to show the </w:t>
      </w:r>
      <w:proofErr w:type="spellStart"/>
      <w:r w:rsidR="00D740D2" w:rsidRPr="00936320">
        <w:t>utilisation</w:t>
      </w:r>
      <w:proofErr w:type="spellEnd"/>
      <w:r w:rsidR="00D740D2" w:rsidRPr="00936320">
        <w:t>.</w:t>
      </w:r>
    </w:p>
    <w:p w14:paraId="257FA923" w14:textId="77777777" w:rsidR="00E50D2F" w:rsidRPr="00936320" w:rsidRDefault="00E50D2F" w:rsidP="00FB4E11">
      <w:pPr>
        <w:pStyle w:val="BodyText"/>
      </w:pPr>
      <w:r w:rsidRPr="00936320">
        <w:t>If a license is required for a transaction it must be applied for before a payment or shipment can be made.</w:t>
      </w:r>
    </w:p>
    <w:p w14:paraId="2D885D43" w14:textId="77777777" w:rsidR="00E50D2F" w:rsidRPr="00936320" w:rsidRDefault="00E50D2F" w:rsidP="00FB4E11">
      <w:pPr>
        <w:pStyle w:val="BodyText"/>
      </w:pPr>
      <w:r w:rsidRPr="00936320">
        <w:t xml:space="preserve">License details can be entered manually in </w:t>
      </w:r>
      <w:r w:rsidR="00754AEF" w:rsidRPr="00936320">
        <w:t>Trade Innovation</w:t>
      </w:r>
      <w:r w:rsidRPr="00936320">
        <w:t xml:space="preserve"> using the License product, or the details can be received via the customer gateway interface service. A license can be associated with one or more existing transactions; and a single transaction may refer to one or more licenses.</w:t>
      </w:r>
    </w:p>
    <w:p w14:paraId="636E99FF" w14:textId="77777777" w:rsidR="00E50D2F" w:rsidRPr="00936320" w:rsidRDefault="00E50D2F" w:rsidP="00FB4E11">
      <w:pPr>
        <w:pStyle w:val="BodyText"/>
      </w:pPr>
      <w:r w:rsidRPr="00936320">
        <w:t xml:space="preserve">A reservation can be (optionally) made against the license </w:t>
      </w:r>
      <w:proofErr w:type="gramStart"/>
      <w:r w:rsidRPr="00936320">
        <w:t>in order to</w:t>
      </w:r>
      <w:proofErr w:type="gramEnd"/>
      <w:r w:rsidRPr="00936320">
        <w:t xml:space="preserve"> ensure that the transaction amount can be covered by the license at a later date.</w:t>
      </w:r>
    </w:p>
    <w:p w14:paraId="2516B07E" w14:textId="77777777" w:rsidR="00E50D2F" w:rsidRPr="00936320" w:rsidRDefault="00E50D2F" w:rsidP="00FB4E11">
      <w:pPr>
        <w:pStyle w:val="BodyText"/>
      </w:pPr>
      <w:r w:rsidRPr="00936320">
        <w:t xml:space="preserve">Upon receiving a claim or making a foreign currency payment a drawdown is made against the license. The drawdown increases the </w:t>
      </w:r>
      <w:proofErr w:type="spellStart"/>
      <w:r w:rsidRPr="00936320">
        <w:t>utilisation</w:t>
      </w:r>
      <w:proofErr w:type="spellEnd"/>
      <w:r w:rsidRPr="00936320">
        <w:t xml:space="preserve"> recorded against each related license.</w:t>
      </w:r>
    </w:p>
    <w:p w14:paraId="727D97FA" w14:textId="77777777" w:rsidR="00E50D2F" w:rsidRPr="00936320" w:rsidRDefault="00E50D2F" w:rsidP="00FB4E11">
      <w:pPr>
        <w:pStyle w:val="BodyText"/>
      </w:pPr>
      <w:r w:rsidRPr="00936320">
        <w:t xml:space="preserve">Where the full reservation is not used, for example following the final letter of credit payment or on expiry, the </w:t>
      </w:r>
      <w:proofErr w:type="spellStart"/>
      <w:r w:rsidRPr="00936320">
        <w:t>unutilised</w:t>
      </w:r>
      <w:proofErr w:type="spellEnd"/>
      <w:r w:rsidRPr="00936320">
        <w:t xml:space="preserve"> amount can (optionally) be reinstated on the license so that it can be drawn upon by another transaction.</w:t>
      </w:r>
    </w:p>
    <w:p w14:paraId="573C5997" w14:textId="77777777" w:rsidR="00E50D2F" w:rsidRPr="00936320" w:rsidRDefault="00E50D2F" w:rsidP="00FB4E11">
      <w:pPr>
        <w:pStyle w:val="BodyText"/>
      </w:pPr>
      <w:r w:rsidRPr="00936320">
        <w:t xml:space="preserve">Licenses can also be amended, adjusted, </w:t>
      </w:r>
      <w:proofErr w:type="gramStart"/>
      <w:r w:rsidRPr="00936320">
        <w:t>cancelled</w:t>
      </w:r>
      <w:proofErr w:type="gramEnd"/>
      <w:r w:rsidRPr="00936320">
        <w:t xml:space="preserve"> and booked off.</w:t>
      </w:r>
    </w:p>
    <w:p w14:paraId="4145D4CA" w14:textId="77777777" w:rsidR="00E50D2F" w:rsidRPr="00936320" w:rsidRDefault="00E50D2F" w:rsidP="00FB4E11">
      <w:pPr>
        <w:pStyle w:val="BodyText"/>
      </w:pPr>
      <w:r w:rsidRPr="00936320">
        <w:t xml:space="preserve">Once a license has been fully </w:t>
      </w:r>
      <w:proofErr w:type="spellStart"/>
      <w:r w:rsidRPr="00936320">
        <w:t>utilised</w:t>
      </w:r>
      <w:proofErr w:type="spellEnd"/>
      <w:r w:rsidRPr="00936320">
        <w:t xml:space="preserve"> or reached its validity date, you can use an Amend event to mark the license as 'to be cleared' or 'cleared'. Once cleared, the license can be booked off (in other words, no further processing is expected) but any </w:t>
      </w:r>
      <w:proofErr w:type="spellStart"/>
      <w:r w:rsidRPr="00936320">
        <w:t>unutilised</w:t>
      </w:r>
      <w:proofErr w:type="spellEnd"/>
      <w:r w:rsidRPr="00936320">
        <w:t xml:space="preserve"> balance remains on the license for historical purposes. Unlike other </w:t>
      </w:r>
      <w:r w:rsidR="00754AEF" w:rsidRPr="00936320">
        <w:t>Trade Innovation</w:t>
      </w:r>
      <w:r w:rsidRPr="00936320">
        <w:t xml:space="preserve"> products, a booked off license can be reinstated </w:t>
      </w:r>
      <w:proofErr w:type="gramStart"/>
      <w:r w:rsidRPr="00936320">
        <w:t>in order to</w:t>
      </w:r>
      <w:proofErr w:type="gramEnd"/>
      <w:r w:rsidRPr="00936320">
        <w:t xml:space="preserve"> take advantage of any </w:t>
      </w:r>
      <w:proofErr w:type="spellStart"/>
      <w:r w:rsidRPr="00936320">
        <w:t>unutilised</w:t>
      </w:r>
      <w:proofErr w:type="spellEnd"/>
      <w:r w:rsidRPr="00936320">
        <w:t xml:space="preserve"> balance in the future.</w:t>
      </w:r>
    </w:p>
    <w:p w14:paraId="2F01288B" w14:textId="77777777" w:rsidR="00E50D2F" w:rsidRPr="00936320" w:rsidRDefault="00E50D2F" w:rsidP="00FB4E11">
      <w:pPr>
        <w:pStyle w:val="BodyText"/>
      </w:pPr>
      <w:r w:rsidRPr="00936320">
        <w:t>The validation process ensures that the transaction is fully covered by the terms of the associated licenses. Each type of license can be precisely tailored in terms of the parties used for validation and the processing of characteristics required using the system tailoring application.</w:t>
      </w:r>
    </w:p>
    <w:p w14:paraId="5A7D2A32" w14:textId="77777777" w:rsidR="00E50D2F" w:rsidRPr="00936320" w:rsidRDefault="00E50D2F" w:rsidP="00FB4E11">
      <w:pPr>
        <w:pStyle w:val="BodyText"/>
      </w:pPr>
      <w:r w:rsidRPr="00936320">
        <w:t xml:space="preserve">Using </w:t>
      </w:r>
      <w:r w:rsidR="00754AEF" w:rsidRPr="00936320">
        <w:t>Trade Innovation</w:t>
      </w:r>
      <w:r w:rsidRPr="00936320">
        <w:t>’s scanning and imaging facilities a copy of the actual license form can be attached to the license.</w:t>
      </w:r>
    </w:p>
    <w:p w14:paraId="0EC8A7DE" w14:textId="77777777" w:rsidR="00E50D2F" w:rsidRPr="00936320" w:rsidRDefault="00E50D2F" w:rsidP="000F5BE4">
      <w:pPr>
        <w:pStyle w:val="Heading3"/>
      </w:pPr>
      <w:bookmarkStart w:id="27" w:name="O_24071"/>
      <w:bookmarkStart w:id="28" w:name="_Toc317758845"/>
      <w:bookmarkStart w:id="29" w:name="_Toc373155422"/>
      <w:bookmarkStart w:id="30" w:name="_Toc411436699"/>
      <w:bookmarkStart w:id="31" w:name="_Toc166665322"/>
      <w:bookmarkEnd w:id="27"/>
      <w:r w:rsidRPr="00936320">
        <w:t>Products that Use Licenses</w:t>
      </w:r>
      <w:bookmarkEnd w:id="28"/>
      <w:bookmarkEnd w:id="29"/>
      <w:bookmarkEnd w:id="30"/>
      <w:bookmarkEnd w:id="31"/>
    </w:p>
    <w:p w14:paraId="42DCB21C" w14:textId="77777777" w:rsidR="00E50D2F" w:rsidRPr="00936320" w:rsidRDefault="00E50D2F" w:rsidP="00FB4E11">
      <w:pPr>
        <w:pStyle w:val="BodyText"/>
      </w:pPr>
      <w:r w:rsidRPr="00936320">
        <w:t xml:space="preserve">Licenses can be applied to the following products in </w:t>
      </w:r>
      <w:r w:rsidR="00754AEF" w:rsidRPr="00936320">
        <w:t>Trade Innovation</w:t>
      </w:r>
      <w:r w:rsidRPr="00936320">
        <w:t>:</w:t>
      </w:r>
    </w:p>
    <w:p w14:paraId="27A9BA6F" w14:textId="77777777" w:rsidR="00E50D2F" w:rsidRPr="00936320" w:rsidRDefault="00E50D2F" w:rsidP="00FB4E11">
      <w:pPr>
        <w:pStyle w:val="BulletLevel1"/>
      </w:pPr>
      <w:r w:rsidRPr="00936320">
        <w:t>Import letters of credit</w:t>
      </w:r>
    </w:p>
    <w:p w14:paraId="3561FB22" w14:textId="77777777" w:rsidR="00E50D2F" w:rsidRPr="00936320" w:rsidRDefault="00E50D2F" w:rsidP="00FB4E11">
      <w:pPr>
        <w:pStyle w:val="BulletLevel1"/>
      </w:pPr>
      <w:r w:rsidRPr="00936320">
        <w:t>Export letters of credit</w:t>
      </w:r>
    </w:p>
    <w:p w14:paraId="0AEC13C8" w14:textId="77777777" w:rsidR="00E50D2F" w:rsidRPr="00936320" w:rsidRDefault="00E50D2F" w:rsidP="00FB4E11">
      <w:pPr>
        <w:pStyle w:val="BulletLevel1"/>
      </w:pPr>
      <w:r w:rsidRPr="00936320">
        <w:t>Freely negotiable letters of credit</w:t>
      </w:r>
    </w:p>
    <w:p w14:paraId="1DBF9DA0" w14:textId="77777777" w:rsidR="00E50D2F" w:rsidRPr="00936320" w:rsidRDefault="00E50D2F" w:rsidP="00FB4E11">
      <w:pPr>
        <w:pStyle w:val="BulletLevel1"/>
      </w:pPr>
      <w:r w:rsidRPr="00936320">
        <w:t>Import standby letters of credit and guarantees</w:t>
      </w:r>
    </w:p>
    <w:p w14:paraId="5B0EBEEB" w14:textId="77777777" w:rsidR="00E50D2F" w:rsidRPr="00936320" w:rsidRDefault="00E50D2F" w:rsidP="00FB4E11">
      <w:pPr>
        <w:pStyle w:val="BulletLevel1"/>
      </w:pPr>
      <w:r w:rsidRPr="00936320">
        <w:t>Export standby letters of credit and guarantees</w:t>
      </w:r>
    </w:p>
    <w:p w14:paraId="5FBF1543" w14:textId="77777777" w:rsidR="00E50D2F" w:rsidRPr="00936320" w:rsidRDefault="00E50D2F" w:rsidP="00FB4E11">
      <w:pPr>
        <w:pStyle w:val="BulletLevel1"/>
      </w:pPr>
      <w:r w:rsidRPr="00936320">
        <w:t>Inward clean and documentary collections</w:t>
      </w:r>
    </w:p>
    <w:p w14:paraId="409F87A7" w14:textId="77777777" w:rsidR="00E50D2F" w:rsidRPr="00936320" w:rsidRDefault="00E50D2F" w:rsidP="00FB4E11">
      <w:pPr>
        <w:pStyle w:val="BulletLevel1"/>
      </w:pPr>
      <w:r w:rsidRPr="00936320">
        <w:t>Outward cl</w:t>
      </w:r>
      <w:r w:rsidR="007748D0" w:rsidRPr="00936320">
        <w:t>ean and documentary collections</w:t>
      </w:r>
    </w:p>
    <w:p w14:paraId="4323E31D" w14:textId="77777777" w:rsidR="00E50D2F" w:rsidRPr="00936320" w:rsidRDefault="00E50D2F" w:rsidP="00FB4E11">
      <w:pPr>
        <w:pStyle w:val="BulletLevel1"/>
      </w:pPr>
      <w:r w:rsidRPr="00936320">
        <w:t>Outward clean payment orders (customer payments, bank payments, cheques, and standing orders)</w:t>
      </w:r>
    </w:p>
    <w:p w14:paraId="52CCBA62" w14:textId="77777777" w:rsidR="00E50D2F" w:rsidRPr="00936320" w:rsidRDefault="00E50D2F" w:rsidP="00FB4E11">
      <w:pPr>
        <w:pStyle w:val="BulletLevel1"/>
      </w:pPr>
      <w:r w:rsidRPr="00936320">
        <w:t>Finance standalone</w:t>
      </w:r>
    </w:p>
    <w:p w14:paraId="13171C31" w14:textId="5AC673CB" w:rsidR="00E50D2F" w:rsidRPr="00936320" w:rsidRDefault="00E50D2F" w:rsidP="000F5BE4">
      <w:pPr>
        <w:pStyle w:val="Heading2"/>
      </w:pPr>
      <w:bookmarkStart w:id="32" w:name="_Toc390475601"/>
      <w:bookmarkStart w:id="33" w:name="_Toc411436700"/>
      <w:bookmarkStart w:id="34" w:name="_Toc166665323"/>
      <w:r w:rsidRPr="00936320">
        <w:t xml:space="preserve">Using </w:t>
      </w:r>
      <w:r w:rsidR="00985469">
        <w:t>Trade Innovation</w:t>
      </w:r>
      <w:r w:rsidRPr="00936320">
        <w:t xml:space="preserve"> to Process Licenses</w:t>
      </w:r>
      <w:bookmarkEnd w:id="32"/>
      <w:bookmarkEnd w:id="33"/>
      <w:bookmarkEnd w:id="34"/>
    </w:p>
    <w:p w14:paraId="78A14E6D" w14:textId="77777777" w:rsidR="00E50D2F" w:rsidRPr="00936320" w:rsidRDefault="00E50D2F" w:rsidP="00FB4E11">
      <w:pPr>
        <w:pStyle w:val="BodyText"/>
      </w:pPr>
      <w:r w:rsidRPr="00936320">
        <w:t xml:space="preserve">The table below list the events covered in this Guide, explaining what each event allows you to do. The table lists the names given to events when </w:t>
      </w:r>
      <w:r w:rsidR="00754AEF" w:rsidRPr="00936320">
        <w:t>Trade Innovation</w:t>
      </w:r>
      <w:r w:rsidRPr="00936320">
        <w:t xml:space="preserve"> is delivered. Your bank can change these names once the system is installed. Consequently, the names in your version of </w:t>
      </w:r>
      <w:r w:rsidR="00754AEF" w:rsidRPr="00936320">
        <w:t>Trade Innovation</w:t>
      </w:r>
      <w:r w:rsidRPr="00936320">
        <w:t xml:space="preserve"> may be different from the ones listed here.</w:t>
      </w:r>
    </w:p>
    <w:p w14:paraId="5F4AA880" w14:textId="77777777" w:rsidR="00E50D2F" w:rsidRPr="00936320" w:rsidRDefault="00E50D2F" w:rsidP="00FB4E11">
      <w:pPr>
        <w:pStyle w:val="BodyText"/>
      </w:pPr>
      <w:r w:rsidRPr="00936320">
        <w:lastRenderedPageBreak/>
        <w:t>There are two names for each event:</w:t>
      </w:r>
    </w:p>
    <w:p w14:paraId="4E2F2EE9" w14:textId="77777777" w:rsidR="00E50D2F" w:rsidRPr="00936320" w:rsidRDefault="00E50D2F" w:rsidP="00FB4E11">
      <w:pPr>
        <w:pStyle w:val="BulletLevel1"/>
      </w:pPr>
      <w:r w:rsidRPr="00936320">
        <w:t>The full name, which is displayed when you choose a new event</w:t>
      </w:r>
    </w:p>
    <w:p w14:paraId="03277684" w14:textId="77777777" w:rsidR="00E50D2F" w:rsidRPr="00936320" w:rsidRDefault="00E50D2F" w:rsidP="00FB4E11">
      <w:pPr>
        <w:pStyle w:val="BulletLevel1"/>
      </w:pPr>
      <w:r w:rsidRPr="00936320">
        <w:t>The short name, which is displayed in the Work in Progress pane of the Master Summary window</w:t>
      </w:r>
    </w:p>
    <w:p w14:paraId="1BFA5F93" w14:textId="77777777" w:rsidR="00E50D2F" w:rsidRPr="00936320" w:rsidRDefault="00E50D2F" w:rsidP="00FB4E11">
      <w:pPr>
        <w:pStyle w:val="BodyText"/>
      </w:pPr>
      <w:r w:rsidRPr="00936320">
        <w:t>This Guide uses the full name of each event, as delivered with the system.</w:t>
      </w:r>
    </w:p>
    <w:p w14:paraId="6F315807" w14:textId="50E064C5" w:rsidR="00E50D2F" w:rsidRPr="00936320" w:rsidRDefault="00E50D2F" w:rsidP="00FB4E11">
      <w:pPr>
        <w:pStyle w:val="BodyText"/>
      </w:pPr>
      <w:r w:rsidRPr="00936320">
        <w:t xml:space="preserve">In addition to the events listed in the table, you can also use the functionality described in the </w:t>
      </w:r>
      <w:r w:rsidRPr="00936320">
        <w:rPr>
          <w:rStyle w:val="Italic"/>
        </w:rPr>
        <w:t>Common Facilities User Guide</w:t>
      </w:r>
      <w:r w:rsidRPr="00936320">
        <w:t xml:space="preserve"> </w:t>
      </w:r>
      <w:r w:rsidR="00D740D2" w:rsidRPr="00567CEA">
        <w:rPr>
          <w:rStyle w:val="Italic"/>
        </w:rPr>
        <w:t xml:space="preserve">– </w:t>
      </w:r>
      <w:r w:rsidR="00985469">
        <w:rPr>
          <w:rStyle w:val="Italic"/>
        </w:rPr>
        <w:t>Trade Innovation</w:t>
      </w:r>
      <w:r w:rsidR="00D740D2" w:rsidRPr="00567CEA">
        <w:rPr>
          <w:rStyle w:val="Italic"/>
        </w:rPr>
        <w:t xml:space="preserve"> </w:t>
      </w:r>
      <w:r w:rsidRPr="00936320">
        <w:t>when proc</w:t>
      </w:r>
      <w:r w:rsidR="007748D0" w:rsidRPr="00936320">
        <w:t xml:space="preserve">essing transactions in </w:t>
      </w:r>
      <w:r w:rsidR="00754AEF" w:rsidRPr="00936320">
        <w:t>Trade Innovation</w:t>
      </w:r>
      <w:r w:rsidR="007748D0" w:rsidRPr="00936320">
        <w:t>.</w:t>
      </w:r>
    </w:p>
    <w:tbl>
      <w:tblPr>
        <w:tblStyle w:val="TableGrid"/>
        <w:tblW w:w="9090" w:type="dxa"/>
        <w:tblLayout w:type="fixed"/>
        <w:tblLook w:val="0020" w:firstRow="1" w:lastRow="0" w:firstColumn="0" w:lastColumn="0" w:noHBand="0" w:noVBand="0"/>
      </w:tblPr>
      <w:tblGrid>
        <w:gridCol w:w="1303"/>
        <w:gridCol w:w="1418"/>
        <w:gridCol w:w="6369"/>
      </w:tblGrid>
      <w:tr w:rsidR="00E50D2F" w:rsidRPr="00936320" w14:paraId="5663F833"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1303" w:type="dxa"/>
          </w:tcPr>
          <w:p w14:paraId="530AFC47" w14:textId="77777777" w:rsidR="00E50D2F" w:rsidRPr="00936320" w:rsidRDefault="00E50D2F" w:rsidP="00FB4E11">
            <w:pPr>
              <w:pStyle w:val="TableHead"/>
            </w:pPr>
            <w:r w:rsidRPr="00936320">
              <w:t>Full Name</w:t>
            </w:r>
          </w:p>
        </w:tc>
        <w:tc>
          <w:tcPr>
            <w:tcW w:w="1418" w:type="dxa"/>
          </w:tcPr>
          <w:p w14:paraId="677D13D2" w14:textId="77777777" w:rsidR="00E50D2F" w:rsidRPr="00936320" w:rsidRDefault="00E50D2F" w:rsidP="00FB4E11">
            <w:pPr>
              <w:pStyle w:val="TableHead"/>
            </w:pPr>
            <w:r w:rsidRPr="00936320">
              <w:t>Short Name</w:t>
            </w:r>
          </w:p>
        </w:tc>
        <w:tc>
          <w:tcPr>
            <w:tcW w:w="6369" w:type="dxa"/>
          </w:tcPr>
          <w:p w14:paraId="446E4BEF" w14:textId="77777777" w:rsidR="00E50D2F" w:rsidRPr="00936320" w:rsidRDefault="00E50D2F" w:rsidP="00FB4E11">
            <w:pPr>
              <w:pStyle w:val="TableHead"/>
            </w:pPr>
            <w:r w:rsidRPr="00936320">
              <w:t>What it Does</w:t>
            </w:r>
          </w:p>
        </w:tc>
      </w:tr>
      <w:tr w:rsidR="00E50D2F" w:rsidRPr="00936320" w14:paraId="5B0CAE12" w14:textId="77777777" w:rsidTr="00FB4E11">
        <w:trPr>
          <w:cnfStyle w:val="000000100000" w:firstRow="0" w:lastRow="0" w:firstColumn="0" w:lastColumn="0" w:oddVBand="0" w:evenVBand="0" w:oddHBand="1" w:evenHBand="0" w:firstRowFirstColumn="0" w:firstRowLastColumn="0" w:lastRowFirstColumn="0" w:lastRowLastColumn="0"/>
        </w:trPr>
        <w:tc>
          <w:tcPr>
            <w:tcW w:w="1303" w:type="dxa"/>
          </w:tcPr>
          <w:p w14:paraId="54359757" w14:textId="77777777" w:rsidR="00E50D2F" w:rsidRPr="00936320" w:rsidRDefault="00E50D2F" w:rsidP="007748D0">
            <w:pPr>
              <w:pStyle w:val="TableText"/>
            </w:pPr>
            <w:r w:rsidRPr="00936320">
              <w:t>Adjust</w:t>
            </w:r>
          </w:p>
        </w:tc>
        <w:tc>
          <w:tcPr>
            <w:tcW w:w="1418" w:type="dxa"/>
          </w:tcPr>
          <w:p w14:paraId="26FBC424" w14:textId="77777777" w:rsidR="00E50D2F" w:rsidRPr="00936320" w:rsidRDefault="00E50D2F" w:rsidP="007748D0">
            <w:pPr>
              <w:pStyle w:val="TableText"/>
            </w:pPr>
            <w:r w:rsidRPr="00936320">
              <w:t>Adjust</w:t>
            </w:r>
          </w:p>
        </w:tc>
        <w:tc>
          <w:tcPr>
            <w:tcW w:w="6369" w:type="dxa"/>
          </w:tcPr>
          <w:p w14:paraId="23A06342" w14:textId="77777777" w:rsidR="00E50D2F" w:rsidRPr="00936320" w:rsidRDefault="00E50D2F" w:rsidP="00B15F6F">
            <w:pPr>
              <w:pStyle w:val="TableText"/>
            </w:pPr>
            <w:r w:rsidRPr="00936320">
              <w:t>Allows you to make internal adjustment to the license details (see page</w:t>
            </w:r>
            <w:r w:rsidR="00B15F6F">
              <w:t xml:space="preserve"> </w:t>
            </w:r>
            <w:r w:rsidR="00115080">
              <w:fldChar w:fldCharType="begin"/>
            </w:r>
            <w:r w:rsidR="00B15F6F">
              <w:instrText xml:space="preserve"> PAGEREF _Ref432450371 \h </w:instrText>
            </w:r>
            <w:r w:rsidR="00115080">
              <w:fldChar w:fldCharType="separate"/>
            </w:r>
            <w:r w:rsidR="007920EC">
              <w:t>21</w:t>
            </w:r>
            <w:r w:rsidR="00115080">
              <w:fldChar w:fldCharType="end"/>
            </w:r>
            <w:r w:rsidRPr="00936320">
              <w:t>).</w:t>
            </w:r>
          </w:p>
        </w:tc>
      </w:tr>
      <w:tr w:rsidR="00E50D2F" w:rsidRPr="00936320" w14:paraId="58884D44" w14:textId="77777777" w:rsidTr="00FB4E11">
        <w:trPr>
          <w:cnfStyle w:val="000000010000" w:firstRow="0" w:lastRow="0" w:firstColumn="0" w:lastColumn="0" w:oddVBand="0" w:evenVBand="0" w:oddHBand="0" w:evenHBand="1" w:firstRowFirstColumn="0" w:firstRowLastColumn="0" w:lastRowFirstColumn="0" w:lastRowLastColumn="0"/>
        </w:trPr>
        <w:tc>
          <w:tcPr>
            <w:tcW w:w="1303" w:type="dxa"/>
          </w:tcPr>
          <w:p w14:paraId="107ED33D" w14:textId="77777777" w:rsidR="00E50D2F" w:rsidRPr="00936320" w:rsidRDefault="00E50D2F" w:rsidP="007748D0">
            <w:pPr>
              <w:pStyle w:val="TableText"/>
            </w:pPr>
            <w:r w:rsidRPr="00936320">
              <w:t>Amend</w:t>
            </w:r>
          </w:p>
        </w:tc>
        <w:tc>
          <w:tcPr>
            <w:tcW w:w="1418" w:type="dxa"/>
          </w:tcPr>
          <w:p w14:paraId="6C7A97CF" w14:textId="77777777" w:rsidR="00E50D2F" w:rsidRPr="00936320" w:rsidRDefault="00E50D2F" w:rsidP="007748D0">
            <w:pPr>
              <w:pStyle w:val="TableText"/>
            </w:pPr>
            <w:r w:rsidRPr="00936320">
              <w:t>Amend</w:t>
            </w:r>
          </w:p>
        </w:tc>
        <w:tc>
          <w:tcPr>
            <w:tcW w:w="6369" w:type="dxa"/>
          </w:tcPr>
          <w:p w14:paraId="361ED96F" w14:textId="77777777" w:rsidR="00E50D2F" w:rsidRPr="00936320" w:rsidRDefault="00E50D2F" w:rsidP="00B15F6F">
            <w:pPr>
              <w:pStyle w:val="TableText"/>
            </w:pPr>
            <w:r w:rsidRPr="00936320">
              <w:t>Allows you to change the details of the license and to manage the license status (see page</w:t>
            </w:r>
            <w:r w:rsidR="00B15F6F">
              <w:t xml:space="preserve"> </w:t>
            </w:r>
            <w:r w:rsidR="00115080">
              <w:fldChar w:fldCharType="begin"/>
            </w:r>
            <w:r w:rsidR="00B15F6F">
              <w:instrText xml:space="preserve"> PAGEREF _Ref432450382 \h </w:instrText>
            </w:r>
            <w:r w:rsidR="00115080">
              <w:fldChar w:fldCharType="separate"/>
            </w:r>
            <w:r w:rsidR="007920EC">
              <w:t>20</w:t>
            </w:r>
            <w:r w:rsidR="00115080">
              <w:fldChar w:fldCharType="end"/>
            </w:r>
            <w:r w:rsidRPr="00936320">
              <w:t>).</w:t>
            </w:r>
          </w:p>
        </w:tc>
      </w:tr>
      <w:tr w:rsidR="00E50D2F" w:rsidRPr="00936320" w14:paraId="11DAC697" w14:textId="77777777" w:rsidTr="00FB4E11">
        <w:trPr>
          <w:cnfStyle w:val="000000100000" w:firstRow="0" w:lastRow="0" w:firstColumn="0" w:lastColumn="0" w:oddVBand="0" w:evenVBand="0" w:oddHBand="1" w:evenHBand="0" w:firstRowFirstColumn="0" w:firstRowLastColumn="0" w:lastRowFirstColumn="0" w:lastRowLastColumn="0"/>
        </w:trPr>
        <w:tc>
          <w:tcPr>
            <w:tcW w:w="1303" w:type="dxa"/>
          </w:tcPr>
          <w:p w14:paraId="000910A9" w14:textId="77777777" w:rsidR="00E50D2F" w:rsidRPr="00936320" w:rsidRDefault="00E50D2F" w:rsidP="007748D0">
            <w:pPr>
              <w:pStyle w:val="TableText"/>
            </w:pPr>
            <w:r w:rsidRPr="00936320">
              <w:t>Cancel</w:t>
            </w:r>
          </w:p>
        </w:tc>
        <w:tc>
          <w:tcPr>
            <w:tcW w:w="1418" w:type="dxa"/>
          </w:tcPr>
          <w:p w14:paraId="76D0C688" w14:textId="77777777" w:rsidR="00E50D2F" w:rsidRPr="00936320" w:rsidRDefault="00E50D2F" w:rsidP="007748D0">
            <w:pPr>
              <w:pStyle w:val="TableText"/>
            </w:pPr>
            <w:r w:rsidRPr="00936320">
              <w:t>Cancel</w:t>
            </w:r>
          </w:p>
        </w:tc>
        <w:tc>
          <w:tcPr>
            <w:tcW w:w="6369" w:type="dxa"/>
          </w:tcPr>
          <w:p w14:paraId="425D56E1" w14:textId="77777777" w:rsidR="00E50D2F" w:rsidRPr="00936320" w:rsidRDefault="00E50D2F" w:rsidP="00B15F6F">
            <w:pPr>
              <w:pStyle w:val="TableText"/>
            </w:pPr>
            <w:r w:rsidRPr="00936320">
              <w:t>Allows you to cancel a license, assuming that there are no underlying transactions that are still live</w:t>
            </w:r>
            <w:bookmarkStart w:id="35" w:name="H_21665"/>
            <w:bookmarkEnd w:id="35"/>
            <w:r w:rsidRPr="00936320">
              <w:t xml:space="preserve"> (see page</w:t>
            </w:r>
            <w:r w:rsidR="00B15F6F">
              <w:t xml:space="preserve"> </w:t>
            </w:r>
            <w:r w:rsidR="00115080">
              <w:fldChar w:fldCharType="begin"/>
            </w:r>
            <w:r w:rsidR="00B15F6F">
              <w:instrText xml:space="preserve"> PAGEREF _Ref432450395 \h </w:instrText>
            </w:r>
            <w:r w:rsidR="00115080">
              <w:fldChar w:fldCharType="separate"/>
            </w:r>
            <w:r w:rsidR="007920EC">
              <w:t>23</w:t>
            </w:r>
            <w:r w:rsidR="00115080">
              <w:fldChar w:fldCharType="end"/>
            </w:r>
            <w:r w:rsidRPr="00936320">
              <w:t>).</w:t>
            </w:r>
          </w:p>
        </w:tc>
      </w:tr>
      <w:tr w:rsidR="00E50D2F" w:rsidRPr="00936320" w14:paraId="3E975E3F" w14:textId="77777777" w:rsidTr="00FB4E11">
        <w:trPr>
          <w:cnfStyle w:val="000000010000" w:firstRow="0" w:lastRow="0" w:firstColumn="0" w:lastColumn="0" w:oddVBand="0" w:evenVBand="0" w:oddHBand="0" w:evenHBand="1" w:firstRowFirstColumn="0" w:firstRowLastColumn="0" w:lastRowFirstColumn="0" w:lastRowLastColumn="0"/>
        </w:trPr>
        <w:tc>
          <w:tcPr>
            <w:tcW w:w="1303" w:type="dxa"/>
          </w:tcPr>
          <w:p w14:paraId="110141F6" w14:textId="77777777" w:rsidR="00E50D2F" w:rsidRPr="00936320" w:rsidRDefault="00E50D2F" w:rsidP="007748D0">
            <w:pPr>
              <w:pStyle w:val="TableText"/>
            </w:pPr>
            <w:r w:rsidRPr="00936320">
              <w:t>Create</w:t>
            </w:r>
          </w:p>
        </w:tc>
        <w:tc>
          <w:tcPr>
            <w:tcW w:w="1418" w:type="dxa"/>
          </w:tcPr>
          <w:p w14:paraId="784C2932" w14:textId="77777777" w:rsidR="00E50D2F" w:rsidRPr="00936320" w:rsidRDefault="00E50D2F" w:rsidP="007748D0">
            <w:pPr>
              <w:pStyle w:val="TableText"/>
            </w:pPr>
            <w:r w:rsidRPr="00936320">
              <w:t>Create</w:t>
            </w:r>
          </w:p>
        </w:tc>
        <w:tc>
          <w:tcPr>
            <w:tcW w:w="6369" w:type="dxa"/>
          </w:tcPr>
          <w:p w14:paraId="1CD55129" w14:textId="77777777" w:rsidR="00E50D2F" w:rsidRPr="00936320" w:rsidRDefault="00E50D2F" w:rsidP="00B15F6F">
            <w:pPr>
              <w:pStyle w:val="TableText"/>
            </w:pPr>
            <w:r w:rsidRPr="00936320">
              <w:t>Allows you to register the license details</w:t>
            </w:r>
            <w:bookmarkStart w:id="36" w:name="H_26999"/>
            <w:bookmarkEnd w:id="36"/>
            <w:r w:rsidR="00B15F6F">
              <w:t xml:space="preserve"> (see page</w:t>
            </w:r>
            <w:r w:rsidR="00B15F6F">
              <w:rPr>
                <w:szCs w:val="24"/>
              </w:rPr>
              <w:t xml:space="preserve"> </w:t>
            </w:r>
            <w:r w:rsidR="00115080">
              <w:rPr>
                <w:szCs w:val="24"/>
              </w:rPr>
              <w:fldChar w:fldCharType="begin"/>
            </w:r>
            <w:r w:rsidR="00B15F6F">
              <w:rPr>
                <w:szCs w:val="24"/>
              </w:rPr>
              <w:instrText xml:space="preserve"> PAGEREF _Ref432450407 \h </w:instrText>
            </w:r>
            <w:r w:rsidR="00115080">
              <w:rPr>
                <w:szCs w:val="24"/>
              </w:rPr>
            </w:r>
            <w:r w:rsidR="00115080">
              <w:rPr>
                <w:szCs w:val="24"/>
              </w:rPr>
              <w:fldChar w:fldCharType="separate"/>
            </w:r>
            <w:r w:rsidR="007920EC">
              <w:rPr>
                <w:szCs w:val="24"/>
              </w:rPr>
              <w:t>6</w:t>
            </w:r>
            <w:r w:rsidR="00115080">
              <w:rPr>
                <w:szCs w:val="24"/>
              </w:rPr>
              <w:fldChar w:fldCharType="end"/>
            </w:r>
            <w:r w:rsidRPr="00936320">
              <w:t>).</w:t>
            </w:r>
          </w:p>
        </w:tc>
      </w:tr>
      <w:tr w:rsidR="00E50D2F" w:rsidRPr="00936320" w14:paraId="72B478C3" w14:textId="77777777" w:rsidTr="00FB4E11">
        <w:trPr>
          <w:cnfStyle w:val="000000100000" w:firstRow="0" w:lastRow="0" w:firstColumn="0" w:lastColumn="0" w:oddVBand="0" w:evenVBand="0" w:oddHBand="1" w:evenHBand="0" w:firstRowFirstColumn="0" w:firstRowLastColumn="0" w:lastRowFirstColumn="0" w:lastRowLastColumn="0"/>
        </w:trPr>
        <w:tc>
          <w:tcPr>
            <w:tcW w:w="1303" w:type="dxa"/>
          </w:tcPr>
          <w:p w14:paraId="5007743F" w14:textId="77777777" w:rsidR="00E50D2F" w:rsidRPr="00936320" w:rsidRDefault="00E50D2F" w:rsidP="007748D0">
            <w:pPr>
              <w:pStyle w:val="TableText"/>
            </w:pPr>
            <w:r w:rsidRPr="00936320">
              <w:t>Drawdown</w:t>
            </w:r>
          </w:p>
        </w:tc>
        <w:tc>
          <w:tcPr>
            <w:tcW w:w="1418" w:type="dxa"/>
          </w:tcPr>
          <w:p w14:paraId="49037B2A" w14:textId="77777777" w:rsidR="00E50D2F" w:rsidRPr="00936320" w:rsidRDefault="00E50D2F" w:rsidP="007748D0">
            <w:pPr>
              <w:pStyle w:val="TableText"/>
            </w:pPr>
            <w:r w:rsidRPr="00936320">
              <w:t>Drawdown</w:t>
            </w:r>
          </w:p>
        </w:tc>
        <w:tc>
          <w:tcPr>
            <w:tcW w:w="6369" w:type="dxa"/>
          </w:tcPr>
          <w:p w14:paraId="2598D1C7" w14:textId="77777777" w:rsidR="00E50D2F" w:rsidRPr="00936320" w:rsidRDefault="00E50D2F" w:rsidP="00B15F6F">
            <w:pPr>
              <w:pStyle w:val="TableText"/>
            </w:pPr>
            <w:r w:rsidRPr="00936320">
              <w:t>Allows you to record when a payment is made against a license, for reporting purposes (see page</w:t>
            </w:r>
            <w:r w:rsidR="00B15F6F">
              <w:t xml:space="preserve"> </w:t>
            </w:r>
            <w:r w:rsidR="00115080">
              <w:fldChar w:fldCharType="begin"/>
            </w:r>
            <w:r w:rsidR="00B15F6F">
              <w:instrText xml:space="preserve"> PAGEREF _Ref432450432 \h </w:instrText>
            </w:r>
            <w:r w:rsidR="00115080">
              <w:fldChar w:fldCharType="separate"/>
            </w:r>
            <w:r w:rsidR="007920EC">
              <w:t>27</w:t>
            </w:r>
            <w:r w:rsidR="00115080">
              <w:fldChar w:fldCharType="end"/>
            </w:r>
            <w:r w:rsidRPr="00936320">
              <w:t>).</w:t>
            </w:r>
          </w:p>
        </w:tc>
      </w:tr>
      <w:tr w:rsidR="00E50D2F" w:rsidRPr="00936320" w14:paraId="01C365D6" w14:textId="77777777" w:rsidTr="00FB4E11">
        <w:trPr>
          <w:cnfStyle w:val="000000010000" w:firstRow="0" w:lastRow="0" w:firstColumn="0" w:lastColumn="0" w:oddVBand="0" w:evenVBand="0" w:oddHBand="0" w:evenHBand="1" w:firstRowFirstColumn="0" w:firstRowLastColumn="0" w:lastRowFirstColumn="0" w:lastRowLastColumn="0"/>
        </w:trPr>
        <w:tc>
          <w:tcPr>
            <w:tcW w:w="1303" w:type="dxa"/>
          </w:tcPr>
          <w:p w14:paraId="1089B6E5" w14:textId="77777777" w:rsidR="00E50D2F" w:rsidRPr="00936320" w:rsidRDefault="00E50D2F" w:rsidP="007748D0">
            <w:pPr>
              <w:pStyle w:val="TableText"/>
            </w:pPr>
            <w:r w:rsidRPr="00936320">
              <w:t>Reinstate</w:t>
            </w:r>
          </w:p>
        </w:tc>
        <w:tc>
          <w:tcPr>
            <w:tcW w:w="1418" w:type="dxa"/>
          </w:tcPr>
          <w:p w14:paraId="0E3A31F5" w14:textId="77777777" w:rsidR="00E50D2F" w:rsidRPr="00936320" w:rsidRDefault="00E50D2F" w:rsidP="007748D0">
            <w:pPr>
              <w:pStyle w:val="TableText"/>
            </w:pPr>
            <w:r w:rsidRPr="00936320">
              <w:t>Reinstate</w:t>
            </w:r>
          </w:p>
        </w:tc>
        <w:tc>
          <w:tcPr>
            <w:tcW w:w="6369" w:type="dxa"/>
          </w:tcPr>
          <w:p w14:paraId="699B3169" w14:textId="77777777" w:rsidR="00E50D2F" w:rsidRPr="00936320" w:rsidRDefault="00E50D2F" w:rsidP="00B15F6F">
            <w:pPr>
              <w:pStyle w:val="TableText"/>
            </w:pPr>
            <w:r w:rsidRPr="00936320">
              <w:t xml:space="preserve">Allows you to reinstate the </w:t>
            </w:r>
            <w:proofErr w:type="spellStart"/>
            <w:r w:rsidRPr="00936320">
              <w:t>unutilised</w:t>
            </w:r>
            <w:proofErr w:type="spellEnd"/>
            <w:r w:rsidRPr="00936320">
              <w:t xml:space="preserve"> portion of the license if a reservation had previously been made</w:t>
            </w:r>
            <w:bookmarkStart w:id="37" w:name="H_21675"/>
            <w:bookmarkEnd w:id="37"/>
            <w:r w:rsidRPr="00936320">
              <w:t xml:space="preserve"> (see page</w:t>
            </w:r>
            <w:r w:rsidR="00B15F6F">
              <w:t xml:space="preserve"> </w:t>
            </w:r>
            <w:r w:rsidR="00115080">
              <w:fldChar w:fldCharType="begin"/>
            </w:r>
            <w:r w:rsidR="00B15F6F">
              <w:instrText xml:space="preserve"> PAGEREF _Ref432450452 \h </w:instrText>
            </w:r>
            <w:r w:rsidR="00115080">
              <w:fldChar w:fldCharType="separate"/>
            </w:r>
            <w:r w:rsidR="007920EC">
              <w:t>29</w:t>
            </w:r>
            <w:r w:rsidR="00115080">
              <w:fldChar w:fldCharType="end"/>
            </w:r>
            <w:r w:rsidRPr="00936320">
              <w:t>).</w:t>
            </w:r>
          </w:p>
        </w:tc>
      </w:tr>
      <w:tr w:rsidR="00E50D2F" w:rsidRPr="00936320" w14:paraId="2A7DF2C1" w14:textId="77777777" w:rsidTr="00FB4E11">
        <w:trPr>
          <w:cnfStyle w:val="000000100000" w:firstRow="0" w:lastRow="0" w:firstColumn="0" w:lastColumn="0" w:oddVBand="0" w:evenVBand="0" w:oddHBand="1" w:evenHBand="0" w:firstRowFirstColumn="0" w:firstRowLastColumn="0" w:lastRowFirstColumn="0" w:lastRowLastColumn="0"/>
        </w:trPr>
        <w:tc>
          <w:tcPr>
            <w:tcW w:w="1303" w:type="dxa"/>
          </w:tcPr>
          <w:p w14:paraId="40266A4E" w14:textId="77777777" w:rsidR="00E50D2F" w:rsidRPr="00936320" w:rsidRDefault="00E50D2F" w:rsidP="007748D0">
            <w:pPr>
              <w:pStyle w:val="TableText"/>
            </w:pPr>
            <w:r w:rsidRPr="00936320">
              <w:t>Reserve</w:t>
            </w:r>
          </w:p>
        </w:tc>
        <w:tc>
          <w:tcPr>
            <w:tcW w:w="1418" w:type="dxa"/>
          </w:tcPr>
          <w:p w14:paraId="1CC90895" w14:textId="77777777" w:rsidR="00E50D2F" w:rsidRPr="00936320" w:rsidRDefault="00E50D2F" w:rsidP="007748D0">
            <w:pPr>
              <w:pStyle w:val="TableText"/>
            </w:pPr>
            <w:r w:rsidRPr="00936320">
              <w:t>Reserve</w:t>
            </w:r>
          </w:p>
        </w:tc>
        <w:tc>
          <w:tcPr>
            <w:tcW w:w="6369" w:type="dxa"/>
          </w:tcPr>
          <w:p w14:paraId="675B093A" w14:textId="77777777" w:rsidR="00E50D2F" w:rsidRPr="00936320" w:rsidRDefault="00E50D2F" w:rsidP="00B15F6F">
            <w:pPr>
              <w:pStyle w:val="TableText"/>
            </w:pPr>
            <w:r w:rsidRPr="00936320">
              <w:t>Allows you to reserve a license amount when linking to a transaction (see page</w:t>
            </w:r>
            <w:r w:rsidR="00B15F6F">
              <w:t xml:space="preserve"> </w:t>
            </w:r>
            <w:r w:rsidR="00115080">
              <w:fldChar w:fldCharType="begin"/>
            </w:r>
            <w:r w:rsidR="00B15F6F">
              <w:instrText xml:space="preserve"> PAGEREF _Ref432450470 \h </w:instrText>
            </w:r>
            <w:r w:rsidR="00115080">
              <w:fldChar w:fldCharType="separate"/>
            </w:r>
            <w:r w:rsidR="007920EC">
              <w:t>15</w:t>
            </w:r>
            <w:r w:rsidR="00115080">
              <w:fldChar w:fldCharType="end"/>
            </w:r>
            <w:r w:rsidRPr="00936320">
              <w:t xml:space="preserve">). </w:t>
            </w:r>
          </w:p>
        </w:tc>
      </w:tr>
    </w:tbl>
    <w:p w14:paraId="3CD6932E" w14:textId="77777777" w:rsidR="00E50D2F" w:rsidRPr="00936320" w:rsidRDefault="00E50D2F" w:rsidP="000F5BE4">
      <w:pPr>
        <w:pStyle w:val="Heading1"/>
      </w:pPr>
      <w:bookmarkStart w:id="38" w:name="_Toc317758847"/>
      <w:bookmarkStart w:id="39" w:name="_Toc373155424"/>
      <w:bookmarkStart w:id="40" w:name="_Toc390475602"/>
      <w:bookmarkStart w:id="41" w:name="_Toc411436701"/>
      <w:bookmarkStart w:id="42" w:name="_Ref57056444"/>
      <w:bookmarkStart w:id="43" w:name="_Toc166665324"/>
      <w:r w:rsidRPr="00936320">
        <w:lastRenderedPageBreak/>
        <w:t>Before You Begin Using Licenses</w:t>
      </w:r>
      <w:bookmarkEnd w:id="38"/>
      <w:bookmarkEnd w:id="39"/>
      <w:bookmarkEnd w:id="40"/>
      <w:bookmarkEnd w:id="41"/>
      <w:bookmarkEnd w:id="42"/>
      <w:bookmarkEnd w:id="43"/>
    </w:p>
    <w:p w14:paraId="0ED926FA" w14:textId="77777777" w:rsidR="00E50D2F" w:rsidRPr="00936320" w:rsidRDefault="00E50D2F" w:rsidP="00FB4E11">
      <w:pPr>
        <w:pStyle w:val="BodyText"/>
      </w:pPr>
      <w:r w:rsidRPr="00936320">
        <w:t>This chapter explains what needs to be set up on your system before you can begin using the licenses functionality.</w:t>
      </w:r>
    </w:p>
    <w:p w14:paraId="3BB90170" w14:textId="77777777" w:rsidR="00E50D2F" w:rsidRPr="00936320" w:rsidRDefault="00E50D2F" w:rsidP="000F5BE4">
      <w:pPr>
        <w:pStyle w:val="Heading2"/>
      </w:pPr>
      <w:bookmarkStart w:id="44" w:name="O_23083"/>
      <w:bookmarkStart w:id="45" w:name="_Toc317758848"/>
      <w:bookmarkStart w:id="46" w:name="_Toc373155425"/>
      <w:bookmarkStart w:id="47" w:name="_Toc390475603"/>
      <w:bookmarkStart w:id="48" w:name="_Toc411436702"/>
      <w:bookmarkStart w:id="49" w:name="_Toc166665325"/>
      <w:bookmarkEnd w:id="44"/>
      <w:r w:rsidRPr="00936320">
        <w:t>Configu</w:t>
      </w:r>
      <w:r w:rsidR="00966A0C">
        <w:t>ring Y</w:t>
      </w:r>
      <w:r w:rsidRPr="00936320">
        <w:t>our System to Use Licenses</w:t>
      </w:r>
      <w:bookmarkEnd w:id="45"/>
      <w:bookmarkEnd w:id="46"/>
      <w:bookmarkEnd w:id="47"/>
      <w:bookmarkEnd w:id="48"/>
      <w:bookmarkEnd w:id="49"/>
    </w:p>
    <w:p w14:paraId="4378FD81" w14:textId="77777777" w:rsidR="00E50D2F" w:rsidRPr="00936320" w:rsidRDefault="00E50D2F" w:rsidP="00FB4E11">
      <w:pPr>
        <w:pStyle w:val="BodyText"/>
      </w:pPr>
      <w:r w:rsidRPr="00936320">
        <w:t xml:space="preserve">Before you can start using licenses in </w:t>
      </w:r>
      <w:r w:rsidR="00754AEF" w:rsidRPr="00936320">
        <w:t>Trade Innovation</w:t>
      </w:r>
      <w:r w:rsidRPr="00936320">
        <w:t>, there are certain things that need to be set up on your system. These include:</w:t>
      </w:r>
    </w:p>
    <w:p w14:paraId="13A21336" w14:textId="77777777" w:rsidR="00E50D2F" w:rsidRPr="00936320" w:rsidRDefault="00E50D2F" w:rsidP="00FB4E11">
      <w:pPr>
        <w:pStyle w:val="BulletLevel1"/>
      </w:pPr>
      <w:r w:rsidRPr="00936320">
        <w:t>Setting trade finance system options which control whether the license functionality is available on your system and if so, what foreign exchange rate is used for the licenses</w:t>
      </w:r>
    </w:p>
    <w:p w14:paraId="4BC7ADD2" w14:textId="77777777" w:rsidR="00E50D2F" w:rsidRPr="00936320" w:rsidRDefault="00E50D2F" w:rsidP="00FB4E11">
      <w:pPr>
        <w:pStyle w:val="BulletLevel1"/>
      </w:pPr>
      <w:r w:rsidRPr="00936320">
        <w:t>Setting system options that control how licenses are handled by the system</w:t>
      </w:r>
    </w:p>
    <w:p w14:paraId="46643BC3" w14:textId="77777777" w:rsidR="00E50D2F" w:rsidRPr="00936320" w:rsidRDefault="00E50D2F" w:rsidP="00FB4E11">
      <w:pPr>
        <w:pStyle w:val="BulletLevel1"/>
      </w:pPr>
      <w:r w:rsidRPr="00936320">
        <w:t xml:space="preserve">Setting up product options for the License product itself, </w:t>
      </w:r>
      <w:proofErr w:type="gramStart"/>
      <w:r w:rsidRPr="00936320">
        <w:t>and also</w:t>
      </w:r>
      <w:proofErr w:type="gramEnd"/>
      <w:r w:rsidRPr="00936320">
        <w:t xml:space="preserve"> for the other </w:t>
      </w:r>
      <w:r w:rsidR="00754AEF" w:rsidRPr="00936320">
        <w:t>Trade Innovation</w:t>
      </w:r>
      <w:r w:rsidRPr="00936320">
        <w:t xml:space="preserve"> products which use licenses</w:t>
      </w:r>
    </w:p>
    <w:p w14:paraId="0E5585F4" w14:textId="77777777" w:rsidR="00E50D2F" w:rsidRPr="00936320" w:rsidRDefault="00E50D2F" w:rsidP="00FB4E11">
      <w:pPr>
        <w:pStyle w:val="BulletLevel1"/>
      </w:pPr>
      <w:r w:rsidRPr="00936320">
        <w:t>Defining the different types of licenses that will be available to users of the system. For each license type you can also set default values</w:t>
      </w:r>
    </w:p>
    <w:p w14:paraId="02009A84" w14:textId="77777777" w:rsidR="00E50D2F" w:rsidRPr="00936320" w:rsidRDefault="00E50D2F" w:rsidP="00FB4E11">
      <w:pPr>
        <w:pStyle w:val="BulletLevel1"/>
      </w:pPr>
      <w:r w:rsidRPr="00936320">
        <w:t xml:space="preserve">Mapping the license types to the various products and product types within </w:t>
      </w:r>
      <w:r w:rsidR="00754AEF" w:rsidRPr="00936320">
        <w:t>Trade Innovation</w:t>
      </w:r>
    </w:p>
    <w:p w14:paraId="6C346842" w14:textId="77777777" w:rsidR="00E50D2F" w:rsidRPr="00936320" w:rsidRDefault="00E50D2F" w:rsidP="00FB4E11">
      <w:pPr>
        <w:pStyle w:val="BulletLevel1"/>
      </w:pPr>
      <w:r w:rsidRPr="00936320">
        <w:t>Defining any additional fields that are required to capture license details, other t</w:t>
      </w:r>
      <w:r w:rsidR="004D481B" w:rsidRPr="00936320">
        <w:t xml:space="preserve">han those supplied with </w:t>
      </w:r>
      <w:r w:rsidR="00754AEF" w:rsidRPr="00936320">
        <w:t>Trade Innovation</w:t>
      </w:r>
    </w:p>
    <w:p w14:paraId="31908F8F" w14:textId="735FC584" w:rsidR="00E50D2F" w:rsidRPr="00936320" w:rsidRDefault="00E50D2F" w:rsidP="00FB4E11">
      <w:pPr>
        <w:pStyle w:val="BodyText"/>
      </w:pPr>
      <w:r w:rsidRPr="00936320">
        <w:t xml:space="preserve">These would normally have already been done by the appropriate person within your bank, so this chapter is provided merely to give you an overview. For more detailed information about how to set up </w:t>
      </w:r>
      <w:r w:rsidR="00985469">
        <w:t>Trade Innovation</w:t>
      </w:r>
      <w:r w:rsidRPr="00936320">
        <w:t xml:space="preserve">, see </w:t>
      </w:r>
      <w:r w:rsidRPr="00936320">
        <w:rPr>
          <w:rStyle w:val="Italic"/>
        </w:rPr>
        <w:t>System Tailoring User Guid</w:t>
      </w:r>
      <w:r w:rsidRPr="00936320">
        <w:rPr>
          <w:rStyle w:val="Monospace"/>
        </w:rPr>
        <w:t>e</w:t>
      </w:r>
      <w:r w:rsidR="00D740D2" w:rsidRPr="00936320">
        <w:rPr>
          <w:rStyle w:val="Monospace"/>
        </w:rPr>
        <w:t xml:space="preserve"> </w:t>
      </w:r>
      <w:r w:rsidR="00D740D2" w:rsidRPr="00567CEA">
        <w:rPr>
          <w:rStyle w:val="Italic"/>
        </w:rPr>
        <w:t xml:space="preserve">– </w:t>
      </w:r>
      <w:r w:rsidR="00985469">
        <w:rPr>
          <w:rStyle w:val="Italic"/>
        </w:rPr>
        <w:t>Trade Innovation</w:t>
      </w:r>
      <w:r w:rsidRPr="00936320">
        <w:t>.</w:t>
      </w:r>
    </w:p>
    <w:p w14:paraId="11E03ACB" w14:textId="77777777" w:rsidR="00E50D2F" w:rsidRPr="00936320" w:rsidRDefault="00E50D2F" w:rsidP="000F5BE4">
      <w:pPr>
        <w:pStyle w:val="Heading2"/>
      </w:pPr>
      <w:bookmarkStart w:id="50" w:name="O_24210"/>
      <w:bookmarkStart w:id="51" w:name="_Toc317758849"/>
      <w:bookmarkStart w:id="52" w:name="_Toc373155426"/>
      <w:bookmarkStart w:id="53" w:name="_Toc390475604"/>
      <w:bookmarkStart w:id="54" w:name="_Toc411436703"/>
      <w:bookmarkStart w:id="55" w:name="_Toc166665326"/>
      <w:bookmarkEnd w:id="50"/>
      <w:r w:rsidRPr="00936320">
        <w:t>Setting the Trade Finance System Options</w:t>
      </w:r>
      <w:bookmarkEnd w:id="51"/>
      <w:bookmarkEnd w:id="52"/>
      <w:bookmarkEnd w:id="53"/>
      <w:bookmarkEnd w:id="54"/>
      <w:bookmarkEnd w:id="55"/>
    </w:p>
    <w:p w14:paraId="623C290E" w14:textId="77777777" w:rsidR="00E50D2F" w:rsidRPr="00936320" w:rsidRDefault="00E50D2F" w:rsidP="004D481B">
      <w:pPr>
        <w:pStyle w:val="NoSpaceAfter"/>
      </w:pPr>
      <w:r w:rsidRPr="00936320">
        <w:t xml:space="preserve">The following trade finance system options affect </w:t>
      </w:r>
      <w:r w:rsidR="004D481B" w:rsidRPr="00936320">
        <w:t xml:space="preserve">the use of licenses in </w:t>
      </w:r>
      <w:r w:rsidR="00754AEF" w:rsidRPr="00936320">
        <w:t>Trade Innovation</w:t>
      </w:r>
      <w:r w:rsidR="004D481B" w:rsidRPr="00936320">
        <w:t>:</w:t>
      </w:r>
    </w:p>
    <w:tbl>
      <w:tblPr>
        <w:tblStyle w:val="TableSubtle1"/>
        <w:tblW w:w="9090" w:type="dxa"/>
        <w:tblInd w:w="115" w:type="dxa"/>
        <w:tblLayout w:type="fixed"/>
        <w:tblLook w:val="0000" w:firstRow="0" w:lastRow="0" w:firstColumn="0" w:lastColumn="0" w:noHBand="0" w:noVBand="0"/>
      </w:tblPr>
      <w:tblGrid>
        <w:gridCol w:w="2070"/>
        <w:gridCol w:w="7020"/>
      </w:tblGrid>
      <w:tr w:rsidR="00E50D2F" w:rsidRPr="00936320" w14:paraId="1E4B939D" w14:textId="77777777" w:rsidTr="000F5BE4">
        <w:trPr>
          <w:cnfStyle w:val="000000100000" w:firstRow="0" w:lastRow="0" w:firstColumn="0" w:lastColumn="0" w:oddVBand="0" w:evenVBand="0" w:oddHBand="1" w:evenHBand="0" w:firstRowFirstColumn="0" w:firstRowLastColumn="0" w:lastRowFirstColumn="0" w:lastRowLastColumn="0"/>
        </w:trPr>
        <w:tc>
          <w:tcPr>
            <w:tcW w:w="2070" w:type="dxa"/>
          </w:tcPr>
          <w:p w14:paraId="38FFD77A" w14:textId="77777777" w:rsidR="00E50D2F" w:rsidRPr="00936320" w:rsidRDefault="00E50D2F" w:rsidP="007748D0">
            <w:pPr>
              <w:pStyle w:val="TableText"/>
            </w:pPr>
            <w:r w:rsidRPr="00936320">
              <w:t>License Required</w:t>
            </w:r>
          </w:p>
        </w:tc>
        <w:tc>
          <w:tcPr>
            <w:tcW w:w="7020" w:type="dxa"/>
          </w:tcPr>
          <w:p w14:paraId="49FA318C" w14:textId="77777777" w:rsidR="00E50D2F" w:rsidRPr="00936320" w:rsidRDefault="00E50D2F" w:rsidP="007748D0">
            <w:pPr>
              <w:pStyle w:val="TableText"/>
            </w:pPr>
            <w:r w:rsidRPr="00936320">
              <w:t>Implements licensing functionality.</w:t>
            </w:r>
          </w:p>
        </w:tc>
      </w:tr>
      <w:tr w:rsidR="00E50D2F" w:rsidRPr="00936320" w14:paraId="427955FA" w14:textId="77777777" w:rsidTr="000F5BE4">
        <w:tc>
          <w:tcPr>
            <w:tcW w:w="2070" w:type="dxa"/>
          </w:tcPr>
          <w:p w14:paraId="546ABA03" w14:textId="77777777" w:rsidR="00E50D2F" w:rsidRPr="00936320" w:rsidRDefault="00E50D2F" w:rsidP="007748D0">
            <w:pPr>
              <w:pStyle w:val="TableText"/>
            </w:pPr>
            <w:r w:rsidRPr="00936320">
              <w:t>License FX Rate Code</w:t>
            </w:r>
          </w:p>
        </w:tc>
        <w:tc>
          <w:tcPr>
            <w:tcW w:w="7020" w:type="dxa"/>
          </w:tcPr>
          <w:p w14:paraId="1D6EE5F9" w14:textId="77777777" w:rsidR="00E50D2F" w:rsidRPr="00936320" w:rsidRDefault="00E50D2F" w:rsidP="007748D0">
            <w:pPr>
              <w:pStyle w:val="TableText"/>
            </w:pPr>
            <w:r w:rsidRPr="00936320">
              <w:t>Specifies an FX rate code to be used when converting to license currency and base currency. If you leave the rate code blank, the spot rate will be used. (Note that you can only set the FX rate code if the Licenses Required parameter is also set to Yes)</w:t>
            </w:r>
          </w:p>
        </w:tc>
      </w:tr>
    </w:tbl>
    <w:p w14:paraId="43E42D77" w14:textId="77777777" w:rsidR="000F5BE4" w:rsidRPr="00936320" w:rsidRDefault="000F5BE4" w:rsidP="00FB4E11">
      <w:pPr>
        <w:pStyle w:val="BodyText"/>
      </w:pPr>
      <w:bookmarkStart w:id="56" w:name="O_24209"/>
      <w:bookmarkStart w:id="57" w:name="_Toc317758850"/>
      <w:bookmarkStart w:id="58" w:name="_Toc373155427"/>
      <w:bookmarkStart w:id="59" w:name="_Toc390475605"/>
      <w:bookmarkStart w:id="60" w:name="_Toc411436704"/>
      <w:bookmarkEnd w:id="56"/>
      <w:r w:rsidRPr="00936320">
        <w:br w:type="page"/>
      </w:r>
    </w:p>
    <w:p w14:paraId="23B0F950" w14:textId="77777777" w:rsidR="00E50D2F" w:rsidRPr="00936320" w:rsidRDefault="00E50D2F" w:rsidP="000F5BE4">
      <w:pPr>
        <w:pStyle w:val="Heading2"/>
      </w:pPr>
      <w:bookmarkStart w:id="61" w:name="_Toc166665327"/>
      <w:r w:rsidRPr="00936320">
        <w:lastRenderedPageBreak/>
        <w:t>Setting the System Options</w:t>
      </w:r>
      <w:bookmarkEnd w:id="57"/>
      <w:bookmarkEnd w:id="58"/>
      <w:bookmarkEnd w:id="59"/>
      <w:bookmarkEnd w:id="60"/>
      <w:bookmarkEnd w:id="61"/>
    </w:p>
    <w:p w14:paraId="575925B0" w14:textId="77777777" w:rsidR="00E50D2F" w:rsidRPr="00936320" w:rsidRDefault="00E50D2F" w:rsidP="004D481B">
      <w:pPr>
        <w:pStyle w:val="NoSpaceAfter"/>
      </w:pPr>
      <w:r w:rsidRPr="00936320">
        <w:t xml:space="preserve">The following system options affect </w:t>
      </w:r>
      <w:r w:rsidR="004D481B" w:rsidRPr="00936320">
        <w:t xml:space="preserve">the use of licenses in </w:t>
      </w:r>
      <w:r w:rsidR="00754AEF" w:rsidRPr="00936320">
        <w:t>Trade Innovation</w:t>
      </w:r>
      <w:r w:rsidR="004D481B" w:rsidRPr="00936320">
        <w:t>:</w:t>
      </w:r>
    </w:p>
    <w:tbl>
      <w:tblPr>
        <w:tblStyle w:val="TableSubtle1"/>
        <w:tblW w:w="9090" w:type="dxa"/>
        <w:tblInd w:w="115" w:type="dxa"/>
        <w:tblLayout w:type="fixed"/>
        <w:tblLook w:val="0000" w:firstRow="0" w:lastRow="0" w:firstColumn="0" w:lastColumn="0" w:noHBand="0" w:noVBand="0"/>
      </w:tblPr>
      <w:tblGrid>
        <w:gridCol w:w="3150"/>
        <w:gridCol w:w="5940"/>
      </w:tblGrid>
      <w:tr w:rsidR="00E50D2F" w:rsidRPr="00936320" w14:paraId="1F9567B4" w14:textId="77777777" w:rsidTr="000F5BE4">
        <w:trPr>
          <w:cnfStyle w:val="000000100000" w:firstRow="0" w:lastRow="0" w:firstColumn="0" w:lastColumn="0" w:oddVBand="0" w:evenVBand="0" w:oddHBand="1" w:evenHBand="0" w:firstRowFirstColumn="0" w:firstRowLastColumn="0" w:lastRowFirstColumn="0" w:lastRowLastColumn="0"/>
        </w:trPr>
        <w:tc>
          <w:tcPr>
            <w:tcW w:w="3150" w:type="dxa"/>
          </w:tcPr>
          <w:p w14:paraId="1207B08D" w14:textId="77777777" w:rsidR="00E50D2F" w:rsidRPr="00936320" w:rsidRDefault="00E50D2F" w:rsidP="007748D0">
            <w:pPr>
              <w:pStyle w:val="TableText"/>
            </w:pPr>
            <w:proofErr w:type="spellStart"/>
            <w:r w:rsidRPr="00936320">
              <w:t>LicenseFXRateReadOnly</w:t>
            </w:r>
            <w:proofErr w:type="spellEnd"/>
          </w:p>
        </w:tc>
        <w:tc>
          <w:tcPr>
            <w:tcW w:w="5940" w:type="dxa"/>
          </w:tcPr>
          <w:p w14:paraId="4C0CBC02" w14:textId="77777777" w:rsidR="00E50D2F" w:rsidRPr="00936320" w:rsidRDefault="00E50D2F" w:rsidP="007748D0">
            <w:pPr>
              <w:pStyle w:val="TableText"/>
            </w:pPr>
            <w:r w:rsidRPr="00936320">
              <w:t>Allows your bank to prevent the user from changing the foreign exchange rate (used to convert to the license currency equivalent) at license reservation or drawdown.</w:t>
            </w:r>
          </w:p>
        </w:tc>
      </w:tr>
      <w:tr w:rsidR="00E50D2F" w:rsidRPr="00936320" w14:paraId="10E35309" w14:textId="77777777" w:rsidTr="000F5BE4">
        <w:tc>
          <w:tcPr>
            <w:tcW w:w="3150" w:type="dxa"/>
          </w:tcPr>
          <w:p w14:paraId="41B8291A" w14:textId="77777777" w:rsidR="00E50D2F" w:rsidRPr="00936320" w:rsidRDefault="00E50D2F" w:rsidP="007748D0">
            <w:pPr>
              <w:pStyle w:val="TableText"/>
            </w:pPr>
            <w:proofErr w:type="spellStart"/>
            <w:r w:rsidRPr="00936320">
              <w:t>LicenseNumberExtendedValidation</w:t>
            </w:r>
            <w:proofErr w:type="spellEnd"/>
          </w:p>
        </w:tc>
        <w:tc>
          <w:tcPr>
            <w:tcW w:w="5940" w:type="dxa"/>
          </w:tcPr>
          <w:p w14:paraId="510D9393" w14:textId="77777777" w:rsidR="00E50D2F" w:rsidRPr="00936320" w:rsidRDefault="00E50D2F" w:rsidP="007748D0">
            <w:pPr>
              <w:pStyle w:val="TableText"/>
            </w:pPr>
            <w:r w:rsidRPr="00936320">
              <w:t xml:space="preserve">Allows your bank to ascertain the uniqueness of the license record by having </w:t>
            </w:r>
            <w:r w:rsidR="00754AEF" w:rsidRPr="00936320">
              <w:t>Trade Innovation</w:t>
            </w:r>
            <w:r w:rsidRPr="00936320">
              <w:t xml:space="preserve"> check the license number, branch, registration date and product type.</w:t>
            </w:r>
          </w:p>
        </w:tc>
      </w:tr>
      <w:tr w:rsidR="00E50D2F" w:rsidRPr="00936320" w14:paraId="09153217" w14:textId="77777777" w:rsidTr="000F5BE4">
        <w:trPr>
          <w:cnfStyle w:val="000000100000" w:firstRow="0" w:lastRow="0" w:firstColumn="0" w:lastColumn="0" w:oddVBand="0" w:evenVBand="0" w:oddHBand="1" w:evenHBand="0" w:firstRowFirstColumn="0" w:firstRowLastColumn="0" w:lastRowFirstColumn="0" w:lastRowLastColumn="0"/>
        </w:trPr>
        <w:tc>
          <w:tcPr>
            <w:tcW w:w="3150" w:type="dxa"/>
          </w:tcPr>
          <w:p w14:paraId="7BF53192" w14:textId="77777777" w:rsidR="00E50D2F" w:rsidRPr="00936320" w:rsidRDefault="00E50D2F" w:rsidP="007748D0">
            <w:pPr>
              <w:pStyle w:val="TableText"/>
            </w:pPr>
            <w:proofErr w:type="spellStart"/>
            <w:r w:rsidRPr="00936320">
              <w:t>LicenseWarningsOnly</w:t>
            </w:r>
            <w:proofErr w:type="spellEnd"/>
          </w:p>
        </w:tc>
        <w:tc>
          <w:tcPr>
            <w:tcW w:w="5940" w:type="dxa"/>
          </w:tcPr>
          <w:p w14:paraId="087B9BD0" w14:textId="77777777" w:rsidR="00E50D2F" w:rsidRPr="00936320" w:rsidRDefault="00E50D2F" w:rsidP="007748D0">
            <w:pPr>
              <w:pStyle w:val="TableText"/>
            </w:pPr>
            <w:r w:rsidRPr="00936320">
              <w:t>Allows your bank to decide whether error messages should be issued as warning messages instead (so that they can be overridden).</w:t>
            </w:r>
          </w:p>
        </w:tc>
      </w:tr>
      <w:tr w:rsidR="00E50D2F" w:rsidRPr="00936320" w14:paraId="2BE5DCBF" w14:textId="77777777" w:rsidTr="000F5BE4">
        <w:tc>
          <w:tcPr>
            <w:tcW w:w="3150" w:type="dxa"/>
          </w:tcPr>
          <w:p w14:paraId="0D2F4053" w14:textId="77777777" w:rsidR="00E50D2F" w:rsidRPr="00936320" w:rsidRDefault="00E50D2F" w:rsidP="007748D0">
            <w:pPr>
              <w:pStyle w:val="TableText"/>
            </w:pPr>
            <w:proofErr w:type="spellStart"/>
            <w:r w:rsidRPr="00936320">
              <w:t>SuppressExpiryValidation</w:t>
            </w:r>
            <w:proofErr w:type="spellEnd"/>
          </w:p>
        </w:tc>
        <w:tc>
          <w:tcPr>
            <w:tcW w:w="5940" w:type="dxa"/>
          </w:tcPr>
          <w:p w14:paraId="68C36AD2" w14:textId="77777777" w:rsidR="00E50D2F" w:rsidRPr="00936320" w:rsidRDefault="00E50D2F" w:rsidP="007748D0">
            <w:pPr>
              <w:pStyle w:val="TableText"/>
            </w:pPr>
            <w:r w:rsidRPr="00936320">
              <w:t>Allows your bank to switch off the standard validation process. This checks the expiry date of the transaction against the date up until which the license is valid.</w:t>
            </w:r>
          </w:p>
        </w:tc>
      </w:tr>
      <w:tr w:rsidR="00E50D2F" w:rsidRPr="00936320" w14:paraId="1DDF2F91" w14:textId="77777777" w:rsidTr="000F5BE4">
        <w:trPr>
          <w:cnfStyle w:val="000000100000" w:firstRow="0" w:lastRow="0" w:firstColumn="0" w:lastColumn="0" w:oddVBand="0" w:evenVBand="0" w:oddHBand="1" w:evenHBand="0" w:firstRowFirstColumn="0" w:firstRowLastColumn="0" w:lastRowFirstColumn="0" w:lastRowLastColumn="0"/>
        </w:trPr>
        <w:tc>
          <w:tcPr>
            <w:tcW w:w="3150" w:type="dxa"/>
          </w:tcPr>
          <w:p w14:paraId="2C5258CA" w14:textId="77777777" w:rsidR="00E50D2F" w:rsidRPr="00936320" w:rsidRDefault="00E50D2F" w:rsidP="007748D0">
            <w:pPr>
              <w:pStyle w:val="TableText"/>
            </w:pPr>
            <w:proofErr w:type="spellStart"/>
            <w:r w:rsidRPr="00936320">
              <w:t>SuppressLicenseAtCollectionCreation</w:t>
            </w:r>
            <w:proofErr w:type="spellEnd"/>
          </w:p>
        </w:tc>
        <w:tc>
          <w:tcPr>
            <w:tcW w:w="5940" w:type="dxa"/>
          </w:tcPr>
          <w:p w14:paraId="6E250935" w14:textId="77777777" w:rsidR="00E50D2F" w:rsidRPr="00936320" w:rsidRDefault="00E50D2F" w:rsidP="007748D0">
            <w:pPr>
              <w:pStyle w:val="TableText"/>
            </w:pPr>
            <w:r w:rsidRPr="00936320">
              <w:t>Allows your bank to hide the license pane during creation of inward and outward collections.</w:t>
            </w:r>
          </w:p>
        </w:tc>
      </w:tr>
    </w:tbl>
    <w:p w14:paraId="16308427" w14:textId="77777777" w:rsidR="00E50D2F" w:rsidRPr="00936320" w:rsidRDefault="00E50D2F" w:rsidP="000F5BE4">
      <w:pPr>
        <w:pStyle w:val="Heading2"/>
      </w:pPr>
      <w:bookmarkStart w:id="62" w:name="_Toc390475606"/>
      <w:bookmarkStart w:id="63" w:name="_Toc411436705"/>
      <w:bookmarkStart w:id="64" w:name="_Toc166665328"/>
      <w:r w:rsidRPr="00936320">
        <w:t>Defining the Product Options</w:t>
      </w:r>
      <w:bookmarkEnd w:id="62"/>
      <w:bookmarkEnd w:id="63"/>
      <w:bookmarkEnd w:id="64"/>
    </w:p>
    <w:p w14:paraId="5E4A81AA" w14:textId="77777777" w:rsidR="00E50D2F" w:rsidRPr="00936320" w:rsidRDefault="00E50D2F" w:rsidP="00FB4E11">
      <w:pPr>
        <w:pStyle w:val="BodyText"/>
      </w:pPr>
      <w:r w:rsidRPr="00936320">
        <w:t xml:space="preserve">Before you can begin using licenses on your system, you need to have the license product set up on your system. Also, the existing </w:t>
      </w:r>
      <w:r w:rsidR="00754AEF" w:rsidRPr="00936320">
        <w:t>Trade Innovation</w:t>
      </w:r>
      <w:r w:rsidRPr="00936320">
        <w:t xml:space="preserve"> products will need to</w:t>
      </w:r>
      <w:r w:rsidR="007748D0" w:rsidRPr="00936320">
        <w:t xml:space="preserve"> be set up to </w:t>
      </w:r>
      <w:proofErr w:type="spellStart"/>
      <w:r w:rsidR="007748D0" w:rsidRPr="00936320">
        <w:t>utilise</w:t>
      </w:r>
      <w:proofErr w:type="spellEnd"/>
      <w:r w:rsidR="007748D0" w:rsidRPr="00936320">
        <w:t xml:space="preserve"> licenses.</w:t>
      </w:r>
    </w:p>
    <w:p w14:paraId="6B5D4B1E" w14:textId="77777777" w:rsidR="00E50D2F" w:rsidRPr="00936320" w:rsidRDefault="00E50D2F" w:rsidP="00FB4E11">
      <w:pPr>
        <w:pStyle w:val="BodyText"/>
      </w:pPr>
      <w:r w:rsidRPr="00936320">
        <w:t>Set up the License product, setting the primary customer to 'Principal Party'.</w:t>
      </w:r>
    </w:p>
    <w:p w14:paraId="7517C178" w14:textId="77777777" w:rsidR="00E50D2F" w:rsidRPr="00936320" w:rsidRDefault="00E50D2F" w:rsidP="004D481B">
      <w:pPr>
        <w:pStyle w:val="NoSpaceAfter"/>
      </w:pPr>
      <w:r w:rsidRPr="00936320">
        <w:t>Next, make sure that the various products that will use licenses are set up correctly. In the product options for each such product set the Apply Licenses field as follows:</w:t>
      </w:r>
    </w:p>
    <w:tbl>
      <w:tblPr>
        <w:tblStyle w:val="TableSubtle1"/>
        <w:tblW w:w="9090" w:type="dxa"/>
        <w:tblInd w:w="115" w:type="dxa"/>
        <w:tblLayout w:type="fixed"/>
        <w:tblLook w:val="0000" w:firstRow="0" w:lastRow="0" w:firstColumn="0" w:lastColumn="0" w:noHBand="0" w:noVBand="0"/>
      </w:tblPr>
      <w:tblGrid>
        <w:gridCol w:w="2070"/>
        <w:gridCol w:w="7020"/>
      </w:tblGrid>
      <w:tr w:rsidR="00E50D2F" w:rsidRPr="00936320" w14:paraId="28033B1B" w14:textId="77777777" w:rsidTr="000F5BE4">
        <w:trPr>
          <w:cnfStyle w:val="000000100000" w:firstRow="0" w:lastRow="0" w:firstColumn="0" w:lastColumn="0" w:oddVBand="0" w:evenVBand="0" w:oddHBand="1" w:evenHBand="0" w:firstRowFirstColumn="0" w:firstRowLastColumn="0" w:lastRowFirstColumn="0" w:lastRowLastColumn="0"/>
        </w:trPr>
        <w:tc>
          <w:tcPr>
            <w:tcW w:w="2070" w:type="dxa"/>
          </w:tcPr>
          <w:p w14:paraId="2B66174D" w14:textId="77777777" w:rsidR="00E50D2F" w:rsidRPr="00936320" w:rsidRDefault="00E50D2F" w:rsidP="007748D0">
            <w:pPr>
              <w:pStyle w:val="TableText"/>
            </w:pPr>
            <w:r w:rsidRPr="00936320">
              <w:t>Yes</w:t>
            </w:r>
          </w:p>
        </w:tc>
        <w:tc>
          <w:tcPr>
            <w:tcW w:w="7020" w:type="dxa"/>
          </w:tcPr>
          <w:p w14:paraId="06989E72" w14:textId="77777777" w:rsidR="00E50D2F" w:rsidRPr="00936320" w:rsidRDefault="00E50D2F" w:rsidP="007748D0">
            <w:pPr>
              <w:pStyle w:val="TableText"/>
            </w:pPr>
            <w:r w:rsidRPr="00936320">
              <w:t>Licenses must be applied to transactions that are entered using that product. If a license is not applied and the field is set to Yes, then an error message to that effect is displayed</w:t>
            </w:r>
            <w:r w:rsidR="007748D0" w:rsidRPr="00936320">
              <w:t>.</w:t>
            </w:r>
          </w:p>
        </w:tc>
      </w:tr>
      <w:tr w:rsidR="00E50D2F" w:rsidRPr="00936320" w14:paraId="0A62571C" w14:textId="77777777" w:rsidTr="000F5BE4">
        <w:tc>
          <w:tcPr>
            <w:tcW w:w="2070" w:type="dxa"/>
          </w:tcPr>
          <w:p w14:paraId="1EFF3D6C" w14:textId="77777777" w:rsidR="00E50D2F" w:rsidRPr="00936320" w:rsidRDefault="00E50D2F" w:rsidP="007748D0">
            <w:pPr>
              <w:pStyle w:val="TableText"/>
            </w:pPr>
            <w:r w:rsidRPr="00936320">
              <w:t>No</w:t>
            </w:r>
          </w:p>
        </w:tc>
        <w:tc>
          <w:tcPr>
            <w:tcW w:w="7020" w:type="dxa"/>
          </w:tcPr>
          <w:p w14:paraId="40E41E11" w14:textId="77777777" w:rsidR="00E50D2F" w:rsidRPr="00936320" w:rsidRDefault="00E50D2F" w:rsidP="007748D0">
            <w:pPr>
              <w:pStyle w:val="TableText"/>
            </w:pPr>
            <w:r w:rsidRPr="00936320">
              <w:t>Licenses will not be required for transactions that are entered using that product. The License pane is not then displayed.</w:t>
            </w:r>
          </w:p>
        </w:tc>
      </w:tr>
      <w:tr w:rsidR="00E50D2F" w:rsidRPr="00936320" w14:paraId="14E635C4" w14:textId="77777777" w:rsidTr="000F5BE4">
        <w:trPr>
          <w:cnfStyle w:val="000000100000" w:firstRow="0" w:lastRow="0" w:firstColumn="0" w:lastColumn="0" w:oddVBand="0" w:evenVBand="0" w:oddHBand="1" w:evenHBand="0" w:firstRowFirstColumn="0" w:firstRowLastColumn="0" w:lastRowFirstColumn="0" w:lastRowLastColumn="0"/>
        </w:trPr>
        <w:tc>
          <w:tcPr>
            <w:tcW w:w="2070" w:type="dxa"/>
          </w:tcPr>
          <w:p w14:paraId="79B473FB" w14:textId="77777777" w:rsidR="00E50D2F" w:rsidRPr="00936320" w:rsidRDefault="00E50D2F" w:rsidP="007748D0">
            <w:pPr>
              <w:pStyle w:val="TableText"/>
            </w:pPr>
            <w:r w:rsidRPr="00936320">
              <w:t>Optional</w:t>
            </w:r>
          </w:p>
        </w:tc>
        <w:tc>
          <w:tcPr>
            <w:tcW w:w="7020" w:type="dxa"/>
          </w:tcPr>
          <w:p w14:paraId="1AD267D6" w14:textId="77777777" w:rsidR="00E50D2F" w:rsidRPr="00936320" w:rsidRDefault="00E50D2F" w:rsidP="007748D0">
            <w:pPr>
              <w:pStyle w:val="TableText"/>
            </w:pPr>
            <w:r w:rsidRPr="00936320">
              <w:t>It is left to the user to decide whether a license needs to be used or not. If a license is not applied and the field is set to Optional, then a warning message is displayed which may be overridden.</w:t>
            </w:r>
          </w:p>
        </w:tc>
      </w:tr>
    </w:tbl>
    <w:p w14:paraId="5EA95C72" w14:textId="77777777" w:rsidR="00E50D2F" w:rsidRPr="00936320" w:rsidRDefault="00E50D2F" w:rsidP="004D481B">
      <w:pPr>
        <w:pStyle w:val="SpaceBefore"/>
      </w:pPr>
      <w:r w:rsidRPr="00936320">
        <w:t>The Apply Licenses field is only available if the Licenses Required trade finance system option has already been set to Yes.</w:t>
      </w:r>
    </w:p>
    <w:p w14:paraId="224C5CC1" w14:textId="77777777" w:rsidR="00E50D2F" w:rsidRPr="00936320" w:rsidRDefault="00E50D2F" w:rsidP="00FB4E11">
      <w:pPr>
        <w:pStyle w:val="BodyText"/>
      </w:pPr>
      <w:r w:rsidRPr="00936320">
        <w:t xml:space="preserve">Even if you set the Apply Licenses field at product level, it may subsequently be overridden for individual product types. For example, you might have set the Import Guarantee product to 'Yes', but you may wish to differentiate between specific </w:t>
      </w:r>
      <w:proofErr w:type="gramStart"/>
      <w:r w:rsidRPr="00936320">
        <w:t>guarantee</w:t>
      </w:r>
      <w:proofErr w:type="gramEnd"/>
      <w:r w:rsidRPr="00936320">
        <w:t xml:space="preserve"> types: for a bank guarantee you might have the license as being optional whereas for a shipping guarantee you might decide that the license must be mandatory.</w:t>
      </w:r>
    </w:p>
    <w:p w14:paraId="668F1BB2" w14:textId="77777777" w:rsidR="000F5BE4" w:rsidRPr="00936320" w:rsidRDefault="000F5BE4" w:rsidP="00FB4E11">
      <w:pPr>
        <w:pStyle w:val="BodyText"/>
      </w:pPr>
      <w:bookmarkStart w:id="65" w:name="O_23192"/>
      <w:bookmarkStart w:id="66" w:name="_Toc317758852"/>
      <w:bookmarkStart w:id="67" w:name="_Toc373155429"/>
      <w:bookmarkStart w:id="68" w:name="_Toc390475607"/>
      <w:bookmarkStart w:id="69" w:name="_Toc411436706"/>
      <w:bookmarkEnd w:id="65"/>
      <w:r w:rsidRPr="00936320">
        <w:br w:type="page"/>
      </w:r>
    </w:p>
    <w:p w14:paraId="1B2675BA" w14:textId="77777777" w:rsidR="00E50D2F" w:rsidRPr="00936320" w:rsidRDefault="00E50D2F" w:rsidP="000F5BE4">
      <w:pPr>
        <w:pStyle w:val="Heading2"/>
      </w:pPr>
      <w:bookmarkStart w:id="70" w:name="_Toc166665329"/>
      <w:r w:rsidRPr="00936320">
        <w:lastRenderedPageBreak/>
        <w:t>Defining Product Types</w:t>
      </w:r>
      <w:bookmarkEnd w:id="66"/>
      <w:bookmarkEnd w:id="67"/>
      <w:bookmarkEnd w:id="68"/>
      <w:bookmarkEnd w:id="69"/>
      <w:bookmarkEnd w:id="70"/>
    </w:p>
    <w:p w14:paraId="2D7F0FED" w14:textId="77777777" w:rsidR="00E50D2F" w:rsidRPr="00936320" w:rsidRDefault="00E50D2F" w:rsidP="00FB4E11">
      <w:pPr>
        <w:pStyle w:val="BodyText"/>
      </w:pPr>
      <w:r w:rsidRPr="00936320">
        <w:t xml:space="preserve">Before any individual licenses can be entered and applied to transactions in </w:t>
      </w:r>
      <w:r w:rsidR="00754AEF" w:rsidRPr="00936320">
        <w:t>Trade Innovation</w:t>
      </w:r>
      <w:r w:rsidRPr="00936320">
        <w:t xml:space="preserve">, you need to have set up different types of license on your system. These are defined using the </w:t>
      </w:r>
      <w:proofErr w:type="spellStart"/>
      <w:r w:rsidRPr="00936320">
        <w:t>Product|Product</w:t>
      </w:r>
      <w:proofErr w:type="spellEnd"/>
      <w:r w:rsidRPr="00936320">
        <w:t xml:space="preserve"> Types menu option. For example, you might wish to set up 'Export license' as one of your license types, so that individual export licenses can subsequently be entered against that license type and applied to export-related transactions.</w:t>
      </w:r>
    </w:p>
    <w:p w14:paraId="7E92C924" w14:textId="77777777" w:rsidR="00E50D2F" w:rsidRPr="00936320" w:rsidRDefault="00E50D2F" w:rsidP="00FB4E11">
      <w:pPr>
        <w:pStyle w:val="BodyText"/>
      </w:pPr>
      <w:r w:rsidRPr="00936320">
        <w:t xml:space="preserve">You can then define default information for each of these types of license. These default values are set in the system tailoring application using the </w:t>
      </w:r>
      <w:proofErr w:type="spellStart"/>
      <w:r w:rsidRPr="00936320">
        <w:t>Product|License</w:t>
      </w:r>
      <w:proofErr w:type="spellEnd"/>
      <w:r w:rsidRPr="00936320">
        <w:t xml:space="preserve"> Definitions Default menu option.</w:t>
      </w:r>
    </w:p>
    <w:p w14:paraId="603B664F" w14:textId="77777777" w:rsidR="00E50D2F" w:rsidRPr="00936320" w:rsidRDefault="00E50D2F" w:rsidP="00FB4E11">
      <w:pPr>
        <w:pStyle w:val="BodyText"/>
      </w:pPr>
      <w:r w:rsidRPr="00936320">
        <w:t>Finally, you also need to check the definitions of all the existing product types that will use licenses. For example, you might want to set up the license as optional for a bank guarantee, but mand</w:t>
      </w:r>
      <w:r w:rsidR="004D481B" w:rsidRPr="00936320">
        <w:t>atory for a shipping guarantee.</w:t>
      </w:r>
    </w:p>
    <w:p w14:paraId="61D0C4D5" w14:textId="77777777" w:rsidR="00E50D2F" w:rsidRPr="00936320" w:rsidRDefault="00E50D2F" w:rsidP="004D481B">
      <w:pPr>
        <w:pStyle w:val="NoSpaceAfter"/>
      </w:pPr>
      <w:r w:rsidRPr="00936320">
        <w:t>The Licenses Applies field is only available if the Licenses Required trade finance system option has been set to Yes. Set it as follows:</w:t>
      </w:r>
    </w:p>
    <w:tbl>
      <w:tblPr>
        <w:tblStyle w:val="TableSubtle1"/>
        <w:tblW w:w="9090" w:type="dxa"/>
        <w:tblInd w:w="115" w:type="dxa"/>
        <w:tblLayout w:type="fixed"/>
        <w:tblLook w:val="0000" w:firstRow="0" w:lastRow="0" w:firstColumn="0" w:lastColumn="0" w:noHBand="0" w:noVBand="0"/>
      </w:tblPr>
      <w:tblGrid>
        <w:gridCol w:w="2070"/>
        <w:gridCol w:w="7020"/>
      </w:tblGrid>
      <w:tr w:rsidR="00E50D2F" w:rsidRPr="00936320" w14:paraId="6CE51553" w14:textId="77777777" w:rsidTr="000F5BE4">
        <w:trPr>
          <w:cnfStyle w:val="000000100000" w:firstRow="0" w:lastRow="0" w:firstColumn="0" w:lastColumn="0" w:oddVBand="0" w:evenVBand="0" w:oddHBand="1" w:evenHBand="0" w:firstRowFirstColumn="0" w:firstRowLastColumn="0" w:lastRowFirstColumn="0" w:lastRowLastColumn="0"/>
        </w:trPr>
        <w:tc>
          <w:tcPr>
            <w:tcW w:w="2070" w:type="dxa"/>
          </w:tcPr>
          <w:p w14:paraId="211BFAF2" w14:textId="77777777" w:rsidR="00E50D2F" w:rsidRPr="00936320" w:rsidRDefault="00E50D2F" w:rsidP="007748D0">
            <w:pPr>
              <w:pStyle w:val="TableText"/>
            </w:pPr>
            <w:r w:rsidRPr="00936320">
              <w:t>Yes</w:t>
            </w:r>
          </w:p>
        </w:tc>
        <w:tc>
          <w:tcPr>
            <w:tcW w:w="7020" w:type="dxa"/>
          </w:tcPr>
          <w:p w14:paraId="4976C80A" w14:textId="77777777" w:rsidR="00E50D2F" w:rsidRPr="00936320" w:rsidRDefault="00E50D2F" w:rsidP="007748D0">
            <w:pPr>
              <w:pStyle w:val="TableText"/>
            </w:pPr>
            <w:r w:rsidRPr="00936320">
              <w:t>Licenses must be applied to transactions that are entered using that product. If a license is not applied and the field is set to Yes, then an error message to that effect is displayed</w:t>
            </w:r>
            <w:r w:rsidR="007748D0" w:rsidRPr="00936320">
              <w:t>.</w:t>
            </w:r>
          </w:p>
        </w:tc>
      </w:tr>
      <w:tr w:rsidR="00E50D2F" w:rsidRPr="00936320" w14:paraId="2C89B092" w14:textId="77777777" w:rsidTr="000F5BE4">
        <w:tc>
          <w:tcPr>
            <w:tcW w:w="2070" w:type="dxa"/>
          </w:tcPr>
          <w:p w14:paraId="2B700E5C" w14:textId="77777777" w:rsidR="00E50D2F" w:rsidRPr="00936320" w:rsidRDefault="00E50D2F" w:rsidP="007748D0">
            <w:pPr>
              <w:pStyle w:val="TableText"/>
            </w:pPr>
            <w:r w:rsidRPr="00936320">
              <w:t>No</w:t>
            </w:r>
          </w:p>
        </w:tc>
        <w:tc>
          <w:tcPr>
            <w:tcW w:w="7020" w:type="dxa"/>
          </w:tcPr>
          <w:p w14:paraId="04E3A6FB" w14:textId="77777777" w:rsidR="00E50D2F" w:rsidRPr="00936320" w:rsidRDefault="00E50D2F" w:rsidP="007748D0">
            <w:pPr>
              <w:pStyle w:val="TableText"/>
            </w:pPr>
            <w:r w:rsidRPr="00936320">
              <w:t>Licenses will not be required for transactions that are entered using that product.</w:t>
            </w:r>
          </w:p>
        </w:tc>
      </w:tr>
      <w:tr w:rsidR="00E50D2F" w:rsidRPr="00936320" w14:paraId="7E5B3D5C" w14:textId="77777777" w:rsidTr="000F5BE4">
        <w:trPr>
          <w:cnfStyle w:val="000000100000" w:firstRow="0" w:lastRow="0" w:firstColumn="0" w:lastColumn="0" w:oddVBand="0" w:evenVBand="0" w:oddHBand="1" w:evenHBand="0" w:firstRowFirstColumn="0" w:firstRowLastColumn="0" w:lastRowFirstColumn="0" w:lastRowLastColumn="0"/>
        </w:trPr>
        <w:tc>
          <w:tcPr>
            <w:tcW w:w="2070" w:type="dxa"/>
          </w:tcPr>
          <w:p w14:paraId="39478C29" w14:textId="77777777" w:rsidR="00E50D2F" w:rsidRPr="00936320" w:rsidRDefault="00E50D2F" w:rsidP="007748D0">
            <w:pPr>
              <w:pStyle w:val="TableText"/>
            </w:pPr>
            <w:r w:rsidRPr="00936320">
              <w:t>Optional</w:t>
            </w:r>
          </w:p>
        </w:tc>
        <w:tc>
          <w:tcPr>
            <w:tcW w:w="7020" w:type="dxa"/>
          </w:tcPr>
          <w:p w14:paraId="08D8C070" w14:textId="77777777" w:rsidR="00E50D2F" w:rsidRPr="00936320" w:rsidRDefault="00E50D2F" w:rsidP="007748D0">
            <w:pPr>
              <w:pStyle w:val="TableText"/>
            </w:pPr>
            <w:r w:rsidRPr="00936320">
              <w:t xml:space="preserve">It is left to the input clerk to decide whether each </w:t>
            </w:r>
            <w:proofErr w:type="gramStart"/>
            <w:r w:rsidRPr="00936320">
              <w:t>particular license</w:t>
            </w:r>
            <w:proofErr w:type="gramEnd"/>
            <w:r w:rsidRPr="00936320">
              <w:t xml:space="preserve"> needs to be used or not. If a license is not applied and the field is set to Optional, then a warning message is displayed which may be overridden.</w:t>
            </w:r>
          </w:p>
        </w:tc>
      </w:tr>
    </w:tbl>
    <w:p w14:paraId="0D4DE6DD" w14:textId="77777777" w:rsidR="00E50D2F" w:rsidRPr="00936320" w:rsidRDefault="00E50D2F" w:rsidP="004D481B">
      <w:pPr>
        <w:pStyle w:val="SpaceBefore"/>
      </w:pPr>
      <w:r w:rsidRPr="00936320">
        <w:t>The setting of the License Applies field at product type level will override the setting at the product option level.</w:t>
      </w:r>
    </w:p>
    <w:p w14:paraId="009E6A41" w14:textId="77777777" w:rsidR="00E50D2F" w:rsidRPr="00936320" w:rsidRDefault="00E50D2F" w:rsidP="000F5BE4">
      <w:pPr>
        <w:pStyle w:val="Heading2"/>
      </w:pPr>
      <w:bookmarkStart w:id="71" w:name="O_23728"/>
      <w:bookmarkStart w:id="72" w:name="_Toc317758853"/>
      <w:bookmarkStart w:id="73" w:name="_Toc373155430"/>
      <w:bookmarkStart w:id="74" w:name="_Toc390475608"/>
      <w:bookmarkStart w:id="75" w:name="_Toc411436707"/>
      <w:bookmarkStart w:id="76" w:name="_Toc166665330"/>
      <w:bookmarkEnd w:id="71"/>
      <w:r w:rsidRPr="00936320">
        <w:t>Mapping the Product Types</w:t>
      </w:r>
      <w:bookmarkEnd w:id="72"/>
      <w:bookmarkEnd w:id="73"/>
      <w:bookmarkEnd w:id="74"/>
      <w:bookmarkEnd w:id="75"/>
      <w:bookmarkEnd w:id="76"/>
    </w:p>
    <w:p w14:paraId="585EFB68" w14:textId="77777777" w:rsidR="00E50D2F" w:rsidRPr="00936320" w:rsidRDefault="00E50D2F" w:rsidP="00FB4E11">
      <w:pPr>
        <w:pStyle w:val="BodyText"/>
      </w:pPr>
      <w:r w:rsidRPr="00936320">
        <w:t xml:space="preserve">Once the license types have been defined on your system, you need to specify which products (or product types) the different license types will apply to. This is done by a process of mapping using the </w:t>
      </w:r>
      <w:proofErr w:type="spellStart"/>
      <w:r w:rsidRPr="00936320">
        <w:t>Product|License</w:t>
      </w:r>
      <w:proofErr w:type="spellEnd"/>
      <w:r w:rsidRPr="00936320">
        <w:t xml:space="preserve"> Product Mapping menu option.</w:t>
      </w:r>
    </w:p>
    <w:p w14:paraId="4EDF9CAC" w14:textId="77777777" w:rsidR="00E50D2F" w:rsidRPr="00936320" w:rsidRDefault="00E50D2F" w:rsidP="00FB4E11">
      <w:pPr>
        <w:pStyle w:val="BodyText"/>
      </w:pPr>
      <w:r w:rsidRPr="00936320">
        <w:t xml:space="preserve">The license types you have defined can be mapped to any of the </w:t>
      </w:r>
      <w:r w:rsidR="00754AEF" w:rsidRPr="00936320">
        <w:t>Trade Innovation</w:t>
      </w:r>
      <w:r w:rsidRPr="00936320">
        <w:t xml:space="preserve"> products that can be used with licenses (and to any product types based on these that may have been defined on your system).</w:t>
      </w:r>
    </w:p>
    <w:p w14:paraId="738A5A42" w14:textId="77777777" w:rsidR="00E50D2F" w:rsidRPr="00936320" w:rsidRDefault="00E50D2F" w:rsidP="00FB4E11">
      <w:pPr>
        <w:pStyle w:val="BodyText"/>
      </w:pPr>
      <w:r w:rsidRPr="00936320">
        <w:t>A license type can be mapped to more than one product or product type.</w:t>
      </w:r>
    </w:p>
    <w:p w14:paraId="1DB585C6" w14:textId="77777777" w:rsidR="00E50D2F" w:rsidRPr="00936320" w:rsidRDefault="00E50D2F" w:rsidP="000F5BE4">
      <w:pPr>
        <w:pStyle w:val="Heading2"/>
      </w:pPr>
      <w:bookmarkStart w:id="77" w:name="_Toc390475609"/>
      <w:bookmarkStart w:id="78" w:name="_Toc411436708"/>
      <w:bookmarkStart w:id="79" w:name="_Toc166665331"/>
      <w:r w:rsidRPr="00936320">
        <w:t>Defining and Mapping Your Own Fields</w:t>
      </w:r>
      <w:bookmarkEnd w:id="77"/>
      <w:bookmarkEnd w:id="78"/>
      <w:bookmarkEnd w:id="79"/>
    </w:p>
    <w:p w14:paraId="57D9B0B4" w14:textId="77777777" w:rsidR="00E50D2F" w:rsidRPr="00936320" w:rsidRDefault="00E50D2F" w:rsidP="00FB4E11">
      <w:pPr>
        <w:pStyle w:val="BodyText"/>
      </w:pPr>
      <w:r w:rsidRPr="00936320">
        <w:t>You can map up to five of your own fields to the Licenses product.</w:t>
      </w:r>
    </w:p>
    <w:p w14:paraId="555CD6EF" w14:textId="77777777" w:rsidR="00E50D2F" w:rsidRPr="00936320" w:rsidRDefault="00E50D2F" w:rsidP="000F5BE4">
      <w:pPr>
        <w:pStyle w:val="Heading1"/>
      </w:pPr>
      <w:bookmarkStart w:id="80" w:name="_Toc317758855"/>
      <w:bookmarkStart w:id="81" w:name="_Toc373155432"/>
      <w:bookmarkStart w:id="82" w:name="_Toc390475610"/>
      <w:bookmarkStart w:id="83" w:name="_Toc411436709"/>
      <w:bookmarkStart w:id="84" w:name="_Ref57056464"/>
      <w:bookmarkStart w:id="85" w:name="_Toc166665332"/>
      <w:r w:rsidRPr="00936320">
        <w:lastRenderedPageBreak/>
        <w:t>Setting Up New Licenses</w:t>
      </w:r>
      <w:bookmarkEnd w:id="80"/>
      <w:bookmarkEnd w:id="81"/>
      <w:bookmarkEnd w:id="82"/>
      <w:bookmarkEnd w:id="83"/>
      <w:bookmarkEnd w:id="84"/>
      <w:bookmarkEnd w:id="85"/>
    </w:p>
    <w:p w14:paraId="65AE7E17" w14:textId="77777777" w:rsidR="00E50D2F" w:rsidRPr="00936320" w:rsidRDefault="00E50D2F" w:rsidP="00FB4E11">
      <w:pPr>
        <w:pStyle w:val="BodyText"/>
      </w:pPr>
      <w:r w:rsidRPr="00936320">
        <w:t>This chapter describes how to enter new licenses on your system using the Create event.</w:t>
      </w:r>
    </w:p>
    <w:p w14:paraId="0A8A8915" w14:textId="004C7D7F" w:rsidR="00E50D2F" w:rsidRDefault="00E50D2F" w:rsidP="004F28FD">
      <w:pPr>
        <w:pStyle w:val="Heading2"/>
      </w:pPr>
      <w:bookmarkStart w:id="86" w:name="O_47223"/>
      <w:bookmarkStart w:id="87" w:name="_Toc317758856"/>
      <w:bookmarkStart w:id="88" w:name="_Toc373155433"/>
      <w:bookmarkStart w:id="89" w:name="_Toc390475611"/>
      <w:bookmarkStart w:id="90" w:name="_Toc411436710"/>
      <w:bookmarkStart w:id="91" w:name="_Ref432450407"/>
      <w:bookmarkStart w:id="92" w:name="_Toc166665333"/>
      <w:bookmarkEnd w:id="86"/>
      <w:r w:rsidRPr="00936320">
        <w:t xml:space="preserve">Creating a New License in </w:t>
      </w:r>
      <w:bookmarkEnd w:id="87"/>
      <w:bookmarkEnd w:id="88"/>
      <w:bookmarkEnd w:id="89"/>
      <w:r w:rsidR="00985469">
        <w:t>Trade Innovation</w:t>
      </w:r>
      <w:bookmarkEnd w:id="90"/>
      <w:bookmarkEnd w:id="91"/>
      <w:bookmarkEnd w:id="92"/>
    </w:p>
    <w:p w14:paraId="68E63A63" w14:textId="66CA09AB" w:rsidR="00BE6BDF" w:rsidRDefault="00BE6BDF" w:rsidP="00FB4E11">
      <w:pPr>
        <w:pStyle w:val="BodyText"/>
      </w:pPr>
      <w:r>
        <w:rPr>
          <w:noProof/>
        </w:rPr>
        <w:drawing>
          <wp:inline distT="0" distB="0" distL="0" distR="0" wp14:anchorId="6FE1D091" wp14:editId="05E04D11">
            <wp:extent cx="5731510" cy="3082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2925"/>
                    </a:xfrm>
                    <a:prstGeom prst="rect">
                      <a:avLst/>
                    </a:prstGeom>
                  </pic:spPr>
                </pic:pic>
              </a:graphicData>
            </a:graphic>
          </wp:inline>
        </w:drawing>
      </w:r>
    </w:p>
    <w:p w14:paraId="1312FC2C" w14:textId="76740061" w:rsidR="00BE6BDF" w:rsidRDefault="002734A6" w:rsidP="00FB4E11">
      <w:pPr>
        <w:pStyle w:val="BodyText"/>
      </w:pPr>
      <w:r>
        <w:rPr>
          <w:noProof/>
        </w:rPr>
        <w:drawing>
          <wp:inline distT="0" distB="0" distL="0" distR="0" wp14:anchorId="5B3F7E93" wp14:editId="642485A5">
            <wp:extent cx="5731510" cy="2352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2040"/>
                    </a:xfrm>
                    <a:prstGeom prst="rect">
                      <a:avLst/>
                    </a:prstGeom>
                  </pic:spPr>
                </pic:pic>
              </a:graphicData>
            </a:graphic>
          </wp:inline>
        </w:drawing>
      </w:r>
    </w:p>
    <w:p w14:paraId="5359DEE9" w14:textId="18EB1A04" w:rsidR="002734A6" w:rsidRDefault="002734A6" w:rsidP="00FB4E11">
      <w:pPr>
        <w:pStyle w:val="BodyText"/>
      </w:pPr>
      <w:r>
        <w:rPr>
          <w:noProof/>
        </w:rPr>
        <w:drawing>
          <wp:inline distT="0" distB="0" distL="0" distR="0" wp14:anchorId="0E51CFF1" wp14:editId="21B7CA78">
            <wp:extent cx="5731510" cy="11379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7920"/>
                    </a:xfrm>
                    <a:prstGeom prst="rect">
                      <a:avLst/>
                    </a:prstGeom>
                  </pic:spPr>
                </pic:pic>
              </a:graphicData>
            </a:graphic>
          </wp:inline>
        </w:drawing>
      </w:r>
    </w:p>
    <w:p w14:paraId="2745C170" w14:textId="77777777" w:rsidR="00681D5B" w:rsidRPr="00936320" w:rsidRDefault="00681D5B" w:rsidP="00FB4E11">
      <w:pPr>
        <w:pStyle w:val="BodyText"/>
      </w:pPr>
    </w:p>
    <w:p w14:paraId="7FB9B0FC" w14:textId="77777777" w:rsidR="000F5BE4" w:rsidRPr="00936320" w:rsidRDefault="000F5BE4" w:rsidP="00FB4E11">
      <w:pPr>
        <w:pStyle w:val="BodyText"/>
      </w:pPr>
      <w:r w:rsidRPr="00936320">
        <w:br w:type="page"/>
      </w:r>
    </w:p>
    <w:p w14:paraId="11C7A2E5" w14:textId="77777777" w:rsidR="00E50D2F" w:rsidRPr="00936320" w:rsidRDefault="00E50D2F" w:rsidP="00FB4E11">
      <w:pPr>
        <w:pStyle w:val="BodyText"/>
      </w:pPr>
      <w:r w:rsidRPr="00936320">
        <w:lastRenderedPageBreak/>
        <w:t xml:space="preserve">The details of a new license are entered using the Create event. Details can be entered either directly into </w:t>
      </w:r>
      <w:r w:rsidR="00754AEF" w:rsidRPr="00936320">
        <w:t>Trade Innovation</w:t>
      </w:r>
      <w:r w:rsidRPr="00936320">
        <w:t>, or received via the customer gateway interface service.</w:t>
      </w:r>
    </w:p>
    <w:p w14:paraId="32C0DBAC" w14:textId="76690989" w:rsidR="00E50D2F" w:rsidRPr="00936320" w:rsidRDefault="00E50D2F" w:rsidP="00FB4E11">
      <w:pPr>
        <w:pStyle w:val="BodyText"/>
      </w:pPr>
      <w:r w:rsidRPr="00936320">
        <w:t xml:space="preserve">When you enter a new license, it must be based on a license type that has previously been defined on your system. To enter a new license manually, in the Masters window, select the Team and Behalf of branch and use the drop-down list in the New Masters pane to select 'License', then press New. </w:t>
      </w:r>
      <w:r w:rsidR="00754AEF" w:rsidRPr="00936320">
        <w:t>Trade Innovation</w:t>
      </w:r>
      <w:r w:rsidRPr="00936320">
        <w:t xml:space="preserve"> creates the event at either a Log step or Input step. Depending on how your system is configured, panes and fields available in log steps can be tailored for each data capture step. See the </w:t>
      </w:r>
      <w:r w:rsidRPr="00936320">
        <w:rPr>
          <w:i/>
        </w:rPr>
        <w:t>SDK - Systems Interfacing Guide</w:t>
      </w:r>
      <w:r w:rsidR="004D481B" w:rsidRPr="00936320">
        <w:rPr>
          <w:i/>
        </w:rPr>
        <w:t xml:space="preserve"> </w:t>
      </w:r>
      <w:r w:rsidR="004D481B" w:rsidRPr="00567CEA">
        <w:rPr>
          <w:rStyle w:val="Italic"/>
        </w:rPr>
        <w:t xml:space="preserve">– </w:t>
      </w:r>
      <w:r w:rsidR="00985469">
        <w:rPr>
          <w:rStyle w:val="Italic"/>
        </w:rPr>
        <w:t>Trade Innovation</w:t>
      </w:r>
      <w:r w:rsidR="004D481B" w:rsidRPr="00567CEA">
        <w:rPr>
          <w:rStyle w:val="Italic"/>
        </w:rPr>
        <w:t xml:space="preserve"> </w:t>
      </w:r>
      <w:r w:rsidRPr="00936320">
        <w:t>for details.</w:t>
      </w:r>
    </w:p>
    <w:p w14:paraId="2BB81CF8" w14:textId="77777777" w:rsidR="00E50D2F" w:rsidRPr="00936320" w:rsidRDefault="00E50D2F" w:rsidP="00FB4E11">
      <w:pPr>
        <w:pStyle w:val="BodyText"/>
      </w:pPr>
      <w:r w:rsidRPr="00936320">
        <w:t xml:space="preserve">Initially the event window is displayed with all the fields disabled except for the Product Type. To activate the fields and create a new license, select the appropriate product </w:t>
      </w:r>
      <w:proofErr w:type="gramStart"/>
      <w:r w:rsidRPr="00936320">
        <w:t>type</w:t>
      </w:r>
      <w:proofErr w:type="gramEnd"/>
      <w:r w:rsidRPr="00936320">
        <w:t xml:space="preserve"> and press Refresh.</w:t>
      </w:r>
    </w:p>
    <w:p w14:paraId="513C1482" w14:textId="77777777" w:rsidR="00E50D2F" w:rsidRPr="00936320" w:rsidRDefault="00E50D2F" w:rsidP="00FB4E11">
      <w:pPr>
        <w:pStyle w:val="Note1"/>
      </w:pPr>
      <w:r w:rsidRPr="00936320">
        <w:t xml:space="preserve">If the fields </w:t>
      </w:r>
      <w:proofErr w:type="gramStart"/>
      <w:r w:rsidRPr="00936320">
        <w:t>still remain</w:t>
      </w:r>
      <w:proofErr w:type="gramEnd"/>
      <w:r w:rsidRPr="00936320">
        <w:t xml:space="preserve"> greyed out when you select a product type, this is because no license default values have been set up for the selected product type. Contact your system administrator for assistance.</w:t>
      </w:r>
    </w:p>
    <w:p w14:paraId="08EBA4D5" w14:textId="77777777" w:rsidR="00E50D2F" w:rsidRPr="00936320" w:rsidRDefault="00E50D2F" w:rsidP="00FB4E11">
      <w:pPr>
        <w:pStyle w:val="BodyText"/>
      </w:pPr>
      <w:r w:rsidRPr="00936320">
        <w:t>Depending on which product type you have selected, there will be minor changes to the layout and</w:t>
      </w:r>
      <w:r w:rsidR="004D481B" w:rsidRPr="00936320">
        <w:t xml:space="preserve"> contents of the input window:</w:t>
      </w:r>
    </w:p>
    <w:p w14:paraId="531F3E8B" w14:textId="77777777" w:rsidR="00E50D2F" w:rsidRPr="00936320" w:rsidRDefault="00E50D2F" w:rsidP="00FB4E11">
      <w:pPr>
        <w:pStyle w:val="BulletLevel1"/>
      </w:pPr>
      <w:r w:rsidRPr="00936320">
        <w:t>The Principal pane will be re-labelled according to the license type settings. For example, for an export license the principal party is the exporter; for an import license, the principal party is the applicant</w:t>
      </w:r>
    </w:p>
    <w:p w14:paraId="70AF390E" w14:textId="77777777" w:rsidR="00E50D2F" w:rsidRPr="00936320" w:rsidRDefault="00E50D2F" w:rsidP="00FB4E11">
      <w:pPr>
        <w:pStyle w:val="BulletLevel1"/>
      </w:pPr>
      <w:r w:rsidRPr="00936320">
        <w:t>The pane that is displayed directly below the Principal pane will also differ according to license type. For example, for an export license the non-principal party is the consignee; for an import license, it is the beneficiary</w:t>
      </w:r>
    </w:p>
    <w:p w14:paraId="0D2CB0C5" w14:textId="77777777" w:rsidR="00E50D2F" w:rsidRPr="00936320" w:rsidRDefault="00E50D2F" w:rsidP="00FB4E11">
      <w:pPr>
        <w:pStyle w:val="BulletLevel1"/>
      </w:pPr>
      <w:r w:rsidRPr="00936320">
        <w:t>The default values for some of the fields will also differ according to license type</w:t>
      </w:r>
    </w:p>
    <w:p w14:paraId="06863196" w14:textId="77777777" w:rsidR="00E50D2F" w:rsidRPr="00936320" w:rsidRDefault="00E50D2F" w:rsidP="004D481B">
      <w:pPr>
        <w:pStyle w:val="SpaceBefore"/>
      </w:pPr>
      <w:r w:rsidRPr="00936320">
        <w:t>The Create event uses the following panes:</w:t>
      </w:r>
    </w:p>
    <w:p w14:paraId="65290DEC" w14:textId="77777777" w:rsidR="00E50D2F" w:rsidRPr="00936320" w:rsidRDefault="00E50D2F" w:rsidP="00FB4E11">
      <w:pPr>
        <w:pStyle w:val="BulletLevel1"/>
      </w:pPr>
      <w:r w:rsidRPr="00936320">
        <w:t>The License Details pane</w:t>
      </w:r>
      <w:bookmarkStart w:id="93" w:name="H_21651"/>
      <w:bookmarkEnd w:id="93"/>
      <w:r w:rsidRPr="00936320">
        <w:t xml:space="preserve"> (see page</w:t>
      </w:r>
      <w:r w:rsidR="00B15F6F">
        <w:t xml:space="preserve"> </w:t>
      </w:r>
      <w:r w:rsidR="00115080">
        <w:fldChar w:fldCharType="begin"/>
      </w:r>
      <w:r w:rsidR="00B15F6F">
        <w:instrText xml:space="preserve"> PAGEREF _Ref432450487 \h </w:instrText>
      </w:r>
      <w:r w:rsidR="00115080">
        <w:fldChar w:fldCharType="separate"/>
      </w:r>
      <w:r w:rsidR="007920EC">
        <w:rPr>
          <w:noProof/>
        </w:rPr>
        <w:t>8</w:t>
      </w:r>
      <w:r w:rsidR="00115080">
        <w:fldChar w:fldCharType="end"/>
      </w:r>
      <w:r w:rsidRPr="00936320">
        <w:t>)</w:t>
      </w:r>
    </w:p>
    <w:p w14:paraId="73080D0B" w14:textId="77777777" w:rsidR="00E50D2F" w:rsidRPr="00936320" w:rsidRDefault="00E50D2F" w:rsidP="00FB4E11">
      <w:pPr>
        <w:pStyle w:val="BulletLevel1"/>
      </w:pPr>
      <w:r w:rsidRPr="00936320">
        <w:t>The Party Details pane</w:t>
      </w:r>
      <w:bookmarkStart w:id="94" w:name="H_21653"/>
      <w:bookmarkEnd w:id="94"/>
      <w:r w:rsidRPr="00936320">
        <w:t xml:space="preserve"> (see page</w:t>
      </w:r>
      <w:r w:rsidR="00B15F6F">
        <w:t xml:space="preserve"> </w:t>
      </w:r>
      <w:r w:rsidR="00115080">
        <w:fldChar w:fldCharType="begin"/>
      </w:r>
      <w:r w:rsidR="00B15F6F">
        <w:instrText xml:space="preserve"> PAGEREF _Ref432450496 \h </w:instrText>
      </w:r>
      <w:r w:rsidR="00115080">
        <w:fldChar w:fldCharType="separate"/>
      </w:r>
      <w:r w:rsidR="007920EC">
        <w:rPr>
          <w:noProof/>
        </w:rPr>
        <w:t>9</w:t>
      </w:r>
      <w:r w:rsidR="00115080">
        <w:fldChar w:fldCharType="end"/>
      </w:r>
      <w:r w:rsidRPr="00936320">
        <w:t>)</w:t>
      </w:r>
    </w:p>
    <w:p w14:paraId="16E957EF" w14:textId="77777777" w:rsidR="00E50D2F" w:rsidRPr="00936320" w:rsidRDefault="00E50D2F" w:rsidP="00FB4E11">
      <w:pPr>
        <w:pStyle w:val="BulletLevel1"/>
      </w:pPr>
      <w:r w:rsidRPr="00936320">
        <w:t>The Amount Details pane</w:t>
      </w:r>
      <w:bookmarkStart w:id="95" w:name="H_21656"/>
      <w:bookmarkEnd w:id="95"/>
      <w:r w:rsidRPr="00936320">
        <w:t xml:space="preserve"> (see page</w:t>
      </w:r>
      <w:r w:rsidR="00B15F6F">
        <w:t xml:space="preserve"> </w:t>
      </w:r>
      <w:r w:rsidR="00115080">
        <w:fldChar w:fldCharType="begin"/>
      </w:r>
      <w:r w:rsidR="00B15F6F">
        <w:instrText xml:space="preserve"> PAGEREF _Ref432450504 \h </w:instrText>
      </w:r>
      <w:r w:rsidR="00115080">
        <w:fldChar w:fldCharType="separate"/>
      </w:r>
      <w:r w:rsidR="007920EC">
        <w:rPr>
          <w:noProof/>
        </w:rPr>
        <w:t>9</w:t>
      </w:r>
      <w:r w:rsidR="00115080">
        <w:fldChar w:fldCharType="end"/>
      </w:r>
      <w:r w:rsidRPr="00936320">
        <w:t>)</w:t>
      </w:r>
    </w:p>
    <w:p w14:paraId="10DF25E6" w14:textId="77777777" w:rsidR="00E50D2F" w:rsidRPr="00936320" w:rsidRDefault="00E50D2F" w:rsidP="00FB4E11">
      <w:pPr>
        <w:pStyle w:val="BulletLevel1"/>
      </w:pPr>
      <w:r w:rsidRPr="00936320">
        <w:t>The Validity Details pane</w:t>
      </w:r>
      <w:bookmarkStart w:id="96" w:name="H_21658"/>
      <w:bookmarkEnd w:id="96"/>
      <w:r w:rsidRPr="00936320">
        <w:t xml:space="preserve"> (see page</w:t>
      </w:r>
      <w:r w:rsidR="00B15F6F">
        <w:t xml:space="preserve"> </w:t>
      </w:r>
      <w:r w:rsidR="00115080">
        <w:fldChar w:fldCharType="begin"/>
      </w:r>
      <w:r w:rsidR="00B15F6F">
        <w:instrText xml:space="preserve"> PAGEREF _Ref432450513 \h </w:instrText>
      </w:r>
      <w:r w:rsidR="00115080">
        <w:fldChar w:fldCharType="separate"/>
      </w:r>
      <w:r w:rsidR="007920EC">
        <w:rPr>
          <w:noProof/>
        </w:rPr>
        <w:t>10</w:t>
      </w:r>
      <w:r w:rsidR="00115080">
        <w:fldChar w:fldCharType="end"/>
      </w:r>
      <w:r w:rsidRPr="00936320">
        <w:t>)</w:t>
      </w:r>
    </w:p>
    <w:p w14:paraId="5BBD9343" w14:textId="77777777" w:rsidR="00E50D2F" w:rsidRPr="00936320" w:rsidRDefault="00E50D2F" w:rsidP="00FB4E11">
      <w:pPr>
        <w:pStyle w:val="BulletLevel1"/>
      </w:pPr>
      <w:r w:rsidRPr="00936320">
        <w:t>The Shipment Details pane</w:t>
      </w:r>
      <w:bookmarkStart w:id="97" w:name="H_21660"/>
      <w:bookmarkEnd w:id="97"/>
      <w:r w:rsidRPr="00936320">
        <w:t xml:space="preserve"> (see page</w:t>
      </w:r>
      <w:r w:rsidR="00B15F6F">
        <w:t xml:space="preserve"> </w:t>
      </w:r>
      <w:r w:rsidR="00115080">
        <w:fldChar w:fldCharType="begin"/>
      </w:r>
      <w:r w:rsidR="00B15F6F">
        <w:instrText xml:space="preserve"> PAGEREF _Ref404928508 \h </w:instrText>
      </w:r>
      <w:r w:rsidR="00115080">
        <w:fldChar w:fldCharType="separate"/>
      </w:r>
      <w:r w:rsidR="007920EC">
        <w:rPr>
          <w:noProof/>
        </w:rPr>
        <w:t>11</w:t>
      </w:r>
      <w:r w:rsidR="00115080">
        <w:fldChar w:fldCharType="end"/>
      </w:r>
      <w:r w:rsidRPr="00936320">
        <w:t>)</w:t>
      </w:r>
    </w:p>
    <w:p w14:paraId="12C75FB6" w14:textId="77777777" w:rsidR="00E50D2F" w:rsidRPr="00936320" w:rsidRDefault="00E50D2F" w:rsidP="00FB4E11">
      <w:pPr>
        <w:pStyle w:val="BulletLevel1"/>
      </w:pPr>
      <w:r w:rsidRPr="00936320">
        <w:t>The Other Details pane</w:t>
      </w:r>
      <w:bookmarkStart w:id="98" w:name="H_21662"/>
      <w:bookmarkEnd w:id="98"/>
      <w:r w:rsidRPr="00936320">
        <w:t xml:space="preserve"> (see page</w:t>
      </w:r>
      <w:r w:rsidR="00B15F6F">
        <w:t xml:space="preserve"> </w:t>
      </w:r>
      <w:r w:rsidR="00115080">
        <w:fldChar w:fldCharType="begin"/>
      </w:r>
      <w:r w:rsidR="00B15F6F">
        <w:instrText xml:space="preserve"> PAGEREF _Ref432450523 \h </w:instrText>
      </w:r>
      <w:r w:rsidR="00115080">
        <w:fldChar w:fldCharType="separate"/>
      </w:r>
      <w:r w:rsidR="007920EC">
        <w:rPr>
          <w:noProof/>
        </w:rPr>
        <w:t>11</w:t>
      </w:r>
      <w:r w:rsidR="00115080">
        <w:fldChar w:fldCharType="end"/>
      </w:r>
      <w:r w:rsidRPr="00936320">
        <w:t>)</w:t>
      </w:r>
    </w:p>
    <w:p w14:paraId="05AF91F4" w14:textId="77777777" w:rsidR="000F5BE4" w:rsidRPr="00936320" w:rsidRDefault="000F5BE4" w:rsidP="00FB4E11">
      <w:pPr>
        <w:pStyle w:val="BodyText"/>
      </w:pPr>
      <w:bookmarkStart w:id="99" w:name="O_21650"/>
      <w:bookmarkStart w:id="100" w:name="_Toc317758857"/>
      <w:bookmarkStart w:id="101" w:name="_Toc373155434"/>
      <w:bookmarkStart w:id="102" w:name="_Toc411436711"/>
      <w:bookmarkEnd w:id="99"/>
      <w:r w:rsidRPr="00936320">
        <w:br w:type="page"/>
      </w:r>
    </w:p>
    <w:p w14:paraId="3B7EE009" w14:textId="77777777" w:rsidR="00E50D2F" w:rsidRPr="00936320" w:rsidRDefault="00E50D2F" w:rsidP="000F5BE4">
      <w:pPr>
        <w:pStyle w:val="Heading3"/>
      </w:pPr>
      <w:bookmarkStart w:id="103" w:name="_Ref432450487"/>
      <w:bookmarkStart w:id="104" w:name="_Toc166665334"/>
      <w:r w:rsidRPr="00936320">
        <w:lastRenderedPageBreak/>
        <w:t>The License Details Pane</w:t>
      </w:r>
      <w:bookmarkEnd w:id="100"/>
      <w:bookmarkEnd w:id="101"/>
      <w:bookmarkEnd w:id="102"/>
      <w:bookmarkEnd w:id="103"/>
      <w:bookmarkEnd w:id="104"/>
    </w:p>
    <w:p w14:paraId="3F5D149E" w14:textId="66610B1F" w:rsidR="00486740" w:rsidRPr="00936320" w:rsidRDefault="009E7190" w:rsidP="00FB4E11">
      <w:pPr>
        <w:pStyle w:val="BodyText"/>
      </w:pPr>
      <w:r>
        <w:rPr>
          <w:noProof/>
        </w:rPr>
        <w:drawing>
          <wp:inline distT="0" distB="0" distL="0" distR="0" wp14:anchorId="33F482E6" wp14:editId="384A5F94">
            <wp:extent cx="5731510" cy="7518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51840"/>
                    </a:xfrm>
                    <a:prstGeom prst="rect">
                      <a:avLst/>
                    </a:prstGeom>
                  </pic:spPr>
                </pic:pic>
              </a:graphicData>
            </a:graphic>
          </wp:inline>
        </w:drawing>
      </w:r>
    </w:p>
    <w:p w14:paraId="092EB45C" w14:textId="77777777" w:rsidR="00E50D2F" w:rsidRPr="00936320" w:rsidRDefault="00E50D2F" w:rsidP="004D481B">
      <w:pPr>
        <w:pStyle w:val="NoSpaceAfter"/>
      </w:pPr>
      <w:r w:rsidRPr="00936320">
        <w:t xml:space="preserve">The following table explains what to </w:t>
      </w:r>
      <w:proofErr w:type="gramStart"/>
      <w:r w:rsidRPr="00936320">
        <w:t>enter into</w:t>
      </w:r>
      <w:proofErr w:type="gramEnd"/>
      <w:r w:rsidRPr="00936320">
        <w:t xml:space="preserve"> the fields in the License Details pane:</w:t>
      </w:r>
    </w:p>
    <w:tbl>
      <w:tblPr>
        <w:tblStyle w:val="TableGrid"/>
        <w:tblW w:w="9090" w:type="dxa"/>
        <w:tblLayout w:type="fixed"/>
        <w:tblLook w:val="0020" w:firstRow="1" w:lastRow="0" w:firstColumn="0" w:lastColumn="0" w:noHBand="0" w:noVBand="0"/>
      </w:tblPr>
      <w:tblGrid>
        <w:gridCol w:w="450"/>
        <w:gridCol w:w="1620"/>
        <w:gridCol w:w="7020"/>
      </w:tblGrid>
      <w:tr w:rsidR="00E50D2F" w:rsidRPr="00936320" w14:paraId="2D3BD0F6"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450" w:type="dxa"/>
          </w:tcPr>
          <w:p w14:paraId="5FC9F2F4" w14:textId="77777777" w:rsidR="00E50D2F" w:rsidRPr="00936320" w:rsidRDefault="00E50D2F" w:rsidP="007748D0">
            <w:pPr>
              <w:pStyle w:val="TableHeading"/>
              <w:rPr>
                <w:noProof w:val="0"/>
              </w:rPr>
            </w:pPr>
          </w:p>
        </w:tc>
        <w:tc>
          <w:tcPr>
            <w:tcW w:w="1620" w:type="dxa"/>
          </w:tcPr>
          <w:p w14:paraId="617A6A0F" w14:textId="77777777" w:rsidR="00E50D2F" w:rsidRPr="00936320" w:rsidRDefault="00E50D2F" w:rsidP="00FB4E11">
            <w:pPr>
              <w:pStyle w:val="TableHead"/>
            </w:pPr>
            <w:r w:rsidRPr="00936320">
              <w:t>Field</w:t>
            </w:r>
          </w:p>
        </w:tc>
        <w:tc>
          <w:tcPr>
            <w:tcW w:w="7020" w:type="dxa"/>
          </w:tcPr>
          <w:p w14:paraId="30439F1C" w14:textId="77777777" w:rsidR="00E50D2F" w:rsidRPr="00936320" w:rsidRDefault="00E50D2F" w:rsidP="00FB4E11">
            <w:pPr>
              <w:pStyle w:val="TableHead"/>
            </w:pPr>
            <w:r w:rsidRPr="00936320">
              <w:t>What to Enter</w:t>
            </w:r>
          </w:p>
        </w:tc>
      </w:tr>
      <w:tr w:rsidR="00E50D2F" w:rsidRPr="00936320" w14:paraId="74AB449C"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6ACC3466" w14:textId="77777777" w:rsidR="00E50D2F" w:rsidRPr="00936320" w:rsidRDefault="00E50D2F" w:rsidP="007748D0">
            <w:pPr>
              <w:pStyle w:val="TableText"/>
            </w:pPr>
            <w:r w:rsidRPr="00936320">
              <w:rPr>
                <w:noProof/>
                <w:lang w:eastAsia="en-GB"/>
              </w:rPr>
              <w:drawing>
                <wp:inline distT="0" distB="0" distL="0" distR="0" wp14:anchorId="4CE28775" wp14:editId="297384F2">
                  <wp:extent cx="150019" cy="135731"/>
                  <wp:effectExtent l="0" t="0" r="2540" b="0"/>
                  <wp:docPr id="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37030E63" w14:textId="77777777" w:rsidR="00E50D2F" w:rsidRPr="00936320" w:rsidRDefault="00E50D2F" w:rsidP="007748D0">
            <w:pPr>
              <w:pStyle w:val="TableText"/>
            </w:pPr>
            <w:r w:rsidRPr="00936320">
              <w:t>Product Type</w:t>
            </w:r>
          </w:p>
        </w:tc>
        <w:tc>
          <w:tcPr>
            <w:tcW w:w="7020" w:type="dxa"/>
          </w:tcPr>
          <w:p w14:paraId="0B4BC402" w14:textId="77777777" w:rsidR="00E50D2F" w:rsidRPr="00936320" w:rsidRDefault="00E50D2F" w:rsidP="007748D0">
            <w:pPr>
              <w:pStyle w:val="TableText"/>
            </w:pPr>
            <w:r w:rsidRPr="00936320">
              <w:t>Select a type of product from the drop-down list and press Refresh. Until a product has been selected, the other input fields will be read-only. Once the product type has been selected, the defaults for that product type are shown.</w:t>
            </w:r>
          </w:p>
        </w:tc>
      </w:tr>
      <w:tr w:rsidR="00E50D2F" w:rsidRPr="00936320" w14:paraId="5C7980DA"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6974043D" w14:textId="77777777" w:rsidR="00E50D2F" w:rsidRPr="00936320" w:rsidRDefault="00E50D2F" w:rsidP="007748D0">
            <w:pPr>
              <w:pStyle w:val="TableText"/>
            </w:pPr>
            <w:r w:rsidRPr="00936320">
              <w:rPr>
                <w:noProof/>
                <w:lang w:eastAsia="en-GB"/>
              </w:rPr>
              <w:drawing>
                <wp:inline distT="0" distB="0" distL="0" distR="0" wp14:anchorId="4FC011E7" wp14:editId="167BAA88">
                  <wp:extent cx="150019" cy="135731"/>
                  <wp:effectExtent l="0" t="0" r="254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22D383D6" w14:textId="77777777" w:rsidR="00E50D2F" w:rsidRPr="00936320" w:rsidRDefault="00E50D2F" w:rsidP="007748D0">
            <w:pPr>
              <w:pStyle w:val="TableText"/>
            </w:pPr>
            <w:r w:rsidRPr="00936320">
              <w:t>License Number</w:t>
            </w:r>
          </w:p>
        </w:tc>
        <w:tc>
          <w:tcPr>
            <w:tcW w:w="7020" w:type="dxa"/>
          </w:tcPr>
          <w:p w14:paraId="27755CE5" w14:textId="77777777" w:rsidR="00E50D2F" w:rsidRPr="00936320" w:rsidRDefault="00E50D2F" w:rsidP="007748D0">
            <w:pPr>
              <w:pStyle w:val="TableText"/>
            </w:pPr>
            <w:r w:rsidRPr="00936320">
              <w:t xml:space="preserve">A unique number that identifies the license, and is issued by the licensing authority. </w:t>
            </w:r>
          </w:p>
        </w:tc>
      </w:tr>
      <w:tr w:rsidR="00E50D2F" w:rsidRPr="00936320" w14:paraId="0663CF03"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3C5105DC" w14:textId="77777777" w:rsidR="00E50D2F" w:rsidRPr="00936320" w:rsidRDefault="00E50D2F" w:rsidP="007748D0">
            <w:pPr>
              <w:pStyle w:val="TableText"/>
            </w:pPr>
          </w:p>
        </w:tc>
        <w:tc>
          <w:tcPr>
            <w:tcW w:w="1620" w:type="dxa"/>
          </w:tcPr>
          <w:p w14:paraId="0B5A9A86" w14:textId="77777777" w:rsidR="00E50D2F" w:rsidRPr="00936320" w:rsidRDefault="00E50D2F" w:rsidP="007748D0">
            <w:pPr>
              <w:pStyle w:val="TableText"/>
            </w:pPr>
            <w:r w:rsidRPr="00936320">
              <w:t>Multi-currency</w:t>
            </w:r>
          </w:p>
        </w:tc>
        <w:tc>
          <w:tcPr>
            <w:tcW w:w="7020" w:type="dxa"/>
          </w:tcPr>
          <w:p w14:paraId="2DE6B2BD" w14:textId="77777777" w:rsidR="00E50D2F" w:rsidRPr="00936320" w:rsidRDefault="00E50D2F" w:rsidP="007748D0">
            <w:pPr>
              <w:pStyle w:val="TableText"/>
            </w:pPr>
            <w:r w:rsidRPr="00936320">
              <w:t xml:space="preserve">Check this box to allow the license to be </w:t>
            </w:r>
            <w:proofErr w:type="spellStart"/>
            <w:r w:rsidRPr="00936320">
              <w:t>utilised</w:t>
            </w:r>
            <w:proofErr w:type="spellEnd"/>
            <w:r w:rsidRPr="00936320">
              <w:t xml:space="preserve"> by transactions in other currencies. To restrict the use of the license to the currency defined on the license, leave this box empty.</w:t>
            </w:r>
          </w:p>
        </w:tc>
      </w:tr>
      <w:tr w:rsidR="007748D0" w:rsidRPr="00936320" w14:paraId="7C4FCC4B"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3E094B1B" w14:textId="77777777" w:rsidR="007748D0" w:rsidRPr="00936320" w:rsidRDefault="007748D0" w:rsidP="007748D0">
            <w:pPr>
              <w:pStyle w:val="TableText"/>
            </w:pPr>
          </w:p>
        </w:tc>
        <w:tc>
          <w:tcPr>
            <w:tcW w:w="1620" w:type="dxa"/>
          </w:tcPr>
          <w:p w14:paraId="05931A50" w14:textId="77777777" w:rsidR="007748D0" w:rsidRPr="00936320" w:rsidRDefault="007748D0" w:rsidP="007748D0">
            <w:pPr>
              <w:pStyle w:val="TableText"/>
            </w:pPr>
          </w:p>
        </w:tc>
        <w:tc>
          <w:tcPr>
            <w:tcW w:w="7020" w:type="dxa"/>
          </w:tcPr>
          <w:p w14:paraId="776517D2" w14:textId="77777777" w:rsidR="007748D0" w:rsidRPr="00936320" w:rsidRDefault="007748D0" w:rsidP="00FB4E11">
            <w:pPr>
              <w:pStyle w:val="TableNote"/>
            </w:pPr>
            <w:r w:rsidRPr="00936320">
              <w:t>Depending on how the selected product type has been configured, this Multi-currency box may be read-only so that you cannot change the default value.</w:t>
            </w:r>
          </w:p>
        </w:tc>
      </w:tr>
      <w:tr w:rsidR="00E50D2F" w:rsidRPr="00936320" w14:paraId="2F99A13C"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1C5D66F0" w14:textId="77777777" w:rsidR="00E50D2F" w:rsidRPr="00936320" w:rsidRDefault="00E50D2F" w:rsidP="007748D0">
            <w:pPr>
              <w:pStyle w:val="TableText"/>
            </w:pPr>
          </w:p>
        </w:tc>
        <w:tc>
          <w:tcPr>
            <w:tcW w:w="1620" w:type="dxa"/>
          </w:tcPr>
          <w:p w14:paraId="4642CB3F" w14:textId="77777777" w:rsidR="00E50D2F" w:rsidRPr="00936320" w:rsidRDefault="00E50D2F" w:rsidP="007748D0">
            <w:pPr>
              <w:pStyle w:val="TableText"/>
            </w:pPr>
            <w:r w:rsidRPr="00936320">
              <w:t>Reinstate</w:t>
            </w:r>
          </w:p>
        </w:tc>
        <w:tc>
          <w:tcPr>
            <w:tcW w:w="7020" w:type="dxa"/>
          </w:tcPr>
          <w:p w14:paraId="0B7C035C" w14:textId="77777777" w:rsidR="00E50D2F" w:rsidRPr="00936320" w:rsidRDefault="00E50D2F" w:rsidP="007748D0">
            <w:pPr>
              <w:pStyle w:val="TableText"/>
            </w:pPr>
            <w:r w:rsidRPr="00936320">
              <w:t>This field controls whether any un-</w:t>
            </w:r>
            <w:proofErr w:type="spellStart"/>
            <w:r w:rsidRPr="00936320">
              <w:t>utilised</w:t>
            </w:r>
            <w:proofErr w:type="spellEnd"/>
            <w:r w:rsidRPr="00936320">
              <w:t xml:space="preserve"> balances of licenses on linked transactions should be made available when they are fully paid, </w:t>
            </w:r>
            <w:proofErr w:type="gramStart"/>
            <w:r w:rsidRPr="00936320">
              <w:t>cancelled</w:t>
            </w:r>
            <w:proofErr w:type="gramEnd"/>
            <w:r w:rsidRPr="00936320">
              <w:t xml:space="preserve"> or expired. Check the box to make the </w:t>
            </w:r>
            <w:proofErr w:type="spellStart"/>
            <w:r w:rsidRPr="00936320">
              <w:t>unutilised</w:t>
            </w:r>
            <w:proofErr w:type="spellEnd"/>
            <w:r w:rsidRPr="00936320">
              <w:t xml:space="preserve"> balances available; otherwise leave it empty.</w:t>
            </w:r>
          </w:p>
        </w:tc>
      </w:tr>
      <w:tr w:rsidR="00E50D2F" w:rsidRPr="00936320" w14:paraId="7A954E47"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33CB5935" w14:textId="77777777" w:rsidR="00E50D2F" w:rsidRPr="00936320" w:rsidRDefault="00E50D2F" w:rsidP="007748D0">
            <w:pPr>
              <w:pStyle w:val="TableText"/>
            </w:pPr>
          </w:p>
        </w:tc>
        <w:tc>
          <w:tcPr>
            <w:tcW w:w="1620" w:type="dxa"/>
          </w:tcPr>
          <w:p w14:paraId="1B2A1B00" w14:textId="77777777" w:rsidR="00E50D2F" w:rsidRPr="00936320" w:rsidRDefault="00E50D2F" w:rsidP="007748D0">
            <w:pPr>
              <w:pStyle w:val="TableText"/>
            </w:pPr>
            <w:r w:rsidRPr="00936320">
              <w:t>Authority Reference</w:t>
            </w:r>
          </w:p>
        </w:tc>
        <w:tc>
          <w:tcPr>
            <w:tcW w:w="7020" w:type="dxa"/>
          </w:tcPr>
          <w:p w14:paraId="395A932F" w14:textId="77777777" w:rsidR="00E50D2F" w:rsidRPr="00936320" w:rsidRDefault="00E50D2F" w:rsidP="007748D0">
            <w:pPr>
              <w:pStyle w:val="TableText"/>
            </w:pPr>
            <w:r w:rsidRPr="00936320">
              <w:t>The reference number that is assigned to your bank by the licensing authority to signify that your bank is authorised to use the license.</w:t>
            </w:r>
          </w:p>
          <w:p w14:paraId="62CD5727" w14:textId="77777777" w:rsidR="00E50D2F" w:rsidRPr="00936320" w:rsidRDefault="00E50D2F" w:rsidP="007748D0">
            <w:pPr>
              <w:pStyle w:val="TableText"/>
            </w:pPr>
            <w:r w:rsidRPr="00936320">
              <w:t xml:space="preserve">If this field is left blank, the license is treated as temporary and a warning is displayed when you try to process a drawdown. </w:t>
            </w:r>
          </w:p>
        </w:tc>
      </w:tr>
      <w:tr w:rsidR="00E50D2F" w:rsidRPr="00936320" w14:paraId="7668B27E"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4CE8F533" w14:textId="77777777" w:rsidR="00E50D2F" w:rsidRPr="00936320" w:rsidRDefault="00E50D2F" w:rsidP="007748D0">
            <w:pPr>
              <w:pStyle w:val="TableText"/>
            </w:pPr>
            <w:r w:rsidRPr="00936320">
              <w:rPr>
                <w:noProof/>
                <w:lang w:eastAsia="en-GB"/>
              </w:rPr>
              <w:drawing>
                <wp:inline distT="0" distB="0" distL="0" distR="0" wp14:anchorId="2149CE31" wp14:editId="2777FCC7">
                  <wp:extent cx="150019" cy="135731"/>
                  <wp:effectExtent l="0" t="0" r="254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201385AA" w14:textId="77777777" w:rsidR="00E50D2F" w:rsidRPr="00936320" w:rsidRDefault="00E50D2F" w:rsidP="007748D0">
            <w:pPr>
              <w:pStyle w:val="TableText"/>
            </w:pPr>
            <w:r w:rsidRPr="00936320">
              <w:t>Issue date</w:t>
            </w:r>
          </w:p>
        </w:tc>
        <w:tc>
          <w:tcPr>
            <w:tcW w:w="7020" w:type="dxa"/>
          </w:tcPr>
          <w:p w14:paraId="27FB7FF5" w14:textId="77777777" w:rsidR="00E50D2F" w:rsidRPr="00936320" w:rsidRDefault="00E50D2F" w:rsidP="007748D0">
            <w:pPr>
              <w:pStyle w:val="TableText"/>
            </w:pPr>
            <w:r w:rsidRPr="00936320">
              <w:t>The date on which the license was first issued.</w:t>
            </w:r>
          </w:p>
        </w:tc>
      </w:tr>
      <w:tr w:rsidR="00E50D2F" w:rsidRPr="00936320" w14:paraId="1BDBE567"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29947978" w14:textId="77777777" w:rsidR="00E50D2F" w:rsidRPr="00936320" w:rsidRDefault="00F403BC" w:rsidP="007748D0">
            <w:pPr>
              <w:pStyle w:val="TableText"/>
            </w:pPr>
            <w:r w:rsidRPr="00936320">
              <w:rPr>
                <w:noProof/>
                <w:lang w:eastAsia="en-GB"/>
              </w:rPr>
              <w:drawing>
                <wp:inline distT="0" distB="0" distL="0" distR="0" wp14:anchorId="41292301" wp14:editId="6230A67E">
                  <wp:extent cx="150019" cy="135731"/>
                  <wp:effectExtent l="0" t="0" r="254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4004C770" w14:textId="77777777" w:rsidR="00E50D2F" w:rsidRPr="00936320" w:rsidRDefault="00E50D2F" w:rsidP="007748D0">
            <w:pPr>
              <w:pStyle w:val="TableText"/>
            </w:pPr>
            <w:r w:rsidRPr="00936320">
              <w:t>Registration Date</w:t>
            </w:r>
          </w:p>
        </w:tc>
        <w:tc>
          <w:tcPr>
            <w:tcW w:w="7020" w:type="dxa"/>
          </w:tcPr>
          <w:p w14:paraId="1263DB2C" w14:textId="77777777" w:rsidR="00E50D2F" w:rsidRPr="00936320" w:rsidRDefault="00E50D2F" w:rsidP="007748D0">
            <w:pPr>
              <w:pStyle w:val="TableText"/>
            </w:pPr>
            <w:r w:rsidRPr="00936320">
              <w:t>The date on which the license was first registered. This field defaults to today's date, but you can change this to any date before today.</w:t>
            </w:r>
          </w:p>
        </w:tc>
      </w:tr>
      <w:tr w:rsidR="005F4C04" w:rsidRPr="00936320" w14:paraId="3531F6E8"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5DFC5FA8" w14:textId="77777777" w:rsidR="005F4C04" w:rsidRPr="00936320" w:rsidRDefault="00066A9E" w:rsidP="007748D0">
            <w:pPr>
              <w:pStyle w:val="TableText"/>
              <w:rPr>
                <w:lang w:eastAsia="en-GB"/>
              </w:rPr>
            </w:pPr>
            <w:r>
              <w:rPr>
                <w:noProof/>
                <w:lang w:eastAsia="en-GB"/>
              </w:rPr>
              <w:drawing>
                <wp:inline distT="0" distB="0" distL="0" distR="0" wp14:anchorId="7F701466" wp14:editId="09CB8B16">
                  <wp:extent cx="150019" cy="135731"/>
                  <wp:effectExtent l="0" t="0" r="254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35EE958F" w14:textId="77777777" w:rsidR="005F4C04" w:rsidRPr="00936320" w:rsidRDefault="005F4C04" w:rsidP="007748D0">
            <w:pPr>
              <w:pStyle w:val="TableText"/>
            </w:pPr>
            <w:r>
              <w:t>Provisional</w:t>
            </w:r>
          </w:p>
        </w:tc>
        <w:tc>
          <w:tcPr>
            <w:tcW w:w="7020" w:type="dxa"/>
          </w:tcPr>
          <w:p w14:paraId="1CEC6D83" w14:textId="77777777" w:rsidR="005F4C04" w:rsidRPr="00936320" w:rsidRDefault="005F4C04" w:rsidP="00966A0C">
            <w:pPr>
              <w:pStyle w:val="TableText"/>
            </w:pPr>
            <w:r>
              <w:t xml:space="preserve">Check this box if the event is to be treated as ‘Provisional’, in which case a subsequent version of the event </w:t>
            </w:r>
            <w:r w:rsidR="00966A0C">
              <w:t>is</w:t>
            </w:r>
            <w:r>
              <w:t xml:space="preserve"> required before the event can be completed</w:t>
            </w:r>
          </w:p>
        </w:tc>
      </w:tr>
      <w:tr w:rsidR="005F4C04" w:rsidRPr="00936320" w14:paraId="15A3C71F"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58DA0496" w14:textId="77777777" w:rsidR="005F4C04" w:rsidRPr="00936320" w:rsidRDefault="00066A9E" w:rsidP="007748D0">
            <w:pPr>
              <w:pStyle w:val="TableText"/>
              <w:rPr>
                <w:lang w:eastAsia="en-GB"/>
              </w:rPr>
            </w:pPr>
            <w:r>
              <w:rPr>
                <w:noProof/>
                <w:lang w:eastAsia="en-GB"/>
              </w:rPr>
              <w:drawing>
                <wp:inline distT="0" distB="0" distL="0" distR="0" wp14:anchorId="60A3928C" wp14:editId="7E39F09A">
                  <wp:extent cx="150019" cy="135731"/>
                  <wp:effectExtent l="0" t="0" r="254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3EEED452" w14:textId="77777777" w:rsidR="005F4C04" w:rsidRPr="00936320" w:rsidRDefault="005F4C04" w:rsidP="004651B5">
            <w:pPr>
              <w:pStyle w:val="TableText"/>
            </w:pPr>
            <w:r>
              <w:t>Gateway transaction refused</w:t>
            </w:r>
          </w:p>
        </w:tc>
        <w:tc>
          <w:tcPr>
            <w:tcW w:w="7020" w:type="dxa"/>
          </w:tcPr>
          <w:p w14:paraId="6B5421DB" w14:textId="77777777" w:rsidR="005F4C04" w:rsidRPr="00936320" w:rsidRDefault="005F4C04" w:rsidP="004651B5">
            <w:pPr>
              <w:pStyle w:val="TableText"/>
            </w:pPr>
            <w:r>
              <w:t xml:space="preserve">Displayed if the License instruction has been received via the gateway. Check this box if your bank wishes to reject the request to create the License.  </w:t>
            </w:r>
          </w:p>
        </w:tc>
      </w:tr>
    </w:tbl>
    <w:p w14:paraId="471AADC7" w14:textId="77777777" w:rsidR="000F5BE4" w:rsidRPr="00936320" w:rsidRDefault="000F5BE4" w:rsidP="00FB4E11">
      <w:pPr>
        <w:pStyle w:val="BodyText"/>
      </w:pPr>
      <w:bookmarkStart w:id="105" w:name="_Ref404928476"/>
      <w:bookmarkStart w:id="106" w:name="_Toc411436712"/>
      <w:r w:rsidRPr="00936320">
        <w:br w:type="page"/>
      </w:r>
    </w:p>
    <w:p w14:paraId="65898A00" w14:textId="77777777" w:rsidR="00E50D2F" w:rsidRPr="00936320" w:rsidRDefault="00E50D2F" w:rsidP="000F5BE4">
      <w:pPr>
        <w:pStyle w:val="Heading3"/>
      </w:pPr>
      <w:bookmarkStart w:id="107" w:name="_Ref432450496"/>
      <w:bookmarkStart w:id="108" w:name="_Toc166665335"/>
      <w:r w:rsidRPr="00936320">
        <w:lastRenderedPageBreak/>
        <w:t>The Party Details Pane</w:t>
      </w:r>
      <w:bookmarkEnd w:id="105"/>
      <w:bookmarkEnd w:id="106"/>
      <w:bookmarkEnd w:id="107"/>
      <w:bookmarkEnd w:id="108"/>
    </w:p>
    <w:p w14:paraId="6DCA5CDF" w14:textId="649F6861" w:rsidR="00577024" w:rsidRPr="00936320" w:rsidRDefault="00630F87" w:rsidP="00FB4E11">
      <w:pPr>
        <w:pStyle w:val="BodyText"/>
      </w:pPr>
      <w:r>
        <w:rPr>
          <w:noProof/>
        </w:rPr>
        <w:drawing>
          <wp:inline distT="0" distB="0" distL="0" distR="0" wp14:anchorId="527431F8" wp14:editId="6409D84C">
            <wp:extent cx="5731510" cy="11087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08710"/>
                    </a:xfrm>
                    <a:prstGeom prst="rect">
                      <a:avLst/>
                    </a:prstGeom>
                  </pic:spPr>
                </pic:pic>
              </a:graphicData>
            </a:graphic>
          </wp:inline>
        </w:drawing>
      </w:r>
    </w:p>
    <w:p w14:paraId="14571177" w14:textId="77777777" w:rsidR="00E50D2F" w:rsidRPr="00936320" w:rsidRDefault="00E50D2F" w:rsidP="004D481B">
      <w:pPr>
        <w:pStyle w:val="NoSpaceAfter"/>
      </w:pPr>
      <w:r w:rsidRPr="00936320">
        <w:t xml:space="preserve">The following table explains what to </w:t>
      </w:r>
      <w:proofErr w:type="gramStart"/>
      <w:r w:rsidRPr="00936320">
        <w:t>enter into</w:t>
      </w:r>
      <w:proofErr w:type="gramEnd"/>
      <w:r w:rsidRPr="00936320">
        <w:t xml:space="preserve"> the fields in the Party Details pane:</w:t>
      </w:r>
    </w:p>
    <w:tbl>
      <w:tblPr>
        <w:tblStyle w:val="TableGrid"/>
        <w:tblW w:w="9090" w:type="dxa"/>
        <w:tblLayout w:type="fixed"/>
        <w:tblLook w:val="0020" w:firstRow="1" w:lastRow="0" w:firstColumn="0" w:lastColumn="0" w:noHBand="0" w:noVBand="0"/>
      </w:tblPr>
      <w:tblGrid>
        <w:gridCol w:w="450"/>
        <w:gridCol w:w="1620"/>
        <w:gridCol w:w="7020"/>
      </w:tblGrid>
      <w:tr w:rsidR="00E50D2F" w:rsidRPr="00936320" w14:paraId="555B72AE"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450" w:type="dxa"/>
          </w:tcPr>
          <w:p w14:paraId="6B45C271" w14:textId="77777777" w:rsidR="00E50D2F" w:rsidRPr="00936320" w:rsidRDefault="00E50D2F" w:rsidP="007748D0">
            <w:pPr>
              <w:pStyle w:val="TableHeading"/>
              <w:rPr>
                <w:noProof w:val="0"/>
              </w:rPr>
            </w:pPr>
          </w:p>
        </w:tc>
        <w:tc>
          <w:tcPr>
            <w:tcW w:w="1620" w:type="dxa"/>
          </w:tcPr>
          <w:p w14:paraId="6E415C70" w14:textId="77777777" w:rsidR="00E50D2F" w:rsidRPr="00936320" w:rsidRDefault="00E50D2F" w:rsidP="00FB4E11">
            <w:pPr>
              <w:pStyle w:val="TableHead"/>
            </w:pPr>
            <w:r w:rsidRPr="00936320">
              <w:t>Field</w:t>
            </w:r>
          </w:p>
        </w:tc>
        <w:tc>
          <w:tcPr>
            <w:tcW w:w="7020" w:type="dxa"/>
          </w:tcPr>
          <w:p w14:paraId="5C842A66" w14:textId="77777777" w:rsidR="00E50D2F" w:rsidRPr="00936320" w:rsidRDefault="00E50D2F" w:rsidP="00FB4E11">
            <w:pPr>
              <w:pStyle w:val="TableHead"/>
            </w:pPr>
            <w:r w:rsidRPr="00936320">
              <w:t>What to Enter</w:t>
            </w:r>
          </w:p>
        </w:tc>
      </w:tr>
      <w:tr w:rsidR="00E50D2F" w:rsidRPr="00936320" w14:paraId="60449C8C"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304B5F12" w14:textId="77777777" w:rsidR="00E50D2F" w:rsidRPr="00936320" w:rsidRDefault="00F403BC" w:rsidP="004651B5">
            <w:pPr>
              <w:pStyle w:val="TableText"/>
            </w:pPr>
            <w:r w:rsidRPr="00936320">
              <w:rPr>
                <w:noProof/>
                <w:lang w:eastAsia="en-GB"/>
              </w:rPr>
              <w:drawing>
                <wp:inline distT="0" distB="0" distL="0" distR="0" wp14:anchorId="09152D6F" wp14:editId="0C7C9EEB">
                  <wp:extent cx="150019" cy="135731"/>
                  <wp:effectExtent l="0" t="0" r="254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568AF18E" w14:textId="77777777" w:rsidR="00E50D2F" w:rsidRPr="00936320" w:rsidRDefault="00E50D2F" w:rsidP="004651B5">
            <w:pPr>
              <w:pStyle w:val="TableText"/>
            </w:pPr>
            <w:r w:rsidRPr="00936320">
              <w:t>Exporter/</w:t>
            </w:r>
            <w:r w:rsidRPr="00936320">
              <w:br/>
              <w:t>Applicant</w:t>
            </w:r>
          </w:p>
        </w:tc>
        <w:tc>
          <w:tcPr>
            <w:tcW w:w="7020" w:type="dxa"/>
          </w:tcPr>
          <w:p w14:paraId="2B61C162" w14:textId="3BEB0EC3" w:rsidR="0098648E" w:rsidRPr="00936320" w:rsidRDefault="00E50D2F" w:rsidP="00C104AC">
            <w:pPr>
              <w:pStyle w:val="TableText"/>
            </w:pPr>
            <w:r w:rsidRPr="00936320">
              <w:t>The principal party - for example, for an export license the principal would be the exporter; for an import license, the principal would be the applicant. Your bank decides who the principal is for each type of license.</w:t>
            </w:r>
          </w:p>
        </w:tc>
      </w:tr>
      <w:tr w:rsidR="00E50D2F" w:rsidRPr="00936320" w14:paraId="62094C2D"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43369FCB" w14:textId="77777777" w:rsidR="00E50D2F" w:rsidRPr="00936320" w:rsidRDefault="00F403BC" w:rsidP="004651B5">
            <w:pPr>
              <w:pStyle w:val="TableText"/>
            </w:pPr>
            <w:r w:rsidRPr="00936320">
              <w:rPr>
                <w:noProof/>
                <w:lang w:eastAsia="en-GB"/>
              </w:rPr>
              <w:drawing>
                <wp:inline distT="0" distB="0" distL="0" distR="0" wp14:anchorId="23E95B90" wp14:editId="4A6A7403">
                  <wp:extent cx="150019" cy="135731"/>
                  <wp:effectExtent l="0" t="0" r="254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219D0F08" w14:textId="77777777" w:rsidR="00E50D2F" w:rsidRPr="00936320" w:rsidRDefault="00E50D2F" w:rsidP="004651B5">
            <w:pPr>
              <w:pStyle w:val="TableText"/>
            </w:pPr>
            <w:r w:rsidRPr="00936320">
              <w:t>Consignee Type/Beneficiary Type</w:t>
            </w:r>
          </w:p>
        </w:tc>
        <w:tc>
          <w:tcPr>
            <w:tcW w:w="7020" w:type="dxa"/>
          </w:tcPr>
          <w:p w14:paraId="2156690B" w14:textId="77777777" w:rsidR="00E50D2F" w:rsidRPr="00936320" w:rsidRDefault="00E50D2F" w:rsidP="004651B5">
            <w:pPr>
              <w:pStyle w:val="TableText"/>
            </w:pPr>
            <w:r w:rsidRPr="00936320">
              <w:t>The non-principal party. Select one of the following and then press Refresh:</w:t>
            </w:r>
          </w:p>
          <w:p w14:paraId="0B089B3F" w14:textId="77777777" w:rsidR="00E50D2F" w:rsidRPr="00936320" w:rsidRDefault="00E50D2F" w:rsidP="00FB4E11">
            <w:pPr>
              <w:pStyle w:val="TableBullet1"/>
            </w:pPr>
            <w:r w:rsidRPr="00936320">
              <w:t>Consignee. Use the field displayed when you press Refresh to identify the consignee</w:t>
            </w:r>
          </w:p>
          <w:p w14:paraId="643887F7" w14:textId="77777777" w:rsidR="00E50D2F" w:rsidRPr="00936320" w:rsidRDefault="00E50D2F" w:rsidP="00FB4E11">
            <w:pPr>
              <w:pStyle w:val="TableBullet1"/>
            </w:pPr>
            <w:r w:rsidRPr="00936320">
              <w:t>Any Consignee in Country.  Use the field displayed when you press Refresh to identify the country</w:t>
            </w:r>
          </w:p>
          <w:p w14:paraId="67C504E4" w14:textId="77777777" w:rsidR="00E50D2F" w:rsidRPr="00936320" w:rsidRDefault="00E50D2F" w:rsidP="00FB4E11">
            <w:pPr>
              <w:pStyle w:val="TableBullet1"/>
            </w:pPr>
            <w:r w:rsidRPr="00936320">
              <w:t>Any Consignee, in which case no further clarification is required</w:t>
            </w:r>
          </w:p>
          <w:p w14:paraId="0C5989D4" w14:textId="77777777" w:rsidR="00E50D2F" w:rsidRPr="00936320" w:rsidRDefault="00E50D2F" w:rsidP="004651B5">
            <w:pPr>
              <w:pStyle w:val="TableText"/>
            </w:pPr>
            <w:r w:rsidRPr="00936320">
              <w:t>The role of the non-principal will differ according to the license type: for an import license this would be the beneficiary, for an export license this would be the consignee, and for an FX license this would be the payee. Your bank decides who the non-principal is for each type of license.</w:t>
            </w:r>
          </w:p>
        </w:tc>
      </w:tr>
      <w:tr w:rsidR="00E50D2F" w:rsidRPr="00936320" w14:paraId="338218E4"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19BC431A" w14:textId="77777777" w:rsidR="00E50D2F" w:rsidRPr="00936320" w:rsidRDefault="00E50D2F" w:rsidP="007748D0">
            <w:pPr>
              <w:pStyle w:val="TableText"/>
            </w:pPr>
          </w:p>
        </w:tc>
        <w:tc>
          <w:tcPr>
            <w:tcW w:w="1620" w:type="dxa"/>
          </w:tcPr>
          <w:p w14:paraId="6666ED5F" w14:textId="77777777" w:rsidR="00E50D2F" w:rsidRPr="00936320" w:rsidRDefault="00E50D2F" w:rsidP="004651B5">
            <w:pPr>
              <w:pStyle w:val="TableText"/>
            </w:pPr>
            <w:r w:rsidRPr="00936320">
              <w:t>Further Identification</w:t>
            </w:r>
          </w:p>
        </w:tc>
        <w:tc>
          <w:tcPr>
            <w:tcW w:w="7020" w:type="dxa"/>
          </w:tcPr>
          <w:p w14:paraId="15AD46CE" w14:textId="77777777" w:rsidR="00E50D2F" w:rsidRPr="00936320" w:rsidRDefault="00E50D2F" w:rsidP="004651B5">
            <w:pPr>
              <w:pStyle w:val="TableText"/>
            </w:pPr>
            <w:r w:rsidRPr="00936320">
              <w:t>Any further identification that may be required for the principal party, such as a passport number or certificate of incorporation.</w:t>
            </w:r>
          </w:p>
        </w:tc>
      </w:tr>
    </w:tbl>
    <w:p w14:paraId="2101A451" w14:textId="77777777" w:rsidR="00E50D2F" w:rsidRPr="00936320" w:rsidRDefault="00E50D2F" w:rsidP="000F5BE4">
      <w:pPr>
        <w:pStyle w:val="Heading3"/>
      </w:pPr>
      <w:bookmarkStart w:id="109" w:name="O_21654"/>
      <w:bookmarkStart w:id="110" w:name="_Toc317758859"/>
      <w:bookmarkStart w:id="111" w:name="_Toc373155436"/>
      <w:bookmarkStart w:id="112" w:name="_Toc411436713"/>
      <w:bookmarkStart w:id="113" w:name="_Ref432450504"/>
      <w:bookmarkStart w:id="114" w:name="_Toc166665336"/>
      <w:bookmarkEnd w:id="109"/>
      <w:r w:rsidRPr="00936320">
        <w:t>The Amount Details Pane</w:t>
      </w:r>
      <w:bookmarkEnd w:id="110"/>
      <w:bookmarkEnd w:id="111"/>
      <w:bookmarkEnd w:id="112"/>
      <w:bookmarkEnd w:id="113"/>
      <w:bookmarkEnd w:id="114"/>
    </w:p>
    <w:p w14:paraId="009FFF11" w14:textId="525C6A29" w:rsidR="002B1D14" w:rsidRDefault="00EA18AD" w:rsidP="002B1D14">
      <w:pPr>
        <w:pStyle w:val="BodyText"/>
      </w:pPr>
      <w:r>
        <w:rPr>
          <w:noProof/>
        </w:rPr>
        <w:drawing>
          <wp:inline distT="0" distB="0" distL="0" distR="0" wp14:anchorId="3E6181EF" wp14:editId="30C53BEE">
            <wp:extent cx="5731510" cy="9594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59485"/>
                    </a:xfrm>
                    <a:prstGeom prst="rect">
                      <a:avLst/>
                    </a:prstGeom>
                  </pic:spPr>
                </pic:pic>
              </a:graphicData>
            </a:graphic>
          </wp:inline>
        </w:drawing>
      </w:r>
    </w:p>
    <w:p w14:paraId="23AC7FAC" w14:textId="78DFD2C8" w:rsidR="00E50D2F" w:rsidRPr="00936320" w:rsidRDefault="00E50D2F" w:rsidP="004F28FD">
      <w:pPr>
        <w:pStyle w:val="BodyText"/>
      </w:pPr>
      <w:r w:rsidRPr="00936320">
        <w:t xml:space="preserve">The following table explains what to </w:t>
      </w:r>
      <w:proofErr w:type="gramStart"/>
      <w:r w:rsidRPr="00936320">
        <w:t>enter into</w:t>
      </w:r>
      <w:proofErr w:type="gramEnd"/>
      <w:r w:rsidRPr="00936320">
        <w:t xml:space="preserve"> the fields in the Amount Details pane:</w:t>
      </w:r>
    </w:p>
    <w:tbl>
      <w:tblPr>
        <w:tblStyle w:val="TableGrid"/>
        <w:tblW w:w="9090" w:type="dxa"/>
        <w:tblLayout w:type="fixed"/>
        <w:tblLook w:val="0020" w:firstRow="1" w:lastRow="0" w:firstColumn="0" w:lastColumn="0" w:noHBand="0" w:noVBand="0"/>
      </w:tblPr>
      <w:tblGrid>
        <w:gridCol w:w="450"/>
        <w:gridCol w:w="1620"/>
        <w:gridCol w:w="1620"/>
        <w:gridCol w:w="5400"/>
      </w:tblGrid>
      <w:tr w:rsidR="00E50D2F" w:rsidRPr="00936320" w14:paraId="55C872BF"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450" w:type="dxa"/>
          </w:tcPr>
          <w:p w14:paraId="2BAAB10B" w14:textId="77777777" w:rsidR="00E50D2F" w:rsidRPr="00936320" w:rsidRDefault="00E50D2F" w:rsidP="007748D0">
            <w:pPr>
              <w:pStyle w:val="TableHeading"/>
              <w:rPr>
                <w:noProof w:val="0"/>
              </w:rPr>
            </w:pPr>
          </w:p>
        </w:tc>
        <w:tc>
          <w:tcPr>
            <w:tcW w:w="1620" w:type="dxa"/>
          </w:tcPr>
          <w:p w14:paraId="4E56B861" w14:textId="77777777" w:rsidR="00E50D2F" w:rsidRPr="00936320" w:rsidRDefault="00E50D2F" w:rsidP="00FB4E11">
            <w:pPr>
              <w:pStyle w:val="TableHead"/>
            </w:pPr>
            <w:r w:rsidRPr="00936320">
              <w:t>Field</w:t>
            </w:r>
          </w:p>
        </w:tc>
        <w:tc>
          <w:tcPr>
            <w:tcW w:w="7020" w:type="dxa"/>
            <w:gridSpan w:val="2"/>
          </w:tcPr>
          <w:p w14:paraId="6FEC42B8" w14:textId="77777777" w:rsidR="00E50D2F" w:rsidRPr="00936320" w:rsidRDefault="00E50D2F" w:rsidP="00FB4E11">
            <w:pPr>
              <w:pStyle w:val="TableHead"/>
            </w:pPr>
            <w:r w:rsidRPr="00936320">
              <w:t>What to Enter</w:t>
            </w:r>
          </w:p>
        </w:tc>
      </w:tr>
      <w:tr w:rsidR="00E50D2F" w:rsidRPr="00936320" w14:paraId="0AC7FEFB"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05E6E46E" w14:textId="77777777" w:rsidR="00E50D2F" w:rsidRPr="00936320" w:rsidRDefault="00F403BC" w:rsidP="004651B5">
            <w:pPr>
              <w:pStyle w:val="TableText"/>
            </w:pPr>
            <w:r w:rsidRPr="00936320">
              <w:rPr>
                <w:noProof/>
                <w:lang w:eastAsia="en-GB"/>
              </w:rPr>
              <w:drawing>
                <wp:inline distT="0" distB="0" distL="0" distR="0" wp14:anchorId="64CEECB3" wp14:editId="715B6977">
                  <wp:extent cx="150019" cy="135731"/>
                  <wp:effectExtent l="0" t="0" r="254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05D5F7AD" w14:textId="77777777" w:rsidR="00E50D2F" w:rsidRPr="00936320" w:rsidRDefault="00E50D2F" w:rsidP="004651B5">
            <w:pPr>
              <w:pStyle w:val="TableText"/>
            </w:pPr>
            <w:r w:rsidRPr="00936320">
              <w:t>Amount</w:t>
            </w:r>
          </w:p>
        </w:tc>
        <w:tc>
          <w:tcPr>
            <w:tcW w:w="7020" w:type="dxa"/>
            <w:gridSpan w:val="2"/>
          </w:tcPr>
          <w:p w14:paraId="7C8B65A9" w14:textId="77777777" w:rsidR="00E50D2F" w:rsidRPr="00936320" w:rsidRDefault="00E50D2F" w:rsidP="004651B5">
            <w:pPr>
              <w:pStyle w:val="TableText"/>
            </w:pPr>
            <w:r w:rsidRPr="00936320">
              <w:t xml:space="preserve">The amount and currency of the transaction. </w:t>
            </w:r>
            <w:r w:rsidR="00754AEF" w:rsidRPr="00936320">
              <w:t>Trade Innovation</w:t>
            </w:r>
            <w:r w:rsidRPr="00936320">
              <w:t xml:space="preserve"> displays the amount and currency in the language of your system beneath these fields. You can edit this text, if necessary.</w:t>
            </w:r>
          </w:p>
        </w:tc>
      </w:tr>
      <w:tr w:rsidR="00E50D2F" w:rsidRPr="00936320" w14:paraId="2DFA85EF"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358D9CF4" w14:textId="77777777" w:rsidR="00E50D2F" w:rsidRPr="00936320" w:rsidRDefault="00E50D2F" w:rsidP="007748D0">
            <w:pPr>
              <w:pStyle w:val="TableText"/>
            </w:pPr>
          </w:p>
        </w:tc>
        <w:tc>
          <w:tcPr>
            <w:tcW w:w="1620" w:type="dxa"/>
          </w:tcPr>
          <w:p w14:paraId="14CB1835" w14:textId="77777777" w:rsidR="00E50D2F" w:rsidRPr="00936320" w:rsidRDefault="00E50D2F" w:rsidP="004651B5">
            <w:pPr>
              <w:pStyle w:val="TableText"/>
            </w:pPr>
            <w:r w:rsidRPr="00936320">
              <w:t>Tolerance</w:t>
            </w:r>
          </w:p>
        </w:tc>
        <w:tc>
          <w:tcPr>
            <w:tcW w:w="7020" w:type="dxa"/>
            <w:gridSpan w:val="2"/>
          </w:tcPr>
          <w:p w14:paraId="4E6C5B61" w14:textId="77777777" w:rsidR="00E50D2F" w:rsidRPr="00936320" w:rsidRDefault="00E50D2F" w:rsidP="004651B5">
            <w:pPr>
              <w:pStyle w:val="TableText"/>
            </w:pPr>
            <w:r w:rsidRPr="00936320">
              <w:t>Specify how the amount is being expressed. Select from one of the following:</w:t>
            </w:r>
          </w:p>
        </w:tc>
      </w:tr>
      <w:tr w:rsidR="007748D0" w:rsidRPr="00936320" w14:paraId="46013761"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vMerge w:val="restart"/>
          </w:tcPr>
          <w:p w14:paraId="7EF0F8AA" w14:textId="77777777" w:rsidR="007748D0" w:rsidRPr="00936320" w:rsidRDefault="007748D0" w:rsidP="007748D0">
            <w:pPr>
              <w:pStyle w:val="TableText"/>
            </w:pPr>
          </w:p>
        </w:tc>
        <w:tc>
          <w:tcPr>
            <w:tcW w:w="1620" w:type="dxa"/>
            <w:vMerge w:val="restart"/>
          </w:tcPr>
          <w:p w14:paraId="7D807F99" w14:textId="77777777" w:rsidR="007748D0" w:rsidRPr="00936320" w:rsidRDefault="007748D0" w:rsidP="007748D0">
            <w:pPr>
              <w:pStyle w:val="TableText"/>
            </w:pPr>
          </w:p>
        </w:tc>
        <w:tc>
          <w:tcPr>
            <w:tcW w:w="1620" w:type="dxa"/>
          </w:tcPr>
          <w:p w14:paraId="45AC1BE0" w14:textId="77777777" w:rsidR="007748D0" w:rsidRPr="00936320" w:rsidRDefault="007748D0" w:rsidP="004651B5">
            <w:pPr>
              <w:pStyle w:val="TableText"/>
            </w:pPr>
            <w:r w:rsidRPr="00936320">
              <w:t>Exact</w:t>
            </w:r>
          </w:p>
        </w:tc>
        <w:tc>
          <w:tcPr>
            <w:tcW w:w="5400" w:type="dxa"/>
          </w:tcPr>
          <w:p w14:paraId="76B62DA0" w14:textId="77777777" w:rsidR="007748D0" w:rsidRPr="00936320" w:rsidRDefault="002007A6" w:rsidP="004651B5">
            <w:pPr>
              <w:pStyle w:val="TableText"/>
            </w:pPr>
            <w:r w:rsidRPr="00936320">
              <w:t>I</w:t>
            </w:r>
            <w:r w:rsidR="007748D0" w:rsidRPr="00936320">
              <w:t>f the amount is the exact value of the transaction</w:t>
            </w:r>
            <w:r w:rsidRPr="00936320">
              <w:t>.</w:t>
            </w:r>
          </w:p>
        </w:tc>
      </w:tr>
      <w:tr w:rsidR="007748D0" w:rsidRPr="00936320" w14:paraId="2D21FC68"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vMerge/>
          </w:tcPr>
          <w:p w14:paraId="37B65F94" w14:textId="77777777" w:rsidR="007748D0" w:rsidRPr="00936320" w:rsidRDefault="007748D0" w:rsidP="007748D0">
            <w:pPr>
              <w:pStyle w:val="TableText"/>
            </w:pPr>
          </w:p>
        </w:tc>
        <w:tc>
          <w:tcPr>
            <w:tcW w:w="1620" w:type="dxa"/>
            <w:vMerge/>
          </w:tcPr>
          <w:p w14:paraId="6A7D7459" w14:textId="77777777" w:rsidR="007748D0" w:rsidRPr="00936320" w:rsidRDefault="007748D0" w:rsidP="007748D0">
            <w:pPr>
              <w:pStyle w:val="TableText"/>
            </w:pPr>
          </w:p>
        </w:tc>
        <w:tc>
          <w:tcPr>
            <w:tcW w:w="1620" w:type="dxa"/>
          </w:tcPr>
          <w:p w14:paraId="69E57463" w14:textId="77777777" w:rsidR="007748D0" w:rsidRPr="00936320" w:rsidRDefault="007748D0" w:rsidP="004651B5">
            <w:pPr>
              <w:pStyle w:val="TableText"/>
            </w:pPr>
            <w:r w:rsidRPr="00936320">
              <w:t>About</w:t>
            </w:r>
          </w:p>
        </w:tc>
        <w:tc>
          <w:tcPr>
            <w:tcW w:w="5400" w:type="dxa"/>
          </w:tcPr>
          <w:p w14:paraId="22AEF60C" w14:textId="77777777" w:rsidR="007748D0" w:rsidRPr="00936320" w:rsidRDefault="002007A6" w:rsidP="004651B5">
            <w:pPr>
              <w:pStyle w:val="TableText"/>
            </w:pPr>
            <w:r w:rsidRPr="00936320">
              <w:t>I</w:t>
            </w:r>
            <w:r w:rsidR="007748D0" w:rsidRPr="00936320">
              <w:t>f the amount given in the Amount field is within 10% either way of the ex</w:t>
            </w:r>
            <w:r w:rsidRPr="00936320">
              <w:t>pected value of the transaction.</w:t>
            </w:r>
          </w:p>
        </w:tc>
      </w:tr>
      <w:tr w:rsidR="007748D0" w:rsidRPr="00936320" w14:paraId="050E1DF4"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vMerge/>
          </w:tcPr>
          <w:p w14:paraId="0BDCF7A7" w14:textId="77777777" w:rsidR="007748D0" w:rsidRPr="00936320" w:rsidRDefault="007748D0" w:rsidP="007748D0">
            <w:pPr>
              <w:pStyle w:val="TableText"/>
            </w:pPr>
          </w:p>
        </w:tc>
        <w:tc>
          <w:tcPr>
            <w:tcW w:w="1620" w:type="dxa"/>
            <w:vMerge/>
          </w:tcPr>
          <w:p w14:paraId="37157B4A" w14:textId="77777777" w:rsidR="007748D0" w:rsidRPr="00936320" w:rsidRDefault="007748D0" w:rsidP="007748D0">
            <w:pPr>
              <w:pStyle w:val="TableText"/>
            </w:pPr>
          </w:p>
        </w:tc>
        <w:tc>
          <w:tcPr>
            <w:tcW w:w="1620" w:type="dxa"/>
          </w:tcPr>
          <w:p w14:paraId="4E279382" w14:textId="77777777" w:rsidR="007748D0" w:rsidRPr="00936320" w:rsidRDefault="007748D0" w:rsidP="004651B5">
            <w:pPr>
              <w:pStyle w:val="TableText"/>
            </w:pPr>
            <w:r w:rsidRPr="00936320">
              <w:t>Other</w:t>
            </w:r>
          </w:p>
        </w:tc>
        <w:tc>
          <w:tcPr>
            <w:tcW w:w="5400" w:type="dxa"/>
          </w:tcPr>
          <w:p w14:paraId="5F52C2F5" w14:textId="77777777" w:rsidR="007748D0" w:rsidRPr="00936320" w:rsidRDefault="002007A6" w:rsidP="004651B5">
            <w:pPr>
              <w:pStyle w:val="TableText"/>
            </w:pPr>
            <w:r w:rsidRPr="00936320">
              <w:t>I</w:t>
            </w:r>
            <w:r w:rsidR="007748D0" w:rsidRPr="00936320">
              <w:t>f you select this option, use the -% and +% fields to specify as a percentage how much more or less than the final value of the transaction the amount entered is allowed to be</w:t>
            </w:r>
            <w:r w:rsidR="00B67650" w:rsidRPr="00936320">
              <w:t>.</w:t>
            </w:r>
          </w:p>
        </w:tc>
      </w:tr>
      <w:tr w:rsidR="007748D0" w:rsidRPr="00936320" w14:paraId="2FFF441E"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vMerge/>
          </w:tcPr>
          <w:p w14:paraId="099FD12B" w14:textId="77777777" w:rsidR="007748D0" w:rsidRPr="00936320" w:rsidRDefault="007748D0" w:rsidP="007748D0">
            <w:pPr>
              <w:pStyle w:val="TableText"/>
            </w:pPr>
          </w:p>
        </w:tc>
        <w:tc>
          <w:tcPr>
            <w:tcW w:w="1620" w:type="dxa"/>
            <w:vMerge/>
          </w:tcPr>
          <w:p w14:paraId="53280296" w14:textId="77777777" w:rsidR="007748D0" w:rsidRPr="00936320" w:rsidRDefault="007748D0" w:rsidP="007748D0">
            <w:pPr>
              <w:pStyle w:val="TableText"/>
            </w:pPr>
          </w:p>
        </w:tc>
        <w:tc>
          <w:tcPr>
            <w:tcW w:w="1620" w:type="dxa"/>
          </w:tcPr>
          <w:p w14:paraId="40F81586" w14:textId="77777777" w:rsidR="007748D0" w:rsidRPr="00936320" w:rsidRDefault="007748D0" w:rsidP="004651B5">
            <w:pPr>
              <w:pStyle w:val="TableText"/>
            </w:pPr>
            <w:r w:rsidRPr="00936320">
              <w:t>Not Exceeding/</w:t>
            </w:r>
            <w:r w:rsidRPr="00936320">
              <w:br/>
              <w:t>Up To</w:t>
            </w:r>
          </w:p>
        </w:tc>
        <w:tc>
          <w:tcPr>
            <w:tcW w:w="5400" w:type="dxa"/>
          </w:tcPr>
          <w:p w14:paraId="085E9824" w14:textId="77777777" w:rsidR="007748D0" w:rsidRPr="00936320" w:rsidRDefault="002007A6" w:rsidP="004651B5">
            <w:pPr>
              <w:pStyle w:val="TableText"/>
            </w:pPr>
            <w:r w:rsidRPr="00936320">
              <w:t>I</w:t>
            </w:r>
            <w:r w:rsidR="007748D0" w:rsidRPr="00936320">
              <w:t>f the final value of the transaction is expected to be no more than the amount entered, and not less than 95% of the amount entered</w:t>
            </w:r>
            <w:r w:rsidRPr="00936320">
              <w:t>.</w:t>
            </w:r>
          </w:p>
        </w:tc>
      </w:tr>
      <w:tr w:rsidR="007748D0" w:rsidRPr="00936320" w14:paraId="165CD7E4"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vMerge/>
          </w:tcPr>
          <w:p w14:paraId="6EE4FEB9" w14:textId="77777777" w:rsidR="007748D0" w:rsidRPr="00936320" w:rsidRDefault="007748D0" w:rsidP="007748D0">
            <w:pPr>
              <w:pStyle w:val="TableText"/>
            </w:pPr>
          </w:p>
        </w:tc>
        <w:tc>
          <w:tcPr>
            <w:tcW w:w="1620" w:type="dxa"/>
            <w:vMerge/>
          </w:tcPr>
          <w:p w14:paraId="620CF884" w14:textId="77777777" w:rsidR="007748D0" w:rsidRPr="00936320" w:rsidRDefault="007748D0" w:rsidP="007748D0">
            <w:pPr>
              <w:pStyle w:val="TableText"/>
            </w:pPr>
          </w:p>
        </w:tc>
        <w:tc>
          <w:tcPr>
            <w:tcW w:w="1620" w:type="dxa"/>
          </w:tcPr>
          <w:p w14:paraId="26A6BCCB" w14:textId="77777777" w:rsidR="007748D0" w:rsidRPr="00936320" w:rsidRDefault="007748D0" w:rsidP="004651B5">
            <w:pPr>
              <w:pStyle w:val="TableText"/>
            </w:pPr>
            <w:r w:rsidRPr="00936320">
              <w:t>Max/Min</w:t>
            </w:r>
          </w:p>
        </w:tc>
        <w:tc>
          <w:tcPr>
            <w:tcW w:w="5400" w:type="dxa"/>
          </w:tcPr>
          <w:p w14:paraId="65A56D3E" w14:textId="77777777" w:rsidR="007748D0" w:rsidRPr="00936320" w:rsidRDefault="002007A6" w:rsidP="004651B5">
            <w:pPr>
              <w:pStyle w:val="TableText"/>
            </w:pPr>
            <w:r w:rsidRPr="00936320">
              <w:t>I</w:t>
            </w:r>
            <w:r w:rsidR="007748D0" w:rsidRPr="00936320">
              <w:t xml:space="preserve">f you select this option </w:t>
            </w:r>
            <w:r w:rsidR="00754AEF" w:rsidRPr="00936320">
              <w:t>Trade Innovation</w:t>
            </w:r>
            <w:r w:rsidR="007748D0" w:rsidRPr="00936320">
              <w:t xml:space="preserve"> displays a + Amount and a - Amount field. Use them to specify as an amount how </w:t>
            </w:r>
            <w:r w:rsidR="007748D0" w:rsidRPr="00936320">
              <w:lastRenderedPageBreak/>
              <w:t>much more or less than the final value of the transaction the amount entered is allowed to be</w:t>
            </w:r>
            <w:r w:rsidRPr="00936320">
              <w:t>.</w:t>
            </w:r>
          </w:p>
        </w:tc>
      </w:tr>
      <w:tr w:rsidR="007748D0" w:rsidRPr="00936320" w14:paraId="6EC53A53"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vMerge/>
          </w:tcPr>
          <w:p w14:paraId="02D2FCAE" w14:textId="77777777" w:rsidR="007748D0" w:rsidRPr="00936320" w:rsidRDefault="007748D0" w:rsidP="007748D0">
            <w:pPr>
              <w:pStyle w:val="TableText"/>
            </w:pPr>
          </w:p>
        </w:tc>
        <w:tc>
          <w:tcPr>
            <w:tcW w:w="1620" w:type="dxa"/>
            <w:vMerge/>
          </w:tcPr>
          <w:p w14:paraId="7334512F" w14:textId="77777777" w:rsidR="007748D0" w:rsidRPr="00936320" w:rsidRDefault="007748D0" w:rsidP="007748D0">
            <w:pPr>
              <w:pStyle w:val="TableText"/>
            </w:pPr>
          </w:p>
        </w:tc>
        <w:tc>
          <w:tcPr>
            <w:tcW w:w="7020" w:type="dxa"/>
            <w:gridSpan w:val="2"/>
          </w:tcPr>
          <w:p w14:paraId="391B7E33" w14:textId="77777777" w:rsidR="007748D0" w:rsidRPr="00936320" w:rsidRDefault="00754AEF" w:rsidP="004651B5">
            <w:pPr>
              <w:pStyle w:val="TableText"/>
            </w:pPr>
            <w:r w:rsidRPr="00936320">
              <w:t>Trade Innovation</w:t>
            </w:r>
            <w:r w:rsidR="007748D0" w:rsidRPr="00936320">
              <w:t xml:space="preserve"> displays the amount and currency in the language of your system beneath these fields. You can edit this text, if necessary.</w:t>
            </w:r>
          </w:p>
        </w:tc>
      </w:tr>
      <w:tr w:rsidR="00E50D2F" w:rsidRPr="00936320" w14:paraId="388E4291" w14:textId="77777777" w:rsidTr="00FB4E11">
        <w:trPr>
          <w:cnfStyle w:val="000000100000" w:firstRow="0" w:lastRow="0" w:firstColumn="0" w:lastColumn="0" w:oddVBand="0" w:evenVBand="0" w:oddHBand="1" w:evenHBand="0" w:firstRowFirstColumn="0" w:firstRowLastColumn="0" w:lastRowFirstColumn="0" w:lastRowLastColumn="0"/>
        </w:trPr>
        <w:tc>
          <w:tcPr>
            <w:tcW w:w="450" w:type="dxa"/>
          </w:tcPr>
          <w:p w14:paraId="1F5B6D27" w14:textId="77777777" w:rsidR="00E50D2F" w:rsidRPr="00936320" w:rsidRDefault="00E50D2F" w:rsidP="007748D0">
            <w:pPr>
              <w:pStyle w:val="TableText"/>
            </w:pPr>
          </w:p>
        </w:tc>
        <w:tc>
          <w:tcPr>
            <w:tcW w:w="1620" w:type="dxa"/>
          </w:tcPr>
          <w:p w14:paraId="11773355" w14:textId="77777777" w:rsidR="00E50D2F" w:rsidRPr="00936320" w:rsidRDefault="00E50D2F" w:rsidP="004651B5">
            <w:pPr>
              <w:pStyle w:val="TableText"/>
            </w:pPr>
            <w:r w:rsidRPr="00936320">
              <w:t>Additional Amounts</w:t>
            </w:r>
          </w:p>
        </w:tc>
        <w:tc>
          <w:tcPr>
            <w:tcW w:w="7020" w:type="dxa"/>
            <w:gridSpan w:val="2"/>
          </w:tcPr>
          <w:p w14:paraId="24F90644" w14:textId="77777777" w:rsidR="00E50D2F" w:rsidRPr="00936320" w:rsidRDefault="00E50D2F" w:rsidP="004651B5">
            <w:pPr>
              <w:pStyle w:val="TableText"/>
            </w:pPr>
            <w:r w:rsidRPr="00936320">
              <w:t>Any amounts payable to the beneficiary in addition to the principal amount of the transaction. These might include, for example, local freight charges.</w:t>
            </w:r>
          </w:p>
          <w:p w14:paraId="00723600" w14:textId="77777777" w:rsidR="00E50D2F" w:rsidRPr="00936320" w:rsidRDefault="00E50D2F" w:rsidP="004651B5">
            <w:pPr>
              <w:pStyle w:val="TableText"/>
            </w:pPr>
            <w:r w:rsidRPr="00936320">
              <w:t>If you enter an amount, it is added to the amount of liability under the transaction. If you use a different currency for the amount, then the amount is converted to the currency of the transaction using the current spot rate.</w:t>
            </w:r>
          </w:p>
        </w:tc>
      </w:tr>
      <w:tr w:rsidR="00E50D2F" w:rsidRPr="00936320" w14:paraId="2C9AC824" w14:textId="77777777" w:rsidTr="00FB4E11">
        <w:trPr>
          <w:cnfStyle w:val="000000010000" w:firstRow="0" w:lastRow="0" w:firstColumn="0" w:lastColumn="0" w:oddVBand="0" w:evenVBand="0" w:oddHBand="0" w:evenHBand="1" w:firstRowFirstColumn="0" w:firstRowLastColumn="0" w:lastRowFirstColumn="0" w:lastRowLastColumn="0"/>
        </w:trPr>
        <w:tc>
          <w:tcPr>
            <w:tcW w:w="450" w:type="dxa"/>
          </w:tcPr>
          <w:p w14:paraId="449C80BB" w14:textId="77777777" w:rsidR="00E50D2F" w:rsidRPr="00936320" w:rsidRDefault="00E50D2F" w:rsidP="007748D0">
            <w:pPr>
              <w:pStyle w:val="TableText"/>
            </w:pPr>
          </w:p>
        </w:tc>
        <w:tc>
          <w:tcPr>
            <w:tcW w:w="1620" w:type="dxa"/>
          </w:tcPr>
          <w:p w14:paraId="430352E3" w14:textId="77777777" w:rsidR="00E50D2F" w:rsidRPr="00936320" w:rsidRDefault="00E50D2F" w:rsidP="004651B5">
            <w:pPr>
              <w:pStyle w:val="TableText"/>
            </w:pPr>
            <w:r w:rsidRPr="00936320">
              <w:t>Additional Amount Details</w:t>
            </w:r>
          </w:p>
        </w:tc>
        <w:tc>
          <w:tcPr>
            <w:tcW w:w="7020" w:type="dxa"/>
            <w:gridSpan w:val="2"/>
          </w:tcPr>
          <w:p w14:paraId="718F96D8" w14:textId="77777777" w:rsidR="00E50D2F" w:rsidRPr="00936320" w:rsidRDefault="00E50D2F" w:rsidP="004651B5">
            <w:pPr>
              <w:pStyle w:val="TableText"/>
            </w:pPr>
            <w:r w:rsidRPr="00936320">
              <w:t xml:space="preserve">A text description of what any additional amounts are for. </w:t>
            </w:r>
          </w:p>
        </w:tc>
      </w:tr>
    </w:tbl>
    <w:p w14:paraId="48FCE7AB" w14:textId="77777777" w:rsidR="00E50D2F" w:rsidRPr="00936320" w:rsidRDefault="00E50D2F" w:rsidP="000F5BE4">
      <w:pPr>
        <w:pStyle w:val="Heading3"/>
      </w:pPr>
      <w:bookmarkStart w:id="115" w:name="_Toc317758860"/>
      <w:bookmarkStart w:id="116" w:name="_Toc373155437"/>
      <w:bookmarkStart w:id="117" w:name="_Ref404928483"/>
      <w:bookmarkStart w:id="118" w:name="_Ref404928499"/>
      <w:bookmarkStart w:id="119" w:name="_Toc411436714"/>
      <w:bookmarkStart w:id="120" w:name="_Ref432450513"/>
      <w:bookmarkStart w:id="121" w:name="_Toc166665337"/>
      <w:r w:rsidRPr="00936320">
        <w:t>The Validity Details Pane</w:t>
      </w:r>
      <w:bookmarkEnd w:id="115"/>
      <w:bookmarkEnd w:id="116"/>
      <w:bookmarkEnd w:id="117"/>
      <w:bookmarkEnd w:id="118"/>
      <w:bookmarkEnd w:id="119"/>
      <w:bookmarkEnd w:id="120"/>
      <w:bookmarkEnd w:id="121"/>
    </w:p>
    <w:p w14:paraId="042536BC" w14:textId="2B01FCDB" w:rsidR="00CA1F6C" w:rsidRPr="00936320" w:rsidRDefault="00CA1F6C" w:rsidP="00FB4E11">
      <w:pPr>
        <w:pStyle w:val="BodyText"/>
      </w:pPr>
      <w:r>
        <w:rPr>
          <w:noProof/>
        </w:rPr>
        <w:drawing>
          <wp:inline distT="0" distB="0" distL="0" distR="0" wp14:anchorId="064E2AAA" wp14:editId="2F2D236F">
            <wp:extent cx="5731510" cy="8089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08990"/>
                    </a:xfrm>
                    <a:prstGeom prst="rect">
                      <a:avLst/>
                    </a:prstGeom>
                  </pic:spPr>
                </pic:pic>
              </a:graphicData>
            </a:graphic>
          </wp:inline>
        </w:drawing>
      </w:r>
    </w:p>
    <w:p w14:paraId="09F67D4C" w14:textId="77777777" w:rsidR="00E50D2F" w:rsidRPr="00936320" w:rsidRDefault="00E50D2F" w:rsidP="00FB4E11">
      <w:pPr>
        <w:pStyle w:val="BodyText"/>
      </w:pPr>
      <w:r w:rsidRPr="00936320">
        <w:t>The fields in the Validity Details pane are used to define the period for which the license is valid.</w:t>
      </w:r>
    </w:p>
    <w:p w14:paraId="50317838" w14:textId="77777777" w:rsidR="00E50D2F" w:rsidRPr="00936320" w:rsidRDefault="00E50D2F" w:rsidP="00FB4E11">
      <w:pPr>
        <w:pStyle w:val="BodyText"/>
      </w:pPr>
      <w:r w:rsidRPr="00936320">
        <w:t>As a minimum, you must enter a Valid From date.</w:t>
      </w:r>
    </w:p>
    <w:p w14:paraId="14DDCB3F" w14:textId="77777777" w:rsidR="00E50D2F" w:rsidRPr="00936320" w:rsidRDefault="00E50D2F" w:rsidP="00FB4E11">
      <w:pPr>
        <w:pStyle w:val="BodyText"/>
      </w:pPr>
      <w:r w:rsidRPr="00936320">
        <w:t>You may also enter details to qualify the period of validity for the license, such as:</w:t>
      </w:r>
    </w:p>
    <w:p w14:paraId="1BCAEDA1" w14:textId="77777777" w:rsidR="00E50D2F" w:rsidRPr="00936320" w:rsidRDefault="00E50D2F" w:rsidP="00FB4E11">
      <w:pPr>
        <w:pStyle w:val="BulletLevel1"/>
      </w:pPr>
      <w:r w:rsidRPr="00936320">
        <w:t xml:space="preserve">A period after the Valid From date, which is used by </w:t>
      </w:r>
      <w:r w:rsidR="00754AEF" w:rsidRPr="00936320">
        <w:t>Trade Innovation</w:t>
      </w:r>
      <w:r w:rsidRPr="00936320">
        <w:t xml:space="preserve"> to calculate the Valid To date. This value defaults from the license type but can be changed for an individual license</w:t>
      </w:r>
    </w:p>
    <w:p w14:paraId="530B06BD" w14:textId="77777777" w:rsidR="00E50D2F" w:rsidRPr="00936320" w:rsidRDefault="00E50D2F" w:rsidP="00FB4E11">
      <w:pPr>
        <w:pStyle w:val="BulletLevel1"/>
      </w:pPr>
      <w:r w:rsidRPr="00936320">
        <w:t>A Valid To date, which must be before the latest payment date and may fall on a non-business day. It defaults from the license type, but can be changed for an individual license. The Valid To date is derived from the specified validity period and the Valid From date</w:t>
      </w:r>
    </w:p>
    <w:p w14:paraId="690E64E9" w14:textId="77777777" w:rsidR="00E50D2F" w:rsidRPr="00936320" w:rsidRDefault="00E50D2F" w:rsidP="00FB4E11">
      <w:pPr>
        <w:pStyle w:val="BulletLevel1"/>
      </w:pPr>
      <w:r w:rsidRPr="00936320">
        <w:t>A Latest Payment Date, which determines when a license can be booked off. It defaults to the license validity period that is set on the license defaults. It may not be earlier than the Valid To date, and</w:t>
      </w:r>
      <w:r w:rsidR="004D481B" w:rsidRPr="00936320">
        <w:t xml:space="preserve"> can fall on a non-business day</w:t>
      </w:r>
    </w:p>
    <w:p w14:paraId="68424032" w14:textId="77777777" w:rsidR="00E50D2F" w:rsidRPr="00936320" w:rsidRDefault="00E50D2F" w:rsidP="00FB4E11">
      <w:pPr>
        <w:pStyle w:val="Note1"/>
      </w:pPr>
      <w:r w:rsidRPr="00936320">
        <w:t>The Valid From date is validated against the issue dates and start dates of the related transactions, and the Valid To date is validated against the maturity dates or expiry dates of the related transactions.</w:t>
      </w:r>
    </w:p>
    <w:p w14:paraId="50A59A2D" w14:textId="77777777" w:rsidR="00E50D2F" w:rsidRPr="00936320" w:rsidRDefault="00E50D2F" w:rsidP="000F5BE4">
      <w:pPr>
        <w:pStyle w:val="Heading3"/>
      </w:pPr>
      <w:bookmarkStart w:id="122" w:name="_Ref404928508"/>
      <w:bookmarkStart w:id="123" w:name="_Toc411436715"/>
      <w:bookmarkStart w:id="124" w:name="_Toc166665338"/>
      <w:r w:rsidRPr="00936320">
        <w:t>The Shipment Details Pane</w:t>
      </w:r>
      <w:bookmarkEnd w:id="122"/>
      <w:bookmarkEnd w:id="123"/>
      <w:bookmarkEnd w:id="124"/>
    </w:p>
    <w:p w14:paraId="3B142099" w14:textId="078B4C34" w:rsidR="00DC75BD" w:rsidRPr="00936320" w:rsidRDefault="00DC75BD" w:rsidP="00FB4E11">
      <w:pPr>
        <w:pStyle w:val="BodyText"/>
      </w:pPr>
      <w:r>
        <w:rPr>
          <w:noProof/>
        </w:rPr>
        <w:drawing>
          <wp:inline distT="0" distB="0" distL="0" distR="0" wp14:anchorId="05F71606" wp14:editId="5CF69DFB">
            <wp:extent cx="5731510" cy="22136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13610"/>
                    </a:xfrm>
                    <a:prstGeom prst="rect">
                      <a:avLst/>
                    </a:prstGeom>
                  </pic:spPr>
                </pic:pic>
              </a:graphicData>
            </a:graphic>
          </wp:inline>
        </w:drawing>
      </w:r>
    </w:p>
    <w:p w14:paraId="54CAA17D" w14:textId="77777777" w:rsidR="00E50D2F" w:rsidRPr="00936320" w:rsidRDefault="00E50D2F" w:rsidP="004D481B">
      <w:pPr>
        <w:pStyle w:val="NoSpaceAfter"/>
      </w:pPr>
      <w:r w:rsidRPr="00936320">
        <w:t xml:space="preserve">The following table explains what to </w:t>
      </w:r>
      <w:proofErr w:type="gramStart"/>
      <w:r w:rsidRPr="00936320">
        <w:t>enter into</w:t>
      </w:r>
      <w:proofErr w:type="gramEnd"/>
      <w:r w:rsidRPr="00936320">
        <w:t xml:space="preserve"> the fields in the Shipment Details pane:</w:t>
      </w:r>
    </w:p>
    <w:tbl>
      <w:tblPr>
        <w:tblStyle w:val="TableGrid"/>
        <w:tblW w:w="9090" w:type="dxa"/>
        <w:tblLayout w:type="fixed"/>
        <w:tblLook w:val="0020" w:firstRow="1" w:lastRow="0" w:firstColumn="0" w:lastColumn="0" w:noHBand="0" w:noVBand="0"/>
      </w:tblPr>
      <w:tblGrid>
        <w:gridCol w:w="2070"/>
        <w:gridCol w:w="7020"/>
      </w:tblGrid>
      <w:tr w:rsidR="00E50D2F" w:rsidRPr="00936320" w14:paraId="441AD226"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7CA211A5" w14:textId="77777777" w:rsidR="00E50D2F" w:rsidRPr="00936320" w:rsidRDefault="00E50D2F" w:rsidP="00FB4E11">
            <w:pPr>
              <w:pStyle w:val="TableHead"/>
            </w:pPr>
            <w:r w:rsidRPr="00936320">
              <w:t>Field</w:t>
            </w:r>
          </w:p>
        </w:tc>
        <w:tc>
          <w:tcPr>
            <w:tcW w:w="7020" w:type="dxa"/>
          </w:tcPr>
          <w:p w14:paraId="708BF3F4" w14:textId="77777777" w:rsidR="00E50D2F" w:rsidRPr="00936320" w:rsidRDefault="00E50D2F" w:rsidP="00FB4E11">
            <w:pPr>
              <w:pStyle w:val="TableHead"/>
            </w:pPr>
            <w:r w:rsidRPr="00936320">
              <w:t>What to Enter</w:t>
            </w:r>
          </w:p>
        </w:tc>
      </w:tr>
      <w:tr w:rsidR="00E50D2F" w:rsidRPr="00936320" w14:paraId="1DFACD4D"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53FCD50B" w14:textId="77777777" w:rsidR="00E50D2F" w:rsidRPr="00936320" w:rsidRDefault="00E50D2F" w:rsidP="004651B5">
            <w:pPr>
              <w:pStyle w:val="TableText"/>
            </w:pPr>
            <w:r w:rsidRPr="00936320">
              <w:t>Country of Origin</w:t>
            </w:r>
          </w:p>
        </w:tc>
        <w:tc>
          <w:tcPr>
            <w:tcW w:w="7020" w:type="dxa"/>
          </w:tcPr>
          <w:p w14:paraId="2585EDA6" w14:textId="77777777" w:rsidR="00E50D2F" w:rsidRPr="00936320" w:rsidRDefault="00E50D2F" w:rsidP="004651B5">
            <w:pPr>
              <w:pStyle w:val="TableText"/>
            </w:pPr>
            <w:r w:rsidRPr="00936320">
              <w:t>The country of origin of the goods to be shipped.</w:t>
            </w:r>
          </w:p>
        </w:tc>
      </w:tr>
      <w:tr w:rsidR="00E50D2F" w:rsidRPr="00936320" w14:paraId="2346D382"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39A2CE34" w14:textId="77777777" w:rsidR="00E50D2F" w:rsidRPr="00936320" w:rsidRDefault="00E50D2F" w:rsidP="004651B5">
            <w:pPr>
              <w:pStyle w:val="TableText"/>
            </w:pPr>
            <w:r w:rsidRPr="00936320">
              <w:t>Incoterms.</w:t>
            </w:r>
          </w:p>
        </w:tc>
        <w:tc>
          <w:tcPr>
            <w:tcW w:w="7020" w:type="dxa"/>
          </w:tcPr>
          <w:p w14:paraId="35CD6274" w14:textId="77777777" w:rsidR="00E50D2F" w:rsidRPr="00936320" w:rsidRDefault="00E50D2F" w:rsidP="004651B5">
            <w:pPr>
              <w:pStyle w:val="TableText"/>
            </w:pPr>
            <w:r w:rsidRPr="00936320">
              <w:t>Incoterms.</w:t>
            </w:r>
          </w:p>
        </w:tc>
      </w:tr>
      <w:tr w:rsidR="00E50D2F" w:rsidRPr="00936320" w14:paraId="12C62AD0"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6F2CF41F" w14:textId="77777777" w:rsidR="00E50D2F" w:rsidRPr="00936320" w:rsidRDefault="00E50D2F" w:rsidP="004651B5">
            <w:pPr>
              <w:pStyle w:val="TableText"/>
            </w:pPr>
            <w:r w:rsidRPr="00936320">
              <w:lastRenderedPageBreak/>
              <w:t>Goods Code</w:t>
            </w:r>
          </w:p>
        </w:tc>
        <w:tc>
          <w:tcPr>
            <w:tcW w:w="7020" w:type="dxa"/>
          </w:tcPr>
          <w:p w14:paraId="2A9E378F" w14:textId="77777777" w:rsidR="00E50D2F" w:rsidRPr="00936320" w:rsidRDefault="00E50D2F" w:rsidP="004651B5">
            <w:pPr>
              <w:pStyle w:val="TableText"/>
            </w:pPr>
            <w:r w:rsidRPr="00936320">
              <w:t xml:space="preserve">The </w:t>
            </w:r>
            <w:r w:rsidR="00754AEF" w:rsidRPr="00936320">
              <w:t>Trade Innovation</w:t>
            </w:r>
            <w:r w:rsidRPr="00936320">
              <w:t xml:space="preserve"> code for the goods.</w:t>
            </w:r>
          </w:p>
        </w:tc>
      </w:tr>
      <w:tr w:rsidR="00E50D2F" w:rsidRPr="00936320" w14:paraId="7D5418A8"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57653A70" w14:textId="77777777" w:rsidR="00E50D2F" w:rsidRPr="00936320" w:rsidRDefault="00E50D2F" w:rsidP="004651B5">
            <w:pPr>
              <w:pStyle w:val="TableText"/>
            </w:pPr>
            <w:r w:rsidRPr="00936320">
              <w:t>Goods Description</w:t>
            </w:r>
          </w:p>
        </w:tc>
        <w:tc>
          <w:tcPr>
            <w:tcW w:w="7020" w:type="dxa"/>
          </w:tcPr>
          <w:p w14:paraId="617FC276" w14:textId="77777777" w:rsidR="00E50D2F" w:rsidRPr="00936320" w:rsidRDefault="00E50D2F" w:rsidP="004651B5">
            <w:pPr>
              <w:pStyle w:val="TableText"/>
            </w:pPr>
            <w:r w:rsidRPr="00936320">
              <w:t>A description of the goods.</w:t>
            </w:r>
          </w:p>
        </w:tc>
      </w:tr>
      <w:tr w:rsidR="00E50D2F" w:rsidRPr="00936320" w14:paraId="68785C6A"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1E42E589" w14:textId="77777777" w:rsidR="00E50D2F" w:rsidRPr="00936320" w:rsidRDefault="00E50D2F" w:rsidP="004651B5">
            <w:pPr>
              <w:pStyle w:val="TableText"/>
            </w:pPr>
            <w:r w:rsidRPr="00936320">
              <w:t>Country of Supply</w:t>
            </w:r>
          </w:p>
        </w:tc>
        <w:tc>
          <w:tcPr>
            <w:tcW w:w="7020" w:type="dxa"/>
          </w:tcPr>
          <w:p w14:paraId="076C8008" w14:textId="77777777" w:rsidR="00E50D2F" w:rsidRPr="00936320" w:rsidRDefault="00E50D2F" w:rsidP="004651B5">
            <w:pPr>
              <w:pStyle w:val="TableText"/>
            </w:pPr>
            <w:r w:rsidRPr="00936320">
              <w:t>The country of supply.</w:t>
            </w:r>
          </w:p>
        </w:tc>
      </w:tr>
      <w:tr w:rsidR="00E50D2F" w:rsidRPr="00936320" w14:paraId="34A4208C"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6C7E4079" w14:textId="77777777" w:rsidR="00E50D2F" w:rsidRPr="00936320" w:rsidRDefault="00E50D2F" w:rsidP="004651B5">
            <w:pPr>
              <w:pStyle w:val="TableText"/>
            </w:pPr>
            <w:r w:rsidRPr="00936320">
              <w:t>Additional Information</w:t>
            </w:r>
          </w:p>
        </w:tc>
        <w:tc>
          <w:tcPr>
            <w:tcW w:w="7020" w:type="dxa"/>
          </w:tcPr>
          <w:p w14:paraId="427C465C" w14:textId="77777777" w:rsidR="00E50D2F" w:rsidRPr="00936320" w:rsidRDefault="00E50D2F" w:rsidP="004651B5">
            <w:pPr>
              <w:pStyle w:val="TableText"/>
            </w:pPr>
            <w:r w:rsidRPr="00936320">
              <w:t>Free format additional information, using the More button if you wish to view more than will fit in the available space.</w:t>
            </w:r>
          </w:p>
        </w:tc>
      </w:tr>
      <w:tr w:rsidR="00E50D2F" w:rsidRPr="00936320" w14:paraId="09E6D347"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17816EA2" w14:textId="77777777" w:rsidR="00E50D2F" w:rsidRPr="00936320" w:rsidRDefault="00E50D2F" w:rsidP="004651B5">
            <w:pPr>
              <w:pStyle w:val="TableText"/>
            </w:pPr>
            <w:r w:rsidRPr="00936320">
              <w:t>Narrative</w:t>
            </w:r>
          </w:p>
        </w:tc>
        <w:tc>
          <w:tcPr>
            <w:tcW w:w="7020" w:type="dxa"/>
          </w:tcPr>
          <w:p w14:paraId="5B7DF32C" w14:textId="77777777" w:rsidR="00E50D2F" w:rsidRPr="00936320" w:rsidRDefault="00E50D2F" w:rsidP="004651B5">
            <w:pPr>
              <w:pStyle w:val="TableText"/>
            </w:pPr>
            <w:r w:rsidRPr="00936320">
              <w:t>Fee format narrative. his narrative text would automatically be included in a SWIFT message if you were to use an MT999 to correspond with another party.</w:t>
            </w:r>
          </w:p>
        </w:tc>
      </w:tr>
    </w:tbl>
    <w:p w14:paraId="7743FAAB" w14:textId="77777777" w:rsidR="00E50D2F" w:rsidRPr="00936320" w:rsidRDefault="00E50D2F" w:rsidP="000F5BE4">
      <w:pPr>
        <w:pStyle w:val="Heading3"/>
      </w:pPr>
      <w:bookmarkStart w:id="125" w:name="O_47222"/>
      <w:bookmarkStart w:id="126" w:name="_Toc317758862"/>
      <w:bookmarkStart w:id="127" w:name="_Toc373155439"/>
      <w:bookmarkStart w:id="128" w:name="_Toc411436716"/>
      <w:bookmarkStart w:id="129" w:name="_Ref432450523"/>
      <w:bookmarkStart w:id="130" w:name="_Toc166665339"/>
      <w:bookmarkEnd w:id="125"/>
      <w:r w:rsidRPr="00936320">
        <w:t>The Other Details Pane</w:t>
      </w:r>
      <w:bookmarkEnd w:id="126"/>
      <w:bookmarkEnd w:id="127"/>
      <w:bookmarkEnd w:id="128"/>
      <w:bookmarkEnd w:id="129"/>
      <w:bookmarkEnd w:id="130"/>
    </w:p>
    <w:p w14:paraId="75B582AC" w14:textId="592E8B98" w:rsidR="00E64769" w:rsidRPr="00936320" w:rsidRDefault="00E64769" w:rsidP="00FB4E11">
      <w:pPr>
        <w:pStyle w:val="BodyText"/>
      </w:pPr>
      <w:r>
        <w:rPr>
          <w:noProof/>
        </w:rPr>
        <w:drawing>
          <wp:inline distT="0" distB="0" distL="0" distR="0" wp14:anchorId="69AE3B7B" wp14:editId="0B909230">
            <wp:extent cx="5731510" cy="11182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18235"/>
                    </a:xfrm>
                    <a:prstGeom prst="rect">
                      <a:avLst/>
                    </a:prstGeom>
                  </pic:spPr>
                </pic:pic>
              </a:graphicData>
            </a:graphic>
          </wp:inline>
        </w:drawing>
      </w:r>
    </w:p>
    <w:p w14:paraId="0E374773" w14:textId="77777777" w:rsidR="00E50D2F" w:rsidRPr="00936320" w:rsidRDefault="00E50D2F" w:rsidP="004D481B">
      <w:pPr>
        <w:pStyle w:val="NoSpaceAfter"/>
      </w:pPr>
      <w:r w:rsidRPr="00936320">
        <w:t xml:space="preserve">The following table explains what to </w:t>
      </w:r>
      <w:proofErr w:type="gramStart"/>
      <w:r w:rsidRPr="00936320">
        <w:t>enter into</w:t>
      </w:r>
      <w:proofErr w:type="gramEnd"/>
      <w:r w:rsidRPr="00936320">
        <w:t xml:space="preserve"> the fields in the Other Details pane. The pane can include up to five fields, which will have been defined by your bank for accounting and analysis purposes:</w:t>
      </w:r>
    </w:p>
    <w:tbl>
      <w:tblPr>
        <w:tblStyle w:val="TableGrid"/>
        <w:tblW w:w="9090" w:type="dxa"/>
        <w:tblLayout w:type="fixed"/>
        <w:tblLook w:val="0020" w:firstRow="1" w:lastRow="0" w:firstColumn="0" w:lastColumn="0" w:noHBand="0" w:noVBand="0"/>
      </w:tblPr>
      <w:tblGrid>
        <w:gridCol w:w="2070"/>
        <w:gridCol w:w="7020"/>
      </w:tblGrid>
      <w:tr w:rsidR="00E50D2F" w:rsidRPr="00936320" w14:paraId="015B1BDC" w14:textId="77777777" w:rsidTr="004F28FD">
        <w:trPr>
          <w:cnfStyle w:val="100000000000" w:firstRow="1" w:lastRow="0" w:firstColumn="0" w:lastColumn="0" w:oddVBand="0" w:evenVBand="0" w:oddHBand="0" w:evenHBand="0" w:firstRowFirstColumn="0" w:firstRowLastColumn="0" w:lastRowFirstColumn="0" w:lastRowLastColumn="0"/>
          <w:trHeight w:val="432"/>
          <w:tblHeader/>
        </w:trPr>
        <w:tc>
          <w:tcPr>
            <w:tcW w:w="0" w:type="dxa"/>
          </w:tcPr>
          <w:p w14:paraId="79BCD0F4" w14:textId="77777777" w:rsidR="00E50D2F" w:rsidRPr="00936320" w:rsidRDefault="00E50D2F" w:rsidP="00FB4E11">
            <w:pPr>
              <w:pStyle w:val="TableHead"/>
            </w:pPr>
            <w:r w:rsidRPr="00936320">
              <w:t xml:space="preserve"> Field</w:t>
            </w:r>
          </w:p>
        </w:tc>
        <w:tc>
          <w:tcPr>
            <w:tcW w:w="0" w:type="dxa"/>
          </w:tcPr>
          <w:p w14:paraId="5BA91A19" w14:textId="77777777" w:rsidR="00E50D2F" w:rsidRPr="00936320" w:rsidRDefault="00E50D2F" w:rsidP="00FB4E11">
            <w:pPr>
              <w:pStyle w:val="TableHead"/>
            </w:pPr>
            <w:r w:rsidRPr="00936320">
              <w:t>What to Enter</w:t>
            </w:r>
          </w:p>
        </w:tc>
      </w:tr>
      <w:tr w:rsidR="00E50D2F" w:rsidRPr="00936320" w14:paraId="2EA35E61"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1F48742E" w14:textId="77777777" w:rsidR="00E50D2F" w:rsidRPr="00936320" w:rsidRDefault="00E50D2F" w:rsidP="004651B5">
            <w:pPr>
              <w:pStyle w:val="TableText"/>
            </w:pPr>
            <w:r w:rsidRPr="00936320">
              <w:t xml:space="preserve">Input Branch </w:t>
            </w:r>
          </w:p>
        </w:tc>
        <w:tc>
          <w:tcPr>
            <w:tcW w:w="7020" w:type="dxa"/>
          </w:tcPr>
          <w:p w14:paraId="399DD776" w14:textId="77777777" w:rsidR="00E50D2F" w:rsidRPr="00936320" w:rsidRDefault="00E50D2F" w:rsidP="004651B5">
            <w:pPr>
              <w:pStyle w:val="TableText"/>
            </w:pPr>
            <w:r w:rsidRPr="00936320">
              <w:t>The input branch for the transaction. The input branch is set from either:</w:t>
            </w:r>
          </w:p>
          <w:p w14:paraId="775FAB88" w14:textId="77777777" w:rsidR="00E50D2F" w:rsidRPr="00936320" w:rsidRDefault="00E50D2F" w:rsidP="00FB4E11">
            <w:pPr>
              <w:pStyle w:val="TableBullet1"/>
            </w:pPr>
            <w:r w:rsidRPr="00936320">
              <w:t xml:space="preserve">the accounting </w:t>
            </w:r>
            <w:r w:rsidR="002007A6" w:rsidRPr="00936320">
              <w:t>branch from the user’s team, or</w:t>
            </w:r>
          </w:p>
          <w:p w14:paraId="2C448AE0" w14:textId="77777777" w:rsidR="00E50D2F" w:rsidRPr="00936320" w:rsidRDefault="00E50D2F" w:rsidP="00FB4E11">
            <w:pPr>
              <w:pStyle w:val="TableBullet1"/>
            </w:pPr>
            <w:r w:rsidRPr="00936320">
              <w:t xml:space="preserve">the transaction branch for user if the user has a default transaction branch or is </w:t>
            </w:r>
            <w:r w:rsidR="002007A6" w:rsidRPr="00936320">
              <w:t>locked to a specific branch, or</w:t>
            </w:r>
          </w:p>
          <w:p w14:paraId="5C9080A0" w14:textId="77777777" w:rsidR="00E50D2F" w:rsidRPr="00936320" w:rsidRDefault="00E50D2F" w:rsidP="00FB4E11">
            <w:pPr>
              <w:pStyle w:val="TableBullet1"/>
            </w:pPr>
            <w:r w:rsidRPr="00936320">
              <w:t>a branch associated with the user where the user can enter transactions for several branches for a team</w:t>
            </w:r>
          </w:p>
        </w:tc>
      </w:tr>
      <w:tr w:rsidR="00E50D2F" w:rsidRPr="00936320" w14:paraId="6BFB639B"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4C688A6D" w14:textId="77777777" w:rsidR="00E50D2F" w:rsidRPr="00936320" w:rsidRDefault="00E50D2F" w:rsidP="004651B5">
            <w:pPr>
              <w:pStyle w:val="TableText"/>
            </w:pPr>
            <w:r w:rsidRPr="00936320">
              <w:t>Behalf Of Branch</w:t>
            </w:r>
          </w:p>
        </w:tc>
        <w:tc>
          <w:tcPr>
            <w:tcW w:w="7020" w:type="dxa"/>
          </w:tcPr>
          <w:p w14:paraId="6193539C" w14:textId="77777777" w:rsidR="00E50D2F" w:rsidRPr="00936320" w:rsidRDefault="00B246B0" w:rsidP="004651B5">
            <w:pPr>
              <w:pStyle w:val="TableText"/>
            </w:pPr>
            <w:r>
              <w:t>The behalf of branch for the transaction as entered by the user or set from the incoming SWIFT or gateway message. The behalf of branch determines the parameter sets that are to be used to generate charges, documents, postings, etc. during transaction processing. The branch can be changed to any other branch within the same main banking entity that shares the same parameter sets.</w:t>
            </w:r>
          </w:p>
        </w:tc>
      </w:tr>
      <w:tr w:rsidR="00E50D2F" w:rsidRPr="00936320" w14:paraId="359C0094" w14:textId="77777777" w:rsidTr="00FB4E11">
        <w:trPr>
          <w:cnfStyle w:val="000000100000" w:firstRow="0" w:lastRow="0" w:firstColumn="0" w:lastColumn="0" w:oddVBand="0" w:evenVBand="0" w:oddHBand="1" w:evenHBand="0" w:firstRowFirstColumn="0" w:firstRowLastColumn="0" w:lastRowFirstColumn="0" w:lastRowLastColumn="0"/>
          <w:trHeight w:val="679"/>
        </w:trPr>
        <w:tc>
          <w:tcPr>
            <w:tcW w:w="2070" w:type="dxa"/>
          </w:tcPr>
          <w:p w14:paraId="26292CA4" w14:textId="77777777" w:rsidR="00E50D2F" w:rsidRPr="00936320" w:rsidRDefault="00E50D2F" w:rsidP="004651B5">
            <w:pPr>
              <w:pStyle w:val="TableText"/>
            </w:pPr>
            <w:r w:rsidRPr="00936320">
              <w:t>Sundry Ref Code</w:t>
            </w:r>
            <w:r w:rsidRPr="00936320">
              <w:br/>
              <w:t>/User Code 1/</w:t>
            </w:r>
            <w:r w:rsidRPr="00936320">
              <w:br/>
              <w:t>User Code 2</w:t>
            </w:r>
          </w:p>
        </w:tc>
        <w:tc>
          <w:tcPr>
            <w:tcW w:w="7020" w:type="dxa"/>
          </w:tcPr>
          <w:p w14:paraId="14A268D2" w14:textId="77777777" w:rsidR="00E50D2F" w:rsidRPr="00936320" w:rsidRDefault="00E50D2F" w:rsidP="004651B5">
            <w:pPr>
              <w:pStyle w:val="TableText"/>
            </w:pPr>
            <w:r w:rsidRPr="00936320">
              <w:t>You may use these fields to enter values for analysis purposes. Your bank will have devised its own system for using these fields.</w:t>
            </w:r>
          </w:p>
        </w:tc>
      </w:tr>
      <w:tr w:rsidR="00E50D2F" w:rsidRPr="00936320" w14:paraId="4CB97A89"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3CCF01C3" w14:textId="77777777" w:rsidR="00E50D2F" w:rsidRPr="00936320" w:rsidRDefault="00E50D2F" w:rsidP="004651B5">
            <w:pPr>
              <w:pStyle w:val="TableText"/>
            </w:pPr>
            <w:r w:rsidRPr="00936320">
              <w:t>Responsible Team</w:t>
            </w:r>
          </w:p>
        </w:tc>
        <w:tc>
          <w:tcPr>
            <w:tcW w:w="7020" w:type="dxa"/>
          </w:tcPr>
          <w:p w14:paraId="6C836111" w14:textId="77777777" w:rsidR="00E50D2F" w:rsidRPr="00936320" w:rsidRDefault="00E50D2F" w:rsidP="004651B5">
            <w:pPr>
              <w:pStyle w:val="TableText"/>
            </w:pPr>
            <w:bookmarkStart w:id="131" w:name="OLE_LINK1"/>
            <w:bookmarkStart w:id="132" w:name="OLE_LINK2"/>
            <w:r w:rsidRPr="00936320">
              <w:t xml:space="preserve">The team that has overall responsibility for the master e.g. as the contact to resolve any queries or issues regarding the master and associated events. </w:t>
            </w:r>
            <w:r w:rsidR="00754AEF" w:rsidRPr="00936320">
              <w:t>Trade Innovation</w:t>
            </w:r>
            <w:r w:rsidRPr="00936320">
              <w:t xml:space="preserve"> defaults the responsible team when creating the transaction as follows:</w:t>
            </w:r>
          </w:p>
          <w:p w14:paraId="072FB11B" w14:textId="77777777" w:rsidR="00E50D2F" w:rsidRPr="00936320" w:rsidRDefault="00E50D2F" w:rsidP="00FB4E11">
            <w:pPr>
              <w:pStyle w:val="TableBullet1"/>
            </w:pPr>
            <w:r w:rsidRPr="00936320">
              <w:t>Manual – set from team creating the transaction</w:t>
            </w:r>
          </w:p>
          <w:p w14:paraId="4BAA09E3" w14:textId="77777777" w:rsidR="00E50D2F" w:rsidRPr="00936320" w:rsidRDefault="00E50D2F" w:rsidP="00FB4E11">
            <w:pPr>
              <w:pStyle w:val="TableBullet1"/>
            </w:pPr>
            <w:r w:rsidRPr="00936320">
              <w:t>Gateway – set from the team specified on the incoming message (if present and valid) otherwise to the team to which the transaction is assigned through workflow allocation based on the behalf of branch</w:t>
            </w:r>
          </w:p>
          <w:p w14:paraId="554A2254" w14:textId="77777777" w:rsidR="00E50D2F" w:rsidRPr="00936320" w:rsidRDefault="00E50D2F" w:rsidP="00FB4E11">
            <w:pPr>
              <w:pStyle w:val="TableBullet1"/>
            </w:pPr>
            <w:r w:rsidRPr="00936320">
              <w:t>SWIFT – set to the team to which the transaction is assigned through workflow allocation based on the behalf of branch</w:t>
            </w:r>
          </w:p>
          <w:p w14:paraId="1813DAB1" w14:textId="77777777" w:rsidR="00E50D2F" w:rsidRPr="00936320" w:rsidRDefault="00E50D2F" w:rsidP="004651B5">
            <w:pPr>
              <w:pStyle w:val="TableText"/>
            </w:pPr>
            <w:r w:rsidRPr="00936320">
              <w:t>It can be changed, if required, to either the team associated with the primary customer, default team for the product or the user’s current team.</w:t>
            </w:r>
            <w:bookmarkEnd w:id="131"/>
            <w:bookmarkEnd w:id="132"/>
          </w:p>
        </w:tc>
      </w:tr>
      <w:tr w:rsidR="00E50D2F" w:rsidRPr="00936320" w14:paraId="64BE866F"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029EC97E" w14:textId="77777777" w:rsidR="00E50D2F" w:rsidRPr="00936320" w:rsidRDefault="00E50D2F" w:rsidP="004651B5">
            <w:pPr>
              <w:pStyle w:val="TableText"/>
            </w:pPr>
            <w:r w:rsidRPr="00936320">
              <w:t>Mail To Branch</w:t>
            </w:r>
          </w:p>
        </w:tc>
        <w:tc>
          <w:tcPr>
            <w:tcW w:w="7020" w:type="dxa"/>
          </w:tcPr>
          <w:p w14:paraId="20A49395" w14:textId="77777777" w:rsidR="00E50D2F" w:rsidRPr="00936320" w:rsidRDefault="00E50D2F" w:rsidP="004651B5">
            <w:pPr>
              <w:pStyle w:val="TableText"/>
            </w:pPr>
            <w:r w:rsidRPr="00936320">
              <w:t>The mail to branch can be set to any branch within the main banking entity of the behalf of branch.</w:t>
            </w:r>
          </w:p>
        </w:tc>
      </w:tr>
      <w:tr w:rsidR="00E50D2F" w:rsidRPr="00936320" w14:paraId="594C19B0"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7C382FDB" w14:textId="77777777" w:rsidR="00E50D2F" w:rsidRPr="00936320" w:rsidRDefault="00E50D2F" w:rsidP="004651B5">
            <w:pPr>
              <w:pStyle w:val="TableText"/>
            </w:pPr>
            <w:r w:rsidRPr="00936320">
              <w:t>Responsible User</w:t>
            </w:r>
          </w:p>
        </w:tc>
        <w:tc>
          <w:tcPr>
            <w:tcW w:w="7020" w:type="dxa"/>
          </w:tcPr>
          <w:p w14:paraId="1290D51B" w14:textId="77777777" w:rsidR="00E50D2F" w:rsidRPr="00936320" w:rsidRDefault="00E50D2F" w:rsidP="004651B5">
            <w:pPr>
              <w:pStyle w:val="TableText"/>
            </w:pPr>
            <w:r w:rsidRPr="00936320">
              <w:t>A user that has responsibility for the master e.g. as the contact to resolve any queries or issues regarding the master and associated events. This can be any user assigned to the responsible team.</w:t>
            </w:r>
          </w:p>
        </w:tc>
      </w:tr>
      <w:tr w:rsidR="00E50D2F" w:rsidRPr="00936320" w14:paraId="73D2532E"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57826D92" w14:textId="77777777" w:rsidR="00E50D2F" w:rsidRPr="00936320" w:rsidRDefault="00E50D2F" w:rsidP="004651B5">
            <w:pPr>
              <w:pStyle w:val="TableText"/>
            </w:pPr>
            <w:r w:rsidRPr="00936320">
              <w:t>Related Reference</w:t>
            </w:r>
          </w:p>
        </w:tc>
        <w:tc>
          <w:tcPr>
            <w:tcW w:w="7020" w:type="dxa"/>
          </w:tcPr>
          <w:p w14:paraId="41B264D0" w14:textId="77777777" w:rsidR="00E50D2F" w:rsidRPr="00936320" w:rsidRDefault="00E50D2F" w:rsidP="004651B5">
            <w:pPr>
              <w:pStyle w:val="TableText"/>
            </w:pPr>
            <w:r w:rsidRPr="00936320">
              <w:t>You can specify any other transaction to which this letter of credit is related. This may already have been done when the master record was created. You can use the browser to select from possible references to include.</w:t>
            </w:r>
          </w:p>
        </w:tc>
      </w:tr>
      <w:tr w:rsidR="00E50D2F" w:rsidRPr="00936320" w14:paraId="614B51A7"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66CE00D2" w14:textId="77777777" w:rsidR="00E50D2F" w:rsidRPr="00936320" w:rsidRDefault="00E50D2F" w:rsidP="004651B5">
            <w:pPr>
              <w:pStyle w:val="TableText"/>
            </w:pPr>
            <w:r w:rsidRPr="00936320">
              <w:lastRenderedPageBreak/>
              <w:t>Preferred Currency</w:t>
            </w:r>
          </w:p>
        </w:tc>
        <w:tc>
          <w:tcPr>
            <w:tcW w:w="7020" w:type="dxa"/>
          </w:tcPr>
          <w:p w14:paraId="080274E6" w14:textId="77777777" w:rsidR="00E50D2F" w:rsidRPr="00936320" w:rsidRDefault="00E50D2F" w:rsidP="004651B5">
            <w:pPr>
              <w:pStyle w:val="TableText"/>
            </w:pPr>
            <w:r w:rsidRPr="00936320">
              <w:t xml:space="preserve">The currency in which the principal party's charges will be collected. If you leave this field blank, </w:t>
            </w:r>
            <w:r w:rsidR="00754AEF" w:rsidRPr="00936320">
              <w:t>Trade Innovation</w:t>
            </w:r>
            <w:r w:rsidRPr="00936320">
              <w:t xml:space="preserve"> uses the customer charge currency defined on the product options.</w:t>
            </w:r>
          </w:p>
        </w:tc>
      </w:tr>
      <w:tr w:rsidR="00E50D2F" w:rsidRPr="00936320" w14:paraId="096AFDDB"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2188530E" w14:textId="77777777" w:rsidR="00E50D2F" w:rsidRPr="00936320" w:rsidRDefault="00E50D2F" w:rsidP="004651B5">
            <w:pPr>
              <w:pStyle w:val="TableText"/>
            </w:pPr>
            <w:r w:rsidRPr="00936320">
              <w:t>Billing Level</w:t>
            </w:r>
          </w:p>
        </w:tc>
        <w:tc>
          <w:tcPr>
            <w:tcW w:w="7020" w:type="dxa"/>
          </w:tcPr>
          <w:p w14:paraId="05E6FC55" w14:textId="77777777" w:rsidR="00E50D2F" w:rsidRPr="00936320" w:rsidRDefault="00E50D2F" w:rsidP="004651B5">
            <w:pPr>
              <w:pStyle w:val="TableText"/>
            </w:pPr>
            <w:r w:rsidRPr="00936320">
              <w:t>Select whether charges for this license should be billed at customer level, tran</w:t>
            </w:r>
            <w:r w:rsidR="004D481B" w:rsidRPr="00936320">
              <w:t>saction level or product level.</w:t>
            </w:r>
          </w:p>
        </w:tc>
      </w:tr>
    </w:tbl>
    <w:p w14:paraId="68997E24" w14:textId="77777777" w:rsidR="00966A0C" w:rsidRPr="00966A0C" w:rsidRDefault="00966A0C" w:rsidP="00FB4E11">
      <w:pPr>
        <w:pStyle w:val="BodyText"/>
      </w:pPr>
      <w:bookmarkStart w:id="133" w:name="O_24581"/>
      <w:bookmarkStart w:id="134" w:name="_Toc317758863"/>
      <w:bookmarkStart w:id="135" w:name="_Toc373155440"/>
      <w:bookmarkStart w:id="136" w:name="_Toc390475612"/>
      <w:bookmarkStart w:id="137" w:name="_Toc411436717"/>
      <w:bookmarkEnd w:id="133"/>
      <w:r w:rsidRPr="00966A0C">
        <w:br w:type="page"/>
      </w:r>
    </w:p>
    <w:p w14:paraId="63892522" w14:textId="77777777" w:rsidR="00E50D2F" w:rsidRPr="00936320" w:rsidRDefault="00E50D2F" w:rsidP="000F5BE4">
      <w:pPr>
        <w:pStyle w:val="Heading2"/>
      </w:pPr>
      <w:bookmarkStart w:id="138" w:name="_Toc166665340"/>
      <w:r w:rsidRPr="00936320">
        <w:lastRenderedPageBreak/>
        <w:t>Validation</w:t>
      </w:r>
      <w:bookmarkEnd w:id="134"/>
      <w:bookmarkEnd w:id="135"/>
      <w:bookmarkEnd w:id="136"/>
      <w:bookmarkEnd w:id="137"/>
      <w:bookmarkEnd w:id="138"/>
    </w:p>
    <w:p w14:paraId="1F62856F" w14:textId="77777777" w:rsidR="00E50D2F" w:rsidRPr="00936320" w:rsidRDefault="00754AEF" w:rsidP="00FB4E11">
      <w:pPr>
        <w:pStyle w:val="BodyText"/>
      </w:pPr>
      <w:r w:rsidRPr="00936320">
        <w:t>Trade Innovation</w:t>
      </w:r>
      <w:r w:rsidR="00E50D2F" w:rsidRPr="00936320">
        <w:t xml:space="preserve"> performs validation once you have completed an Input step, depending on how your system has been set up. As a minimum, the following apply.</w:t>
      </w:r>
    </w:p>
    <w:p w14:paraId="21A5C55F" w14:textId="77777777" w:rsidR="00E50D2F" w:rsidRPr="00936320" w:rsidRDefault="00E50D2F" w:rsidP="00FB4E11">
      <w:pPr>
        <w:pStyle w:val="BodyText"/>
      </w:pPr>
      <w:r w:rsidRPr="00936320">
        <w:t>Your bank will have defined whether a license is required or is optional for each product or product type. If the selected product or product type indicates that a license is required, then you must have linked at least one valid license to the transaction. You cannot link a license if the selected product or product type indicates that a license is not required. Your bank will also have defined whether multiple licenses are allowed for each product and product type.</w:t>
      </w:r>
    </w:p>
    <w:p w14:paraId="6F91A361" w14:textId="77777777" w:rsidR="00E50D2F" w:rsidRPr="00936320" w:rsidRDefault="00E50D2F" w:rsidP="00FB4E11">
      <w:pPr>
        <w:pStyle w:val="BodyText"/>
      </w:pPr>
      <w:r w:rsidRPr="00936320">
        <w:t>The amount attributed to the license must be less than or equal to the license available amount (including any reservations).</w:t>
      </w:r>
    </w:p>
    <w:p w14:paraId="4135A039" w14:textId="77777777" w:rsidR="00E50D2F" w:rsidRPr="00936320" w:rsidRDefault="00E50D2F" w:rsidP="00FB4E11">
      <w:pPr>
        <w:pStyle w:val="BodyText"/>
      </w:pPr>
      <w:r w:rsidRPr="00936320">
        <w:t>For cumulative revolving letters of credit, the license amount must be sufficient to cover the maximum amount available for the letter of credit (in other words, the letter of credit amount multiplied by the maximum number of the revolving cycle).</w:t>
      </w:r>
    </w:p>
    <w:p w14:paraId="41507868" w14:textId="77777777" w:rsidR="00E50D2F" w:rsidRPr="00936320" w:rsidRDefault="00E50D2F" w:rsidP="00FB4E11">
      <w:pPr>
        <w:pStyle w:val="BodyText"/>
      </w:pPr>
      <w:r w:rsidRPr="00936320">
        <w:t>The total amount attributed across all licenses (in other words, the total allocated amount) must not exceed the transaction amount. In the case of letters of credit, standbys and guarantees this also includes the amount tolerance. If the amount of the transaction (plus tolerance, where applicable) is not fully attributed to one or more licenses, a warning is displayed.</w:t>
      </w:r>
    </w:p>
    <w:p w14:paraId="4728157B" w14:textId="77777777" w:rsidR="00E50D2F" w:rsidRPr="00936320" w:rsidRDefault="00E50D2F" w:rsidP="00FB4E11">
      <w:pPr>
        <w:pStyle w:val="BodyText"/>
      </w:pPr>
      <w:r w:rsidRPr="00936320">
        <w:t>The transaction and license currency must match unless the license has specifically been set to allow multiple currencies.</w:t>
      </w:r>
    </w:p>
    <w:p w14:paraId="67CCF882" w14:textId="77777777" w:rsidR="00E50D2F" w:rsidRPr="00936320" w:rsidRDefault="00E50D2F" w:rsidP="00FB4E11">
      <w:pPr>
        <w:pStyle w:val="BodyText"/>
      </w:pPr>
      <w:r w:rsidRPr="00936320">
        <w:t xml:space="preserve">Your bank may have defined the party roles to be used as the principal and </w:t>
      </w:r>
      <w:proofErr w:type="spellStart"/>
      <w:r w:rsidRPr="00936320">
        <w:t>non principal</w:t>
      </w:r>
      <w:proofErr w:type="spellEnd"/>
      <w:r w:rsidRPr="00936320">
        <w:t xml:space="preserve"> for each license type </w:t>
      </w:r>
      <w:proofErr w:type="gramStart"/>
      <w:r w:rsidRPr="00936320">
        <w:t>and also</w:t>
      </w:r>
      <w:proofErr w:type="gramEnd"/>
      <w:r w:rsidRPr="00936320">
        <w:t xml:space="preserve"> for each product type and, if so, these must match. For example, your bank might have nominated the principal party of the import license to be validated against the applicant party of the import letter of credit; the principal party of the export license (in other words, the exporter’s name) may have been nominated to be validated against the beneficiary of the export letter of credit.</w:t>
      </w:r>
    </w:p>
    <w:p w14:paraId="3D66717D" w14:textId="77777777" w:rsidR="00E50D2F" w:rsidRPr="00936320" w:rsidRDefault="00E50D2F" w:rsidP="00FB4E11">
      <w:pPr>
        <w:pStyle w:val="BodyText"/>
      </w:pPr>
      <w:r w:rsidRPr="00936320">
        <w:t xml:space="preserve">The allocated amount of the shipment will be validated against that on the license. For shipment with </w:t>
      </w:r>
      <w:proofErr w:type="spellStart"/>
      <w:r w:rsidRPr="00936320">
        <w:t>non FOB</w:t>
      </w:r>
      <w:proofErr w:type="spellEnd"/>
      <w:r w:rsidRPr="00936320">
        <w:t xml:space="preserve"> incoterms, you can specify the transaction amount that represents the FOB value for validation.</w:t>
      </w:r>
    </w:p>
    <w:p w14:paraId="1E1C8F38" w14:textId="77777777" w:rsidR="00E50D2F" w:rsidRPr="00936320" w:rsidRDefault="00E50D2F" w:rsidP="00FB4E11">
      <w:pPr>
        <w:pStyle w:val="BodyText"/>
      </w:pPr>
      <w:r w:rsidRPr="00936320">
        <w:t>Your bank has the option to validate single goods codes against the HS code on the license.</w:t>
      </w:r>
    </w:p>
    <w:p w14:paraId="48AF23C5" w14:textId="77777777" w:rsidR="00E50D2F" w:rsidRPr="00936320" w:rsidRDefault="00E50D2F" w:rsidP="00FB4E11">
      <w:pPr>
        <w:pStyle w:val="BodyText"/>
      </w:pPr>
      <w:r w:rsidRPr="00936320">
        <w:t>The transaction issue date or start date must not be before the license issue date.</w:t>
      </w:r>
    </w:p>
    <w:p w14:paraId="01FC20E6" w14:textId="77777777" w:rsidR="00E50D2F" w:rsidRPr="00936320" w:rsidRDefault="00E50D2F" w:rsidP="00FB4E11">
      <w:pPr>
        <w:pStyle w:val="BodyText"/>
      </w:pPr>
      <w:r w:rsidRPr="00936320">
        <w:t>Shipment date, if present, must be between the license valid from and valid to date.</w:t>
      </w:r>
    </w:p>
    <w:p w14:paraId="4086D359" w14:textId="77777777" w:rsidR="00E50D2F" w:rsidRPr="00936320" w:rsidRDefault="00E50D2F" w:rsidP="00FB4E11">
      <w:pPr>
        <w:pStyle w:val="BodyText"/>
      </w:pPr>
      <w:r w:rsidRPr="00936320">
        <w:t>The transaction expiry or maturity must not be after the license Valid To date.</w:t>
      </w:r>
    </w:p>
    <w:p w14:paraId="0F66D53B" w14:textId="77777777" w:rsidR="00E50D2F" w:rsidRPr="00936320" w:rsidRDefault="00E50D2F" w:rsidP="00FB4E11">
      <w:pPr>
        <w:pStyle w:val="BodyText"/>
      </w:pPr>
      <w:r w:rsidRPr="00936320">
        <w:t xml:space="preserve">Once validation has been completed successfully, process the Review and/or </w:t>
      </w:r>
      <w:proofErr w:type="spellStart"/>
      <w:r w:rsidRPr="00936320">
        <w:t>Authorisation</w:t>
      </w:r>
      <w:proofErr w:type="spellEnd"/>
      <w:r w:rsidRPr="00936320">
        <w:t xml:space="preserve"> steps according to how your system has been set up, and then the event is then released in the usual way.</w:t>
      </w:r>
    </w:p>
    <w:p w14:paraId="770EDF05" w14:textId="77777777" w:rsidR="00966A0C" w:rsidRPr="00966A0C" w:rsidRDefault="00966A0C" w:rsidP="00FB4E11">
      <w:pPr>
        <w:pStyle w:val="BodyText"/>
      </w:pPr>
      <w:bookmarkStart w:id="139" w:name="O_24419"/>
      <w:bookmarkStart w:id="140" w:name="_Toc317758864"/>
      <w:bookmarkStart w:id="141" w:name="_Toc373155441"/>
      <w:bookmarkStart w:id="142" w:name="_Toc390475613"/>
      <w:bookmarkStart w:id="143" w:name="_Toc411436718"/>
      <w:bookmarkEnd w:id="139"/>
      <w:r w:rsidRPr="00966A0C">
        <w:br w:type="page"/>
      </w:r>
    </w:p>
    <w:p w14:paraId="108EB190" w14:textId="77777777" w:rsidR="00E50D2F" w:rsidRPr="00936320" w:rsidRDefault="00E50D2F" w:rsidP="000F5BE4">
      <w:pPr>
        <w:pStyle w:val="Heading2"/>
      </w:pPr>
      <w:bookmarkStart w:id="144" w:name="_Toc166665341"/>
      <w:r w:rsidRPr="00936320">
        <w:lastRenderedPageBreak/>
        <w:t>The Master Summary Window for Licenses</w:t>
      </w:r>
      <w:bookmarkEnd w:id="140"/>
      <w:bookmarkEnd w:id="141"/>
      <w:bookmarkEnd w:id="142"/>
      <w:bookmarkEnd w:id="143"/>
      <w:bookmarkEnd w:id="144"/>
    </w:p>
    <w:p w14:paraId="4D3EA6C5" w14:textId="77777777" w:rsidR="00E50D2F" w:rsidRPr="00936320" w:rsidRDefault="00E50D2F" w:rsidP="00FB4E11">
      <w:pPr>
        <w:pStyle w:val="BodyText"/>
      </w:pPr>
      <w:r w:rsidRPr="00936320">
        <w:t xml:space="preserve">Once you have created a license, </w:t>
      </w:r>
      <w:r w:rsidR="00754AEF" w:rsidRPr="00936320">
        <w:t>Trade Innovation</w:t>
      </w:r>
      <w:r w:rsidRPr="00936320">
        <w:t xml:space="preserve"> will display the basic details of that license using</w:t>
      </w:r>
      <w:r w:rsidR="004D481B" w:rsidRPr="00936320">
        <w:t xml:space="preserve"> the Master Summary window.</w:t>
      </w:r>
    </w:p>
    <w:p w14:paraId="441E0A0F" w14:textId="6B597DE7" w:rsidR="000B7A09" w:rsidRDefault="000B7A09" w:rsidP="00FB4E11">
      <w:pPr>
        <w:pStyle w:val="BodyText"/>
      </w:pPr>
      <w:r>
        <w:rPr>
          <w:noProof/>
        </w:rPr>
        <w:drawing>
          <wp:inline distT="0" distB="0" distL="0" distR="0" wp14:anchorId="633FE70D" wp14:editId="17F982F4">
            <wp:extent cx="5731510" cy="25196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19680"/>
                    </a:xfrm>
                    <a:prstGeom prst="rect">
                      <a:avLst/>
                    </a:prstGeom>
                  </pic:spPr>
                </pic:pic>
              </a:graphicData>
            </a:graphic>
          </wp:inline>
        </w:drawing>
      </w:r>
    </w:p>
    <w:p w14:paraId="207C956A" w14:textId="0047A603" w:rsidR="000B7A09" w:rsidRPr="00936320" w:rsidRDefault="00131425" w:rsidP="00FB4E11">
      <w:pPr>
        <w:pStyle w:val="BodyText"/>
      </w:pPr>
      <w:r>
        <w:rPr>
          <w:noProof/>
        </w:rPr>
        <w:drawing>
          <wp:inline distT="0" distB="0" distL="0" distR="0" wp14:anchorId="57B87E28" wp14:editId="5D9ACEF9">
            <wp:extent cx="5731510" cy="12846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84605"/>
                    </a:xfrm>
                    <a:prstGeom prst="rect">
                      <a:avLst/>
                    </a:prstGeom>
                  </pic:spPr>
                </pic:pic>
              </a:graphicData>
            </a:graphic>
          </wp:inline>
        </w:drawing>
      </w:r>
    </w:p>
    <w:p w14:paraId="0689C73D" w14:textId="68231B09" w:rsidR="00E50D2F" w:rsidRPr="00936320" w:rsidRDefault="00E50D2F" w:rsidP="00FB4E11">
      <w:pPr>
        <w:pStyle w:val="BodyText"/>
      </w:pPr>
      <w:r w:rsidRPr="00936320">
        <w:t xml:space="preserve">For more information on how the various panes and buttons in this window work see the </w:t>
      </w:r>
      <w:r w:rsidRPr="00936320">
        <w:rPr>
          <w:rStyle w:val="Italic"/>
        </w:rPr>
        <w:t>Common Facilities User Guide</w:t>
      </w:r>
      <w:r w:rsidR="004D481B" w:rsidRPr="00936320">
        <w:rPr>
          <w:rStyle w:val="Italic"/>
        </w:rPr>
        <w:t xml:space="preserve"> </w:t>
      </w:r>
      <w:r w:rsidR="004D481B" w:rsidRPr="00567CEA">
        <w:rPr>
          <w:rStyle w:val="Italic"/>
        </w:rPr>
        <w:t xml:space="preserve">– </w:t>
      </w:r>
      <w:r w:rsidR="00985469">
        <w:rPr>
          <w:rStyle w:val="Italic"/>
        </w:rPr>
        <w:t>Trade Innovation</w:t>
      </w:r>
      <w:r w:rsidRPr="00936320">
        <w:t>.</w:t>
      </w:r>
    </w:p>
    <w:p w14:paraId="6EAD2448" w14:textId="77777777" w:rsidR="00E50D2F" w:rsidRPr="00936320" w:rsidRDefault="00E50D2F" w:rsidP="000F5BE4">
      <w:pPr>
        <w:pStyle w:val="Heading1"/>
      </w:pPr>
      <w:bookmarkStart w:id="145" w:name="_Toc317758865"/>
      <w:bookmarkStart w:id="146" w:name="_Toc373155442"/>
      <w:bookmarkStart w:id="147" w:name="_Toc390475614"/>
      <w:bookmarkStart w:id="148" w:name="_Toc411436719"/>
      <w:bookmarkStart w:id="149" w:name="_Ref57056491"/>
      <w:bookmarkStart w:id="150" w:name="_Toc166665342"/>
      <w:r w:rsidRPr="00936320">
        <w:lastRenderedPageBreak/>
        <w:t>Linking a License to a Transaction</w:t>
      </w:r>
      <w:bookmarkEnd w:id="145"/>
      <w:bookmarkEnd w:id="146"/>
      <w:bookmarkEnd w:id="147"/>
      <w:bookmarkEnd w:id="148"/>
      <w:bookmarkEnd w:id="149"/>
      <w:bookmarkEnd w:id="150"/>
    </w:p>
    <w:p w14:paraId="0355D60C" w14:textId="77777777" w:rsidR="00E50D2F" w:rsidRPr="00936320" w:rsidRDefault="00E50D2F" w:rsidP="00FB4E11">
      <w:pPr>
        <w:pStyle w:val="BodyText"/>
      </w:pPr>
      <w:r w:rsidRPr="00936320">
        <w:t>This chapter covers the linking of licenses to transactions.</w:t>
      </w:r>
    </w:p>
    <w:p w14:paraId="0F012F74" w14:textId="02A454DE" w:rsidR="00E50D2F" w:rsidRPr="00936320" w:rsidRDefault="00E50D2F" w:rsidP="000F5BE4">
      <w:pPr>
        <w:pStyle w:val="Heading2"/>
      </w:pPr>
      <w:bookmarkStart w:id="151" w:name="O_21672"/>
      <w:bookmarkStart w:id="152" w:name="_Toc317758866"/>
      <w:bookmarkStart w:id="153" w:name="_Toc373155443"/>
      <w:bookmarkStart w:id="154" w:name="_Toc390475615"/>
      <w:bookmarkStart w:id="155" w:name="_Toc411436720"/>
      <w:bookmarkStart w:id="156" w:name="_Ref432450470"/>
      <w:bookmarkStart w:id="157" w:name="_Ref432450584"/>
      <w:bookmarkStart w:id="158" w:name="_Toc166665343"/>
      <w:bookmarkEnd w:id="151"/>
      <w:r w:rsidRPr="00936320">
        <w:t xml:space="preserve">Linking a License to a Transaction in </w:t>
      </w:r>
      <w:bookmarkEnd w:id="152"/>
      <w:bookmarkEnd w:id="153"/>
      <w:bookmarkEnd w:id="154"/>
      <w:r w:rsidR="00985469">
        <w:t>Trade Innovation</w:t>
      </w:r>
      <w:bookmarkEnd w:id="155"/>
      <w:bookmarkEnd w:id="156"/>
      <w:bookmarkEnd w:id="157"/>
      <w:bookmarkEnd w:id="158"/>
    </w:p>
    <w:p w14:paraId="3B86253F" w14:textId="77777777" w:rsidR="00E50D2F" w:rsidRPr="00936320" w:rsidRDefault="00E50D2F" w:rsidP="00FB4E11">
      <w:pPr>
        <w:pStyle w:val="BodyText"/>
      </w:pPr>
      <w:r w:rsidRPr="00936320">
        <w:t xml:space="preserve">Once a license has been created and released, transactions can be associated with the license. The license may be linked to a transaction at various times in the product life-cycle. This may be at the time that a transaction is initiated, or when the transaction is subsequently amended or adjusted. For collection orders, licenses can be linked at the time of payment (instead of at the creation of the collection order) if the </w:t>
      </w:r>
      <w:proofErr w:type="spellStart"/>
      <w:r w:rsidRPr="00936320">
        <w:t>SuppressLicenseAtCollectionCreation</w:t>
      </w:r>
      <w:proofErr w:type="spellEnd"/>
      <w:r w:rsidRPr="00936320">
        <w:t xml:space="preserve"> system option is set. Each of the </w:t>
      </w:r>
      <w:r w:rsidR="00754AEF" w:rsidRPr="00936320">
        <w:t>Trade Innovation</w:t>
      </w:r>
      <w:r w:rsidRPr="00936320">
        <w:t xml:space="preserve"> products that can have licenses attached can be linked to one or more existing licenses and, likewise, each license can be linked to one or more of transactions.</w:t>
      </w:r>
    </w:p>
    <w:p w14:paraId="244FACE4" w14:textId="77777777" w:rsidR="00E50D2F" w:rsidRPr="00936320" w:rsidRDefault="00E50D2F" w:rsidP="00FB4E11">
      <w:pPr>
        <w:pStyle w:val="BodyText"/>
      </w:pPr>
      <w:r w:rsidRPr="00936320">
        <w:t>Linking a license to a transaction involves allocating the transaction amount to the license so that drawdowns may subsequently be made against this allocation. It may also involve reserving a corresponding amount on the license, and some products may involve dr</w:t>
      </w:r>
      <w:r w:rsidR="004D481B" w:rsidRPr="00936320">
        <w:t>awdowns at the time of linking.</w:t>
      </w:r>
    </w:p>
    <w:p w14:paraId="1FA879DA" w14:textId="77777777" w:rsidR="00E50D2F" w:rsidRPr="00936320" w:rsidRDefault="00E50D2F" w:rsidP="00FB4E11">
      <w:pPr>
        <w:pStyle w:val="BodyText"/>
      </w:pPr>
      <w:r w:rsidRPr="00936320">
        <w:t xml:space="preserve">Linking a license to a transaction may involve reserving the amount of the transaction against the license, in which case a Reserve event is created as a subsidiary event against the license once the event linking the transaction and license is released. Depending on how your system is configured, it may require manual intervention, such as review and/or </w:t>
      </w:r>
      <w:proofErr w:type="spellStart"/>
      <w:proofErr w:type="gramStart"/>
      <w:r w:rsidRPr="00936320">
        <w:t>authorisation</w:t>
      </w:r>
      <w:proofErr w:type="spellEnd"/>
      <w:r w:rsidRPr="00936320">
        <w:t>, before</w:t>
      </w:r>
      <w:proofErr w:type="gramEnd"/>
      <w:r w:rsidRPr="00936320">
        <w:t xml:space="preserve"> the Reserve event is released.</w:t>
      </w:r>
    </w:p>
    <w:p w14:paraId="1D575D90" w14:textId="77777777" w:rsidR="00E50D2F" w:rsidRPr="00936320" w:rsidRDefault="00E50D2F" w:rsidP="000F5BE4">
      <w:pPr>
        <w:pStyle w:val="Heading3"/>
      </w:pPr>
      <w:bookmarkStart w:id="159" w:name="O_24405"/>
      <w:bookmarkStart w:id="160" w:name="_Toc317758867"/>
      <w:bookmarkStart w:id="161" w:name="_Toc373155444"/>
      <w:bookmarkStart w:id="162" w:name="_Toc411436721"/>
      <w:bookmarkStart w:id="163" w:name="_Toc166665344"/>
      <w:bookmarkEnd w:id="159"/>
      <w:r w:rsidRPr="00936320">
        <w:t>The Licenses Pane</w:t>
      </w:r>
      <w:bookmarkEnd w:id="160"/>
      <w:bookmarkEnd w:id="161"/>
      <w:bookmarkEnd w:id="162"/>
      <w:bookmarkEnd w:id="163"/>
    </w:p>
    <w:p w14:paraId="3BAD2E16" w14:textId="77777777" w:rsidR="00E50D2F" w:rsidRPr="00936320" w:rsidRDefault="00E50D2F" w:rsidP="00FB4E11">
      <w:pPr>
        <w:pStyle w:val="BodyText"/>
      </w:pPr>
      <w:r w:rsidRPr="00936320">
        <w:t>Licenses are linked to transactions using either the Licenses pane, or a Licenses button.</w:t>
      </w:r>
    </w:p>
    <w:p w14:paraId="7DCDD47C" w14:textId="77777777" w:rsidR="00E50D2F" w:rsidRPr="00936320" w:rsidRDefault="00E50D2F" w:rsidP="00FB4E11">
      <w:pPr>
        <w:pStyle w:val="BodyText"/>
      </w:pPr>
      <w:r w:rsidRPr="00936320">
        <w:t>Where the Licenses pane is used it appears as the last pane in the window.</w:t>
      </w:r>
    </w:p>
    <w:p w14:paraId="2CE2178C" w14:textId="579DB4D7" w:rsidR="00AF4857" w:rsidRDefault="00AF4857" w:rsidP="00FB4E11">
      <w:pPr>
        <w:pStyle w:val="BodyText"/>
      </w:pPr>
      <w:r>
        <w:rPr>
          <w:noProof/>
        </w:rPr>
        <w:drawing>
          <wp:inline distT="0" distB="0" distL="0" distR="0" wp14:anchorId="582F9257" wp14:editId="67E54586">
            <wp:extent cx="5731510" cy="86804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68045"/>
                    </a:xfrm>
                    <a:prstGeom prst="rect">
                      <a:avLst/>
                    </a:prstGeom>
                  </pic:spPr>
                </pic:pic>
              </a:graphicData>
            </a:graphic>
          </wp:inline>
        </w:drawing>
      </w:r>
    </w:p>
    <w:p w14:paraId="79A12CCB" w14:textId="77777777" w:rsidR="00962AF6" w:rsidRPr="00936320" w:rsidRDefault="00962AF6" w:rsidP="00FB4E11">
      <w:pPr>
        <w:pStyle w:val="BodyText"/>
      </w:pPr>
    </w:p>
    <w:p w14:paraId="0DB8DED5" w14:textId="77777777" w:rsidR="00E50D2F" w:rsidRPr="00936320" w:rsidRDefault="00E50D2F" w:rsidP="004D481B">
      <w:pPr>
        <w:pStyle w:val="NoSpaceAfter"/>
      </w:pPr>
      <w:r w:rsidRPr="00936320">
        <w:t>The following table shows the events in which the Licenses pane or button appears for each trade finance product:</w:t>
      </w:r>
    </w:p>
    <w:tbl>
      <w:tblPr>
        <w:tblStyle w:val="TableGrid"/>
        <w:tblW w:w="9090" w:type="dxa"/>
        <w:tblLayout w:type="fixed"/>
        <w:tblLook w:val="0020" w:firstRow="1" w:lastRow="0" w:firstColumn="0" w:lastColumn="0" w:noHBand="0" w:noVBand="0"/>
      </w:tblPr>
      <w:tblGrid>
        <w:gridCol w:w="2070"/>
        <w:gridCol w:w="7020"/>
      </w:tblGrid>
      <w:tr w:rsidR="00E50D2F" w:rsidRPr="00936320" w14:paraId="4B01485D" w14:textId="77777777" w:rsidTr="004F28FD">
        <w:trPr>
          <w:cnfStyle w:val="100000000000" w:firstRow="1" w:lastRow="0" w:firstColumn="0" w:lastColumn="0" w:oddVBand="0" w:evenVBand="0" w:oddHBand="0" w:evenHBand="0" w:firstRowFirstColumn="0" w:firstRowLastColumn="0" w:lastRowFirstColumn="0" w:lastRowLastColumn="0"/>
          <w:trHeight w:val="432"/>
          <w:tblHeader/>
        </w:trPr>
        <w:tc>
          <w:tcPr>
            <w:tcW w:w="0" w:type="dxa"/>
          </w:tcPr>
          <w:p w14:paraId="08493AE5" w14:textId="77777777" w:rsidR="00E50D2F" w:rsidRPr="00936320" w:rsidRDefault="00E50D2F" w:rsidP="00FB4E11">
            <w:pPr>
              <w:pStyle w:val="TableHead"/>
            </w:pPr>
            <w:r w:rsidRPr="00936320">
              <w:t xml:space="preserve"> Product</w:t>
            </w:r>
          </w:p>
        </w:tc>
        <w:tc>
          <w:tcPr>
            <w:tcW w:w="0" w:type="dxa"/>
          </w:tcPr>
          <w:p w14:paraId="7C65086D" w14:textId="77777777" w:rsidR="00E50D2F" w:rsidRPr="00936320" w:rsidRDefault="00E50D2F" w:rsidP="00FB4E11">
            <w:pPr>
              <w:pStyle w:val="TableHead"/>
            </w:pPr>
            <w:r w:rsidRPr="00936320">
              <w:t>Event</w:t>
            </w:r>
          </w:p>
        </w:tc>
      </w:tr>
      <w:tr w:rsidR="00E50D2F" w:rsidRPr="00936320" w14:paraId="604B4987"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0B4200EA" w14:textId="77777777" w:rsidR="00E50D2F" w:rsidRPr="00936320" w:rsidRDefault="00E50D2F" w:rsidP="004651B5">
            <w:pPr>
              <w:pStyle w:val="TableText"/>
            </w:pPr>
            <w:r w:rsidRPr="00936320">
              <w:t>Letters of Credit</w:t>
            </w:r>
          </w:p>
        </w:tc>
        <w:tc>
          <w:tcPr>
            <w:tcW w:w="7020" w:type="dxa"/>
          </w:tcPr>
          <w:p w14:paraId="7E29BE69" w14:textId="77777777" w:rsidR="00E50D2F" w:rsidRPr="00936320" w:rsidRDefault="00E50D2F" w:rsidP="004651B5">
            <w:pPr>
              <w:pStyle w:val="TableText"/>
            </w:pPr>
            <w:r w:rsidRPr="00936320">
              <w:t>Issue</w:t>
            </w:r>
          </w:p>
          <w:p w14:paraId="227AC532" w14:textId="77777777" w:rsidR="00E50D2F" w:rsidRPr="00936320" w:rsidRDefault="00E50D2F" w:rsidP="004651B5">
            <w:pPr>
              <w:pStyle w:val="TableText"/>
            </w:pPr>
            <w:r w:rsidRPr="00936320">
              <w:t>Amend</w:t>
            </w:r>
          </w:p>
          <w:p w14:paraId="5AEBDD2A" w14:textId="77777777" w:rsidR="00E50D2F" w:rsidRPr="00936320" w:rsidRDefault="00E50D2F" w:rsidP="004651B5">
            <w:pPr>
              <w:pStyle w:val="TableText"/>
            </w:pPr>
            <w:r w:rsidRPr="00936320">
              <w:t>Adjust</w:t>
            </w:r>
          </w:p>
          <w:p w14:paraId="25907178" w14:textId="77777777" w:rsidR="00E50D2F" w:rsidRPr="00936320" w:rsidRDefault="00E50D2F" w:rsidP="004651B5">
            <w:pPr>
              <w:pStyle w:val="TableText"/>
            </w:pPr>
            <w:r w:rsidRPr="00936320">
              <w:t>Advise</w:t>
            </w:r>
          </w:p>
          <w:p w14:paraId="315DE0EF" w14:textId="77777777" w:rsidR="00E50D2F" w:rsidRPr="00936320" w:rsidRDefault="00E50D2F" w:rsidP="004651B5">
            <w:pPr>
              <w:pStyle w:val="TableText"/>
            </w:pPr>
            <w:r w:rsidRPr="00936320">
              <w:t>Claims Received</w:t>
            </w:r>
            <w:r w:rsidRPr="00936320">
              <w:br/>
              <w:t>Outstanding Claims</w:t>
            </w:r>
          </w:p>
          <w:p w14:paraId="798B1094" w14:textId="77777777" w:rsidR="00E50D2F" w:rsidRPr="00936320" w:rsidRDefault="00E50D2F" w:rsidP="004651B5">
            <w:pPr>
              <w:pStyle w:val="TableText"/>
            </w:pPr>
            <w:r w:rsidRPr="00936320">
              <w:t>Docs Presented</w:t>
            </w:r>
          </w:p>
          <w:p w14:paraId="67080336" w14:textId="77777777" w:rsidR="00E50D2F" w:rsidRPr="00936320" w:rsidRDefault="00E50D2F" w:rsidP="004651B5">
            <w:pPr>
              <w:pStyle w:val="TableText"/>
            </w:pPr>
            <w:r w:rsidRPr="00936320">
              <w:t>Outstanding Presentation</w:t>
            </w:r>
          </w:p>
          <w:p w14:paraId="39701BCA" w14:textId="77777777" w:rsidR="00E50D2F" w:rsidRPr="00936320" w:rsidRDefault="00E50D2F" w:rsidP="004651B5">
            <w:pPr>
              <w:pStyle w:val="TableText"/>
            </w:pPr>
            <w:r w:rsidRPr="00936320">
              <w:t>Cancel</w:t>
            </w:r>
          </w:p>
          <w:p w14:paraId="1CE6E0D0" w14:textId="77777777" w:rsidR="00E50D2F" w:rsidRPr="00936320" w:rsidRDefault="00E50D2F" w:rsidP="004651B5">
            <w:pPr>
              <w:pStyle w:val="TableText"/>
            </w:pPr>
            <w:r w:rsidRPr="00936320">
              <w:t>Expire</w:t>
            </w:r>
          </w:p>
        </w:tc>
      </w:tr>
      <w:tr w:rsidR="00E50D2F" w:rsidRPr="00936320" w14:paraId="3BDF232F" w14:textId="77777777" w:rsidTr="00FB4E11">
        <w:trPr>
          <w:cnfStyle w:val="000000010000" w:firstRow="0" w:lastRow="0" w:firstColumn="0" w:lastColumn="0" w:oddVBand="0" w:evenVBand="0" w:oddHBand="0" w:evenHBand="1" w:firstRowFirstColumn="0" w:firstRowLastColumn="0" w:lastRowFirstColumn="0" w:lastRowLastColumn="0"/>
          <w:trHeight w:val="245"/>
        </w:trPr>
        <w:tc>
          <w:tcPr>
            <w:tcW w:w="2070" w:type="dxa"/>
          </w:tcPr>
          <w:p w14:paraId="4350A233" w14:textId="77777777" w:rsidR="00E50D2F" w:rsidRPr="00936320" w:rsidRDefault="00E50D2F" w:rsidP="004651B5">
            <w:pPr>
              <w:pStyle w:val="TableText"/>
            </w:pPr>
            <w:r w:rsidRPr="00936320">
              <w:t>Freely Negotiable LCs</w:t>
            </w:r>
          </w:p>
        </w:tc>
        <w:tc>
          <w:tcPr>
            <w:tcW w:w="7020" w:type="dxa"/>
          </w:tcPr>
          <w:p w14:paraId="076B566C" w14:textId="77777777" w:rsidR="00E50D2F" w:rsidRPr="00936320" w:rsidRDefault="00E50D2F" w:rsidP="004651B5">
            <w:pPr>
              <w:pStyle w:val="TableText"/>
            </w:pPr>
            <w:r w:rsidRPr="00936320">
              <w:t>Free Negotiation</w:t>
            </w:r>
          </w:p>
        </w:tc>
      </w:tr>
      <w:tr w:rsidR="00E50D2F" w:rsidRPr="00936320" w14:paraId="7AC7ABDD"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7A559385" w14:textId="77777777" w:rsidR="00E50D2F" w:rsidRPr="00936320" w:rsidRDefault="00E50D2F" w:rsidP="004651B5">
            <w:pPr>
              <w:pStyle w:val="TableText"/>
            </w:pPr>
            <w:r w:rsidRPr="00936320">
              <w:t>Standbys and Guarantees</w:t>
            </w:r>
          </w:p>
        </w:tc>
        <w:tc>
          <w:tcPr>
            <w:tcW w:w="7020" w:type="dxa"/>
          </w:tcPr>
          <w:p w14:paraId="4009402A" w14:textId="77777777" w:rsidR="00E50D2F" w:rsidRPr="00936320" w:rsidRDefault="00E50D2F" w:rsidP="004651B5">
            <w:pPr>
              <w:pStyle w:val="TableText"/>
            </w:pPr>
            <w:r w:rsidRPr="00936320">
              <w:t>Issue</w:t>
            </w:r>
          </w:p>
          <w:p w14:paraId="3DEF65FF" w14:textId="77777777" w:rsidR="00E50D2F" w:rsidRPr="00936320" w:rsidRDefault="00E50D2F" w:rsidP="004651B5">
            <w:pPr>
              <w:pStyle w:val="TableText"/>
            </w:pPr>
            <w:r w:rsidRPr="00936320">
              <w:t>Advise</w:t>
            </w:r>
          </w:p>
          <w:p w14:paraId="2428C034" w14:textId="77777777" w:rsidR="00E50D2F" w:rsidRPr="00936320" w:rsidRDefault="00E50D2F" w:rsidP="004651B5">
            <w:pPr>
              <w:pStyle w:val="TableText"/>
            </w:pPr>
            <w:r w:rsidRPr="00936320">
              <w:t>Adjust</w:t>
            </w:r>
          </w:p>
          <w:p w14:paraId="4A625931" w14:textId="77777777" w:rsidR="00E50D2F" w:rsidRPr="00936320" w:rsidRDefault="00E50D2F" w:rsidP="004651B5">
            <w:pPr>
              <w:pStyle w:val="TableText"/>
            </w:pPr>
            <w:r w:rsidRPr="00936320">
              <w:t>Amend</w:t>
            </w:r>
          </w:p>
          <w:p w14:paraId="3A047F86" w14:textId="77777777" w:rsidR="00E50D2F" w:rsidRPr="00936320" w:rsidRDefault="00E50D2F" w:rsidP="004651B5">
            <w:pPr>
              <w:pStyle w:val="TableText"/>
            </w:pPr>
            <w:r w:rsidRPr="00936320">
              <w:t>Claim Received</w:t>
            </w:r>
          </w:p>
          <w:p w14:paraId="599CFF89" w14:textId="77777777" w:rsidR="00E50D2F" w:rsidRPr="00936320" w:rsidRDefault="00E50D2F" w:rsidP="004651B5">
            <w:pPr>
              <w:pStyle w:val="TableText"/>
            </w:pPr>
            <w:r w:rsidRPr="00936320">
              <w:t>Docs Presented</w:t>
            </w:r>
          </w:p>
          <w:p w14:paraId="77040C06" w14:textId="77777777" w:rsidR="00E50D2F" w:rsidRPr="00936320" w:rsidRDefault="00E50D2F" w:rsidP="004651B5">
            <w:pPr>
              <w:pStyle w:val="TableText"/>
            </w:pPr>
            <w:r w:rsidRPr="00936320">
              <w:t>Outstanding Claim</w:t>
            </w:r>
          </w:p>
          <w:p w14:paraId="714E398A" w14:textId="77777777" w:rsidR="00E50D2F" w:rsidRPr="00936320" w:rsidRDefault="00E50D2F" w:rsidP="004651B5">
            <w:pPr>
              <w:pStyle w:val="TableText"/>
            </w:pPr>
            <w:r w:rsidRPr="00936320">
              <w:lastRenderedPageBreak/>
              <w:t>Outstanding Presentations</w:t>
            </w:r>
          </w:p>
          <w:p w14:paraId="61024A9B" w14:textId="77777777" w:rsidR="00E50D2F" w:rsidRPr="00936320" w:rsidRDefault="00E50D2F" w:rsidP="004651B5">
            <w:pPr>
              <w:pStyle w:val="TableText"/>
            </w:pPr>
            <w:r w:rsidRPr="00936320">
              <w:t>Renewal</w:t>
            </w:r>
          </w:p>
          <w:p w14:paraId="2FF516AB" w14:textId="77777777" w:rsidR="00E50D2F" w:rsidRPr="00936320" w:rsidRDefault="00E50D2F" w:rsidP="004651B5">
            <w:pPr>
              <w:pStyle w:val="TableText"/>
            </w:pPr>
            <w:r w:rsidRPr="00936320">
              <w:t>Reduction</w:t>
            </w:r>
          </w:p>
          <w:p w14:paraId="68736959" w14:textId="77777777" w:rsidR="00E50D2F" w:rsidRPr="00936320" w:rsidRDefault="00E50D2F" w:rsidP="004651B5">
            <w:pPr>
              <w:pStyle w:val="TableText"/>
            </w:pPr>
            <w:r w:rsidRPr="00936320">
              <w:t>Increase</w:t>
            </w:r>
          </w:p>
          <w:p w14:paraId="2E9D6342" w14:textId="77777777" w:rsidR="00E50D2F" w:rsidRPr="00936320" w:rsidRDefault="00E50D2F" w:rsidP="004651B5">
            <w:pPr>
              <w:pStyle w:val="TableText"/>
            </w:pPr>
            <w:r w:rsidRPr="00936320">
              <w:t>Cancel</w:t>
            </w:r>
          </w:p>
          <w:p w14:paraId="66F5B257" w14:textId="77777777" w:rsidR="00E50D2F" w:rsidRPr="00936320" w:rsidRDefault="00E50D2F" w:rsidP="004651B5">
            <w:pPr>
              <w:pStyle w:val="TableText"/>
            </w:pPr>
            <w:r w:rsidRPr="00936320">
              <w:t>Expiry</w:t>
            </w:r>
          </w:p>
        </w:tc>
      </w:tr>
      <w:tr w:rsidR="00E50D2F" w:rsidRPr="00936320" w14:paraId="06D1349E" w14:textId="77777777" w:rsidTr="00FB4E11">
        <w:trPr>
          <w:cnfStyle w:val="000000010000" w:firstRow="0" w:lastRow="0" w:firstColumn="0" w:lastColumn="0" w:oddVBand="0" w:evenVBand="0" w:oddHBand="0" w:evenHBand="1" w:firstRowFirstColumn="0" w:firstRowLastColumn="0" w:lastRowFirstColumn="0" w:lastRowLastColumn="0"/>
          <w:trHeight w:val="924"/>
        </w:trPr>
        <w:tc>
          <w:tcPr>
            <w:tcW w:w="2070" w:type="dxa"/>
          </w:tcPr>
          <w:p w14:paraId="59192B94" w14:textId="77777777" w:rsidR="00E50D2F" w:rsidRPr="00936320" w:rsidRDefault="00E50D2F" w:rsidP="004651B5">
            <w:pPr>
              <w:pStyle w:val="TableText"/>
            </w:pPr>
            <w:r w:rsidRPr="00936320">
              <w:lastRenderedPageBreak/>
              <w:t>Collection Orders</w:t>
            </w:r>
          </w:p>
        </w:tc>
        <w:tc>
          <w:tcPr>
            <w:tcW w:w="7020" w:type="dxa"/>
          </w:tcPr>
          <w:p w14:paraId="35A9B4FE" w14:textId="77777777" w:rsidR="00E50D2F" w:rsidRPr="00936320" w:rsidRDefault="00E50D2F" w:rsidP="004651B5">
            <w:pPr>
              <w:pStyle w:val="TableText"/>
            </w:pPr>
            <w:r w:rsidRPr="00936320">
              <w:t>Create</w:t>
            </w:r>
          </w:p>
          <w:p w14:paraId="4A914126" w14:textId="77777777" w:rsidR="00E50D2F" w:rsidRPr="00936320" w:rsidRDefault="00E50D2F" w:rsidP="004651B5">
            <w:pPr>
              <w:pStyle w:val="TableText"/>
            </w:pPr>
            <w:r w:rsidRPr="00936320">
              <w:t>Amend</w:t>
            </w:r>
          </w:p>
          <w:p w14:paraId="417D3695" w14:textId="77777777" w:rsidR="00E50D2F" w:rsidRPr="00936320" w:rsidRDefault="00E50D2F" w:rsidP="004651B5">
            <w:pPr>
              <w:pStyle w:val="TableText"/>
            </w:pPr>
            <w:r w:rsidRPr="00936320">
              <w:t>Adjust</w:t>
            </w:r>
          </w:p>
          <w:p w14:paraId="7BA3BB8E" w14:textId="77777777" w:rsidR="00E50D2F" w:rsidRPr="00936320" w:rsidRDefault="00E50D2F" w:rsidP="004651B5">
            <w:pPr>
              <w:pStyle w:val="TableText"/>
            </w:pPr>
            <w:r w:rsidRPr="00936320">
              <w:t xml:space="preserve">Payment </w:t>
            </w:r>
          </w:p>
          <w:p w14:paraId="535F3716" w14:textId="77777777" w:rsidR="00E50D2F" w:rsidRPr="00936320" w:rsidRDefault="00E50D2F" w:rsidP="004651B5">
            <w:pPr>
              <w:pStyle w:val="TableText"/>
            </w:pPr>
            <w:r w:rsidRPr="00936320">
              <w:t>Expire</w:t>
            </w:r>
          </w:p>
        </w:tc>
      </w:tr>
      <w:tr w:rsidR="00E50D2F" w:rsidRPr="00936320" w14:paraId="4C2AFD4A" w14:textId="77777777" w:rsidTr="00FB4E11">
        <w:trPr>
          <w:cnfStyle w:val="000000100000" w:firstRow="0" w:lastRow="0" w:firstColumn="0" w:lastColumn="0" w:oddVBand="0" w:evenVBand="0" w:oddHBand="1" w:evenHBand="0" w:firstRowFirstColumn="0" w:firstRowLastColumn="0" w:lastRowFirstColumn="0" w:lastRowLastColumn="0"/>
          <w:trHeight w:val="70"/>
        </w:trPr>
        <w:tc>
          <w:tcPr>
            <w:tcW w:w="2070" w:type="dxa"/>
          </w:tcPr>
          <w:p w14:paraId="22DC3AE9" w14:textId="77777777" w:rsidR="00E50D2F" w:rsidRPr="00936320" w:rsidRDefault="00E50D2F" w:rsidP="004651B5">
            <w:pPr>
              <w:pStyle w:val="TableText"/>
            </w:pPr>
            <w:r w:rsidRPr="00936320">
              <w:t>Clean Payments</w:t>
            </w:r>
          </w:p>
        </w:tc>
        <w:tc>
          <w:tcPr>
            <w:tcW w:w="7020" w:type="dxa"/>
          </w:tcPr>
          <w:p w14:paraId="75CCC83F" w14:textId="77777777" w:rsidR="00E50D2F" w:rsidRPr="00936320" w:rsidRDefault="00E50D2F" w:rsidP="004651B5">
            <w:pPr>
              <w:pStyle w:val="TableText"/>
            </w:pPr>
            <w:r w:rsidRPr="00936320">
              <w:t>Create</w:t>
            </w:r>
          </w:p>
        </w:tc>
      </w:tr>
      <w:tr w:rsidR="00E50D2F" w:rsidRPr="00936320" w14:paraId="78FB75D2" w14:textId="77777777" w:rsidTr="00FB4E11">
        <w:trPr>
          <w:cnfStyle w:val="000000010000" w:firstRow="0" w:lastRow="0" w:firstColumn="0" w:lastColumn="0" w:oddVBand="0" w:evenVBand="0" w:oddHBand="0" w:evenHBand="1" w:firstRowFirstColumn="0" w:firstRowLastColumn="0" w:lastRowFirstColumn="0" w:lastRowLastColumn="0"/>
          <w:trHeight w:val="144"/>
        </w:trPr>
        <w:tc>
          <w:tcPr>
            <w:tcW w:w="2070" w:type="dxa"/>
          </w:tcPr>
          <w:p w14:paraId="2843E902" w14:textId="77777777" w:rsidR="00E50D2F" w:rsidRPr="00936320" w:rsidRDefault="00E50D2F" w:rsidP="004651B5">
            <w:pPr>
              <w:pStyle w:val="TableText"/>
            </w:pPr>
            <w:r w:rsidRPr="00936320">
              <w:t>Standing Orders</w:t>
            </w:r>
          </w:p>
        </w:tc>
        <w:tc>
          <w:tcPr>
            <w:tcW w:w="7020" w:type="dxa"/>
          </w:tcPr>
          <w:p w14:paraId="504EC57F" w14:textId="77777777" w:rsidR="00E50D2F" w:rsidRPr="00936320" w:rsidRDefault="00E50D2F" w:rsidP="004651B5">
            <w:pPr>
              <w:pStyle w:val="TableText"/>
            </w:pPr>
            <w:r w:rsidRPr="00936320">
              <w:t>Create</w:t>
            </w:r>
          </w:p>
        </w:tc>
      </w:tr>
      <w:tr w:rsidR="00E50D2F" w:rsidRPr="00936320" w14:paraId="65AEFB47" w14:textId="77777777" w:rsidTr="00FB4E11">
        <w:trPr>
          <w:cnfStyle w:val="000000100000" w:firstRow="0" w:lastRow="0" w:firstColumn="0" w:lastColumn="0" w:oddVBand="0" w:evenVBand="0" w:oddHBand="1" w:evenHBand="0" w:firstRowFirstColumn="0" w:firstRowLastColumn="0" w:lastRowFirstColumn="0" w:lastRowLastColumn="0"/>
          <w:trHeight w:val="436"/>
        </w:trPr>
        <w:tc>
          <w:tcPr>
            <w:tcW w:w="2070" w:type="dxa"/>
          </w:tcPr>
          <w:p w14:paraId="61E3ED93" w14:textId="77777777" w:rsidR="00E50D2F" w:rsidRPr="00936320" w:rsidRDefault="00E50D2F" w:rsidP="004651B5">
            <w:pPr>
              <w:pStyle w:val="TableText"/>
            </w:pPr>
            <w:r w:rsidRPr="00936320">
              <w:t>Financing</w:t>
            </w:r>
          </w:p>
        </w:tc>
        <w:tc>
          <w:tcPr>
            <w:tcW w:w="7020" w:type="dxa"/>
          </w:tcPr>
          <w:p w14:paraId="001E1D03" w14:textId="77777777" w:rsidR="00E50D2F" w:rsidRPr="00936320" w:rsidRDefault="00E50D2F" w:rsidP="004651B5">
            <w:pPr>
              <w:pStyle w:val="TableText"/>
            </w:pPr>
            <w:r w:rsidRPr="00936320">
              <w:t>Create</w:t>
            </w:r>
          </w:p>
          <w:p w14:paraId="1E4BB231" w14:textId="77777777" w:rsidR="00E50D2F" w:rsidRPr="00936320" w:rsidRDefault="00E50D2F" w:rsidP="004651B5">
            <w:pPr>
              <w:pStyle w:val="TableText"/>
            </w:pPr>
            <w:r w:rsidRPr="00936320">
              <w:t>Adjust</w:t>
            </w:r>
          </w:p>
          <w:p w14:paraId="58FFBAD2" w14:textId="77777777" w:rsidR="00E50D2F" w:rsidRPr="00936320" w:rsidRDefault="00E50D2F" w:rsidP="004651B5">
            <w:pPr>
              <w:pStyle w:val="TableText"/>
            </w:pPr>
            <w:r w:rsidRPr="00936320">
              <w:t>Amend</w:t>
            </w:r>
          </w:p>
        </w:tc>
      </w:tr>
    </w:tbl>
    <w:p w14:paraId="04EACFB4" w14:textId="77777777" w:rsidR="00E50D2F" w:rsidRPr="00936320" w:rsidRDefault="00E50D2F" w:rsidP="000F5BE4">
      <w:pPr>
        <w:pStyle w:val="Heading2"/>
      </w:pPr>
      <w:bookmarkStart w:id="164" w:name="O_23661"/>
      <w:bookmarkStart w:id="165" w:name="_Toc317758868"/>
      <w:bookmarkStart w:id="166" w:name="_Toc373155445"/>
      <w:bookmarkStart w:id="167" w:name="_Toc390475616"/>
      <w:bookmarkStart w:id="168" w:name="_Toc411436722"/>
      <w:bookmarkStart w:id="169" w:name="_Toc166665345"/>
      <w:bookmarkEnd w:id="164"/>
      <w:r w:rsidRPr="00936320">
        <w:t>Linking a License to a Transaction</w:t>
      </w:r>
      <w:bookmarkEnd w:id="165"/>
      <w:bookmarkEnd w:id="166"/>
      <w:bookmarkEnd w:id="167"/>
      <w:bookmarkEnd w:id="168"/>
      <w:bookmarkEnd w:id="169"/>
    </w:p>
    <w:p w14:paraId="3F2ED800" w14:textId="77777777" w:rsidR="00E50D2F" w:rsidRPr="00936320" w:rsidRDefault="00E50D2F" w:rsidP="00FB4E11">
      <w:pPr>
        <w:pStyle w:val="BodyText"/>
      </w:pPr>
      <w:r w:rsidRPr="00936320">
        <w:t>When you are entering details of a transaction, if the product or product type with which you are working has been configured so that a license is mandatory or optional, the Licenses pane is present. It lists any licenses that have already been linked to that transaction.</w:t>
      </w:r>
    </w:p>
    <w:p w14:paraId="484E84DC" w14:textId="6D8A6BB9" w:rsidR="00D003F8" w:rsidRPr="00936320" w:rsidRDefault="00D003F8" w:rsidP="00FB4E11">
      <w:pPr>
        <w:pStyle w:val="BodyText"/>
      </w:pPr>
      <w:r>
        <w:rPr>
          <w:noProof/>
        </w:rPr>
        <w:drawing>
          <wp:inline distT="0" distB="0" distL="0" distR="0" wp14:anchorId="7253823A" wp14:editId="507F507B">
            <wp:extent cx="5731510" cy="8680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68045"/>
                    </a:xfrm>
                    <a:prstGeom prst="rect">
                      <a:avLst/>
                    </a:prstGeom>
                  </pic:spPr>
                </pic:pic>
              </a:graphicData>
            </a:graphic>
          </wp:inline>
        </w:drawing>
      </w:r>
    </w:p>
    <w:p w14:paraId="2EA9C9A9" w14:textId="77777777" w:rsidR="00E50D2F" w:rsidRPr="00936320" w:rsidRDefault="00E50D2F" w:rsidP="00FB4E11">
      <w:pPr>
        <w:pStyle w:val="BodyText"/>
      </w:pPr>
      <w:r w:rsidRPr="00936320">
        <w:t>The Amount for Allocation field shows the full amount that needs to be covered by the license.</w:t>
      </w:r>
    </w:p>
    <w:p w14:paraId="42AA25A6" w14:textId="77777777" w:rsidR="00E50D2F" w:rsidRPr="00936320" w:rsidRDefault="00E50D2F" w:rsidP="00FB4E11">
      <w:pPr>
        <w:pStyle w:val="BodyText"/>
      </w:pPr>
      <w:r w:rsidRPr="00936320">
        <w:t>For import and export letters of credit, standbys and guarantees the allocated amount defaults to the maximum amount - in other words, the amount of the letter of credit/standby/guarantee, plus any tolerance that has been set.</w:t>
      </w:r>
    </w:p>
    <w:p w14:paraId="14732634" w14:textId="77777777" w:rsidR="00E50D2F" w:rsidRPr="00936320" w:rsidRDefault="00E50D2F" w:rsidP="00FB4E11">
      <w:pPr>
        <w:pStyle w:val="BodyText"/>
      </w:pPr>
      <w:r w:rsidRPr="00936320">
        <w:t>For revolving letters of credit, the allocated amount defaults to the maximum letter of credit amount plus tolerance, multiplied by the number of revolutions.</w:t>
      </w:r>
    </w:p>
    <w:p w14:paraId="208D44A7" w14:textId="77777777" w:rsidR="00E50D2F" w:rsidRPr="00936320" w:rsidRDefault="00E50D2F" w:rsidP="00FB4E11">
      <w:pPr>
        <w:pStyle w:val="BodyText"/>
      </w:pPr>
      <w:r w:rsidRPr="00936320">
        <w:t>For collection orders, the allocated amount defaults to the collection order amount.</w:t>
      </w:r>
    </w:p>
    <w:p w14:paraId="668F7124" w14:textId="77777777" w:rsidR="00E50D2F" w:rsidRPr="00936320" w:rsidRDefault="00E50D2F" w:rsidP="00FB4E11">
      <w:pPr>
        <w:pStyle w:val="BodyText"/>
      </w:pPr>
      <w:r w:rsidRPr="00936320">
        <w:t>For clean payments, the allocated amount defaults to the payment amount.</w:t>
      </w:r>
    </w:p>
    <w:p w14:paraId="27F44DF1" w14:textId="77777777" w:rsidR="00E50D2F" w:rsidRPr="00936320" w:rsidRDefault="00E50D2F" w:rsidP="00FB4E11">
      <w:pPr>
        <w:pStyle w:val="BodyText"/>
      </w:pPr>
      <w:r w:rsidRPr="00936320">
        <w:t>For standalone financing transactions, the allocated amount defaults to the amount of the loan.</w:t>
      </w:r>
    </w:p>
    <w:p w14:paraId="625EE48D" w14:textId="77777777" w:rsidR="00E50D2F" w:rsidRPr="00936320" w:rsidRDefault="00E50D2F" w:rsidP="00FB4E11">
      <w:pPr>
        <w:pStyle w:val="BodyText"/>
      </w:pPr>
      <w:r w:rsidRPr="00936320">
        <w:t>The More button opens the window used to link licenses to the transaction, and for making reservations and drawdowns against the license.</w:t>
      </w:r>
    </w:p>
    <w:p w14:paraId="6D72D26E" w14:textId="01496934" w:rsidR="00E50D2F" w:rsidRDefault="00E50D2F" w:rsidP="00FB4E11">
      <w:pPr>
        <w:pStyle w:val="BodyText"/>
      </w:pPr>
    </w:p>
    <w:p w14:paraId="22E165EF" w14:textId="1FF21C3D" w:rsidR="003C0DA1" w:rsidRPr="00936320" w:rsidRDefault="003C0DA1" w:rsidP="00FB4E11">
      <w:pPr>
        <w:pStyle w:val="BodyText"/>
      </w:pPr>
      <w:r>
        <w:rPr>
          <w:noProof/>
        </w:rPr>
        <w:drawing>
          <wp:inline distT="0" distB="0" distL="0" distR="0" wp14:anchorId="263215D8" wp14:editId="320AAC73">
            <wp:extent cx="5731510" cy="100838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08380"/>
                    </a:xfrm>
                    <a:prstGeom prst="rect">
                      <a:avLst/>
                    </a:prstGeom>
                  </pic:spPr>
                </pic:pic>
              </a:graphicData>
            </a:graphic>
          </wp:inline>
        </w:drawing>
      </w:r>
    </w:p>
    <w:p w14:paraId="68FFC4AA" w14:textId="77777777" w:rsidR="00E50D2F" w:rsidRPr="00936320" w:rsidRDefault="00E50D2F" w:rsidP="00FB4E11">
      <w:pPr>
        <w:pStyle w:val="BodyText"/>
      </w:pPr>
      <w:r w:rsidRPr="00936320">
        <w:t>To link a license to the transaction, press the Add Link button. This opens the License Browser, which you can use to select from all the live licenses that are currently on the system.</w:t>
      </w:r>
    </w:p>
    <w:p w14:paraId="2EB438A1" w14:textId="5E519F78" w:rsidR="000A15CC" w:rsidRPr="00936320" w:rsidRDefault="000A15CC" w:rsidP="00FB4E11">
      <w:pPr>
        <w:pStyle w:val="BodyText"/>
      </w:pPr>
      <w:r>
        <w:rPr>
          <w:noProof/>
        </w:rPr>
        <w:lastRenderedPageBreak/>
        <w:drawing>
          <wp:inline distT="0" distB="0" distL="0" distR="0" wp14:anchorId="7C5FAC6F" wp14:editId="2AA8CB72">
            <wp:extent cx="5731510" cy="311975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19755"/>
                    </a:xfrm>
                    <a:prstGeom prst="rect">
                      <a:avLst/>
                    </a:prstGeom>
                  </pic:spPr>
                </pic:pic>
              </a:graphicData>
            </a:graphic>
          </wp:inline>
        </w:drawing>
      </w:r>
    </w:p>
    <w:p w14:paraId="29CCBFE9" w14:textId="77777777" w:rsidR="00E50D2F" w:rsidRPr="00936320" w:rsidRDefault="00E50D2F" w:rsidP="00FB4E11">
      <w:pPr>
        <w:pStyle w:val="BodyText"/>
      </w:pPr>
      <w:r w:rsidRPr="00936320">
        <w:t>When the License browser opens, it has its filters pre-set to select all licenses where:</w:t>
      </w:r>
    </w:p>
    <w:p w14:paraId="2EEB1042" w14:textId="77777777" w:rsidR="00E50D2F" w:rsidRPr="00936320" w:rsidRDefault="00E50D2F" w:rsidP="00FB4E11">
      <w:pPr>
        <w:pStyle w:val="BulletLevel1"/>
      </w:pPr>
      <w:r w:rsidRPr="00936320">
        <w:t>The status of the master is live</w:t>
      </w:r>
    </w:p>
    <w:p w14:paraId="0ADB79D0" w14:textId="77777777" w:rsidR="00E50D2F" w:rsidRPr="00936320" w:rsidRDefault="00E50D2F" w:rsidP="00FB4E11">
      <w:pPr>
        <w:pStyle w:val="BulletLevel1"/>
      </w:pPr>
      <w:r w:rsidRPr="00936320">
        <w:t>The status of the license is live</w:t>
      </w:r>
    </w:p>
    <w:p w14:paraId="20DCDF21" w14:textId="77777777" w:rsidR="00E50D2F" w:rsidRPr="00936320" w:rsidRDefault="00E50D2F" w:rsidP="00FB4E11">
      <w:pPr>
        <w:pStyle w:val="BulletLevel1"/>
      </w:pPr>
      <w:r w:rsidRPr="00936320">
        <w:t>The license matches the product type (</w:t>
      </w:r>
      <w:proofErr w:type="gramStart"/>
      <w:r w:rsidRPr="00936320">
        <w:t>provided that</w:t>
      </w:r>
      <w:proofErr w:type="gramEnd"/>
      <w:r w:rsidRPr="00936320">
        <w:t xml:space="preserve"> you only have one type of license associated with the product)</w:t>
      </w:r>
    </w:p>
    <w:p w14:paraId="5468C22A" w14:textId="77777777" w:rsidR="00E50D2F" w:rsidRPr="00936320" w:rsidRDefault="00E50D2F" w:rsidP="00FB4E11">
      <w:pPr>
        <w:pStyle w:val="BodyText"/>
      </w:pPr>
      <w:r w:rsidRPr="00936320">
        <w:t xml:space="preserve">In addition, if a principal and non-principal party have been entered on the transaction, the appropriate filters on the browser are pre-set to those parties (again - </w:t>
      </w:r>
      <w:proofErr w:type="gramStart"/>
      <w:r w:rsidRPr="00936320">
        <w:t>provided that</w:t>
      </w:r>
      <w:proofErr w:type="gramEnd"/>
      <w:r w:rsidRPr="00936320">
        <w:t xml:space="preserve"> you only have one type of license associated with the product).</w:t>
      </w:r>
    </w:p>
    <w:p w14:paraId="51EDA28B" w14:textId="77777777" w:rsidR="00E50D2F" w:rsidRPr="00936320" w:rsidRDefault="00E50D2F" w:rsidP="00FB4E11">
      <w:pPr>
        <w:pStyle w:val="BodyText"/>
      </w:pPr>
      <w:r w:rsidRPr="00936320">
        <w:t>Once you have selected a license from the browser, it is linked to the transaction and the Licenses window will be updated. This means that the transaction amount has been allocated to the license, and drawdowns may now be made against that amount when payment is processed.</w:t>
      </w:r>
    </w:p>
    <w:p w14:paraId="24818DCF" w14:textId="77777777" w:rsidR="00754AEF" w:rsidRPr="00936320" w:rsidRDefault="00754AEF" w:rsidP="00FB4E11">
      <w:pPr>
        <w:pStyle w:val="BodyText"/>
      </w:pPr>
      <w:r w:rsidRPr="00936320">
        <w:br w:type="page"/>
      </w:r>
    </w:p>
    <w:p w14:paraId="1929F37A" w14:textId="77777777" w:rsidR="00E50D2F" w:rsidRPr="00936320" w:rsidRDefault="00E50D2F" w:rsidP="00FB4E11">
      <w:pPr>
        <w:pStyle w:val="BodyText"/>
      </w:pPr>
      <w:r w:rsidRPr="00936320">
        <w:lastRenderedPageBreak/>
        <w:t>If the transaction amount changes during the life of the contract then, depending on circumstances, you may need to either:</w:t>
      </w:r>
    </w:p>
    <w:p w14:paraId="796E486A" w14:textId="77777777" w:rsidR="00E50D2F" w:rsidRPr="00936320" w:rsidRDefault="00E50D2F" w:rsidP="00FB4E11">
      <w:pPr>
        <w:pStyle w:val="BulletLevel1"/>
      </w:pPr>
      <w:r w:rsidRPr="00936320">
        <w:t>Change the existing allocation and reservation amounts, or</w:t>
      </w:r>
    </w:p>
    <w:p w14:paraId="16DCF416" w14:textId="77777777" w:rsidR="00E50D2F" w:rsidRPr="00936320" w:rsidRDefault="00E50D2F" w:rsidP="00FB4E11">
      <w:pPr>
        <w:pStyle w:val="BulletLevel1"/>
      </w:pPr>
      <w:r w:rsidRPr="00936320">
        <w:t>Make additional reservations against the allocation, or</w:t>
      </w:r>
    </w:p>
    <w:p w14:paraId="358CA0EC" w14:textId="77777777" w:rsidR="00E50D2F" w:rsidRPr="00936320" w:rsidRDefault="00E50D2F" w:rsidP="00FB4E11">
      <w:pPr>
        <w:pStyle w:val="BulletLevel1"/>
      </w:pPr>
      <w:r w:rsidRPr="00936320">
        <w:t>Link additional licenses to cover an increased contract value, or</w:t>
      </w:r>
    </w:p>
    <w:p w14:paraId="6F0648A9" w14:textId="77777777" w:rsidR="00E50D2F" w:rsidRPr="00936320" w:rsidRDefault="00E50D2F" w:rsidP="00FB4E11">
      <w:pPr>
        <w:pStyle w:val="BulletLevel1"/>
      </w:pPr>
      <w:r w:rsidRPr="00936320">
        <w:t>Reinstate part of the license amount</w:t>
      </w:r>
    </w:p>
    <w:p w14:paraId="5F1E6DCF" w14:textId="77777777" w:rsidR="00E50D2F" w:rsidRPr="00936320" w:rsidRDefault="00E50D2F" w:rsidP="00FB4E11">
      <w:pPr>
        <w:pStyle w:val="BodyText"/>
      </w:pPr>
      <w:r w:rsidRPr="00936320">
        <w:t>Using the buttons on the window, you can manage the license allocations and reservations as listed below. Note that one or more buttons may be disabled, depending on the type of event.</w:t>
      </w:r>
    </w:p>
    <w:tbl>
      <w:tblPr>
        <w:tblStyle w:val="TableGrid"/>
        <w:tblW w:w="9090" w:type="dxa"/>
        <w:tblLayout w:type="fixed"/>
        <w:tblLook w:val="0020" w:firstRow="1" w:lastRow="0" w:firstColumn="0" w:lastColumn="0" w:noHBand="0" w:noVBand="0"/>
      </w:tblPr>
      <w:tblGrid>
        <w:gridCol w:w="2070"/>
        <w:gridCol w:w="7020"/>
      </w:tblGrid>
      <w:tr w:rsidR="00E50D2F" w:rsidRPr="00936320" w14:paraId="1CDCF22C"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2D678620" w14:textId="77777777" w:rsidR="00E50D2F" w:rsidRPr="00936320" w:rsidRDefault="00E50D2F" w:rsidP="00FB4E11">
            <w:pPr>
              <w:pStyle w:val="TableHead"/>
            </w:pPr>
            <w:r w:rsidRPr="00936320">
              <w:t>Button</w:t>
            </w:r>
          </w:p>
        </w:tc>
        <w:tc>
          <w:tcPr>
            <w:tcW w:w="7020" w:type="dxa"/>
          </w:tcPr>
          <w:p w14:paraId="779150FD" w14:textId="77777777" w:rsidR="00E50D2F" w:rsidRPr="00936320" w:rsidRDefault="00E50D2F" w:rsidP="00FB4E11">
            <w:pPr>
              <w:pStyle w:val="TableHead"/>
            </w:pPr>
            <w:r w:rsidRPr="00936320">
              <w:t>What it Does</w:t>
            </w:r>
          </w:p>
        </w:tc>
      </w:tr>
      <w:tr w:rsidR="00E50D2F" w:rsidRPr="00936320" w14:paraId="68314E76" w14:textId="77777777" w:rsidTr="00FB4E11">
        <w:trPr>
          <w:cnfStyle w:val="000000100000" w:firstRow="0" w:lastRow="0" w:firstColumn="0" w:lastColumn="0" w:oddVBand="0" w:evenVBand="0" w:oddHBand="1" w:evenHBand="0" w:firstRowFirstColumn="0" w:firstRowLastColumn="0" w:lastRowFirstColumn="0" w:lastRowLastColumn="0"/>
          <w:trHeight w:val="1765"/>
        </w:trPr>
        <w:tc>
          <w:tcPr>
            <w:tcW w:w="2070" w:type="dxa"/>
          </w:tcPr>
          <w:p w14:paraId="634349FD" w14:textId="77777777" w:rsidR="00E50D2F" w:rsidRPr="00936320" w:rsidRDefault="00E50D2F" w:rsidP="004651B5">
            <w:pPr>
              <w:pStyle w:val="TableText"/>
            </w:pPr>
            <w:r w:rsidRPr="00936320">
              <w:t>Add Link</w:t>
            </w:r>
          </w:p>
        </w:tc>
        <w:tc>
          <w:tcPr>
            <w:tcW w:w="7020" w:type="dxa"/>
          </w:tcPr>
          <w:p w14:paraId="277A5E1B" w14:textId="77777777" w:rsidR="00E50D2F" w:rsidRPr="00936320" w:rsidRDefault="00E50D2F" w:rsidP="004651B5">
            <w:pPr>
              <w:pStyle w:val="TableText"/>
            </w:pPr>
            <w:r w:rsidRPr="00936320">
              <w:t>If the default for that license type is set to allow multiple licenses per transaction, then you can continue to add other links from this window. For example, you might wish to split the payment across several licenses.</w:t>
            </w:r>
          </w:p>
          <w:p w14:paraId="1C78FA91" w14:textId="77777777" w:rsidR="00E50D2F" w:rsidRPr="00936320" w:rsidRDefault="00E50D2F" w:rsidP="004651B5">
            <w:pPr>
              <w:pStyle w:val="TableText"/>
            </w:pPr>
            <w:r w:rsidRPr="00936320">
              <w:t>When you add a link, it will default to the currently unallocated amount (if this is smaller than the license amount available); otherwise it defaults to the license amount available. The amount cannot exceed the current available amount on the license.</w:t>
            </w:r>
          </w:p>
        </w:tc>
      </w:tr>
      <w:tr w:rsidR="00E50D2F" w:rsidRPr="00936320" w14:paraId="0356CB18"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469BF123" w14:textId="77777777" w:rsidR="00E50D2F" w:rsidRPr="00936320" w:rsidRDefault="00E50D2F" w:rsidP="004651B5">
            <w:pPr>
              <w:pStyle w:val="TableText"/>
            </w:pPr>
            <w:r w:rsidRPr="00936320">
              <w:t>License</w:t>
            </w:r>
          </w:p>
        </w:tc>
        <w:tc>
          <w:tcPr>
            <w:tcW w:w="7020" w:type="dxa"/>
          </w:tcPr>
          <w:p w14:paraId="677EB79C" w14:textId="77777777" w:rsidR="00E50D2F" w:rsidRPr="00936320" w:rsidRDefault="00E50D2F" w:rsidP="004651B5">
            <w:pPr>
              <w:pStyle w:val="TableText"/>
            </w:pPr>
            <w:r w:rsidRPr="00936320">
              <w:t xml:space="preserve">To review the details of the selected license, click </w:t>
            </w:r>
            <w:r w:rsidRPr="00936320">
              <w:rPr>
                <w:b/>
              </w:rPr>
              <w:t>License</w:t>
            </w:r>
            <w:r w:rsidRPr="00936320">
              <w:t>.</w:t>
            </w:r>
          </w:p>
        </w:tc>
      </w:tr>
      <w:tr w:rsidR="00E50D2F" w:rsidRPr="00936320" w14:paraId="1980598F"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33BA0F04" w14:textId="77777777" w:rsidR="00E50D2F" w:rsidRPr="00936320" w:rsidRDefault="00E50D2F" w:rsidP="004651B5">
            <w:pPr>
              <w:pStyle w:val="TableText"/>
            </w:pPr>
            <w:r w:rsidRPr="00936320">
              <w:t>Delete</w:t>
            </w:r>
          </w:p>
        </w:tc>
        <w:tc>
          <w:tcPr>
            <w:tcW w:w="7020" w:type="dxa"/>
          </w:tcPr>
          <w:p w14:paraId="03DEE83F" w14:textId="77777777" w:rsidR="00E50D2F" w:rsidRPr="00936320" w:rsidRDefault="00E50D2F" w:rsidP="004651B5">
            <w:pPr>
              <w:pStyle w:val="TableText"/>
            </w:pPr>
            <w:r w:rsidRPr="00936320">
              <w:t xml:space="preserve">You can delete an allocated license or a reservation by selecting them on this window and clicking </w:t>
            </w:r>
            <w:r w:rsidRPr="00936320">
              <w:rPr>
                <w:b/>
              </w:rPr>
              <w:t>Delete</w:t>
            </w:r>
            <w:r w:rsidRPr="00936320">
              <w:t>.</w:t>
            </w:r>
          </w:p>
        </w:tc>
      </w:tr>
      <w:tr w:rsidR="00E50D2F" w:rsidRPr="00936320" w14:paraId="1038C7C0"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6BF87DEA" w14:textId="77777777" w:rsidR="00E50D2F" w:rsidRPr="00936320" w:rsidRDefault="00E50D2F" w:rsidP="004651B5">
            <w:pPr>
              <w:pStyle w:val="TableText"/>
            </w:pPr>
            <w:r w:rsidRPr="00936320">
              <w:t>Update</w:t>
            </w:r>
          </w:p>
        </w:tc>
        <w:tc>
          <w:tcPr>
            <w:tcW w:w="7020" w:type="dxa"/>
          </w:tcPr>
          <w:p w14:paraId="37037856" w14:textId="77777777" w:rsidR="00E50D2F" w:rsidRPr="00936320" w:rsidRDefault="00E50D2F" w:rsidP="004651B5">
            <w:pPr>
              <w:pStyle w:val="TableText"/>
            </w:pPr>
            <w:r w:rsidRPr="00936320">
              <w:t>The allocated amount of each license may be increased or decreased depending on the type of amendment, in line with increase or decrease of the transaction value. You can amend the allocated amount by selecting the license and clicking on the Update button. The Link License window appears, where you can review the license details and amend the allocated amount.</w:t>
            </w:r>
          </w:p>
          <w:p w14:paraId="1B2C5EAD" w14:textId="77777777" w:rsidR="00E50D2F" w:rsidRPr="00936320" w:rsidRDefault="00E50D2F" w:rsidP="004651B5">
            <w:pPr>
              <w:pStyle w:val="TableText"/>
            </w:pPr>
            <w:r w:rsidRPr="00936320">
              <w:t>The Allocation Amount field allows you to override the amount that has been automatically selected by the system. This might be used, for example, to accommodate any differences between the incoterms of the license and the incoterms of the letter of credit. The allocated amount must not exceed the transaction amount.</w:t>
            </w:r>
          </w:p>
        </w:tc>
      </w:tr>
      <w:tr w:rsidR="00E50D2F" w:rsidRPr="00936320" w14:paraId="1B4CE714"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6D53CD5D" w14:textId="77777777" w:rsidR="00E50D2F" w:rsidRPr="00936320" w:rsidRDefault="00E50D2F" w:rsidP="004651B5">
            <w:pPr>
              <w:pStyle w:val="TableText"/>
            </w:pPr>
            <w:r w:rsidRPr="00936320">
              <w:t>Reserve</w:t>
            </w:r>
          </w:p>
        </w:tc>
        <w:tc>
          <w:tcPr>
            <w:tcW w:w="7020" w:type="dxa"/>
          </w:tcPr>
          <w:p w14:paraId="42FA66F7" w14:textId="77777777" w:rsidR="00E50D2F" w:rsidRPr="00936320" w:rsidRDefault="00E50D2F" w:rsidP="004651B5">
            <w:pPr>
              <w:pStyle w:val="TableText"/>
            </w:pPr>
            <w:r w:rsidRPr="00936320">
              <w:t>You can add a manual reservation to a license allocation that is not yet reserved. See the next section.</w:t>
            </w:r>
          </w:p>
        </w:tc>
      </w:tr>
      <w:tr w:rsidR="00E50D2F" w:rsidRPr="00936320" w14:paraId="3A78C4A0" w14:textId="77777777" w:rsidTr="00FB4E11">
        <w:trPr>
          <w:cnfStyle w:val="000000010000" w:firstRow="0" w:lastRow="0" w:firstColumn="0" w:lastColumn="0" w:oddVBand="0" w:evenVBand="0" w:oddHBand="0" w:evenHBand="1" w:firstRowFirstColumn="0" w:firstRowLastColumn="0" w:lastRowFirstColumn="0" w:lastRowLastColumn="0"/>
          <w:trHeight w:val="1486"/>
        </w:trPr>
        <w:tc>
          <w:tcPr>
            <w:tcW w:w="2070" w:type="dxa"/>
          </w:tcPr>
          <w:p w14:paraId="70499978" w14:textId="77777777" w:rsidR="00E50D2F" w:rsidRPr="00936320" w:rsidRDefault="00E50D2F" w:rsidP="004651B5">
            <w:pPr>
              <w:pStyle w:val="TableText"/>
            </w:pPr>
            <w:r w:rsidRPr="00936320">
              <w:t>Draw Down</w:t>
            </w:r>
          </w:p>
        </w:tc>
        <w:tc>
          <w:tcPr>
            <w:tcW w:w="7020" w:type="dxa"/>
          </w:tcPr>
          <w:p w14:paraId="52917B11" w14:textId="77777777" w:rsidR="00E50D2F" w:rsidRPr="00936320" w:rsidRDefault="00E50D2F" w:rsidP="004651B5">
            <w:pPr>
              <w:pStyle w:val="TableText"/>
            </w:pPr>
            <w:r w:rsidRPr="00936320">
              <w:t>The Draw Down button is not activated until payment of the transaction. It can then be used to manage the drawdown of funds against the license amount for clean payments, financing transactions and freely negotiable letters of credit.</w:t>
            </w:r>
          </w:p>
          <w:p w14:paraId="322B195D" w14:textId="77777777" w:rsidR="00E50D2F" w:rsidRPr="00936320" w:rsidRDefault="00E50D2F" w:rsidP="00FB4E11">
            <w:pPr>
              <w:pStyle w:val="TableNote"/>
            </w:pPr>
            <w:r w:rsidRPr="00936320">
              <w:t>For clean payment, financing transactions and freely negotiable letters of credit, drawdown is used instead of reserve as the license is immediately drawn down to reflect the payment. Reserve is never available for these products.</w:t>
            </w:r>
          </w:p>
        </w:tc>
      </w:tr>
      <w:tr w:rsidR="00E50D2F" w:rsidRPr="00936320" w14:paraId="6DE5DE5D"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461BFEAC" w14:textId="77777777" w:rsidR="00E50D2F" w:rsidRPr="00936320" w:rsidRDefault="00E50D2F" w:rsidP="004651B5">
            <w:pPr>
              <w:pStyle w:val="TableText"/>
            </w:pPr>
            <w:r w:rsidRPr="00936320">
              <w:t>Reinstate</w:t>
            </w:r>
          </w:p>
        </w:tc>
        <w:tc>
          <w:tcPr>
            <w:tcW w:w="7020" w:type="dxa"/>
          </w:tcPr>
          <w:p w14:paraId="3B05F070" w14:textId="77777777" w:rsidR="00E50D2F" w:rsidRPr="00936320" w:rsidRDefault="00E50D2F" w:rsidP="004651B5">
            <w:pPr>
              <w:pStyle w:val="TableText"/>
            </w:pPr>
            <w:r w:rsidRPr="00936320">
              <w:t>The Reinstate button is not active until after the Create event is completed. Thereafter it can be used to reinstate any part of the license amount that is not used in payment of the transaction - for example, during final payment of a transaction, or at expiry or cancellation of that transaction.</w:t>
            </w:r>
          </w:p>
        </w:tc>
      </w:tr>
    </w:tbl>
    <w:p w14:paraId="26908248" w14:textId="77777777" w:rsidR="002007A6" w:rsidRPr="00936320" w:rsidRDefault="002007A6" w:rsidP="00FB4E11">
      <w:pPr>
        <w:pStyle w:val="BodyText"/>
        <w:rPr>
          <w:rFonts w:eastAsiaTheme="majorEastAsia" w:cstheme="majorBidi"/>
          <w:sz w:val="28"/>
        </w:rPr>
      </w:pPr>
      <w:bookmarkStart w:id="170" w:name="O_24148"/>
      <w:bookmarkStart w:id="171" w:name="_Toc317758869"/>
      <w:bookmarkStart w:id="172" w:name="_Toc373155446"/>
      <w:bookmarkEnd w:id="170"/>
      <w:r w:rsidRPr="00936320">
        <w:br w:type="page"/>
      </w:r>
    </w:p>
    <w:p w14:paraId="10E2DE99" w14:textId="77777777" w:rsidR="00E50D2F" w:rsidRPr="00936320" w:rsidRDefault="00E50D2F" w:rsidP="000F5BE4">
      <w:pPr>
        <w:pStyle w:val="Heading3"/>
      </w:pPr>
      <w:bookmarkStart w:id="173" w:name="_Toc411436723"/>
      <w:bookmarkStart w:id="174" w:name="_Toc166665346"/>
      <w:r w:rsidRPr="00936320">
        <w:lastRenderedPageBreak/>
        <w:t>Reservations</w:t>
      </w:r>
      <w:bookmarkEnd w:id="171"/>
      <w:bookmarkEnd w:id="172"/>
      <w:bookmarkEnd w:id="173"/>
      <w:bookmarkEnd w:id="174"/>
    </w:p>
    <w:p w14:paraId="6A825046" w14:textId="77777777" w:rsidR="00E50D2F" w:rsidRPr="00936320" w:rsidRDefault="00E50D2F" w:rsidP="00FB4E11">
      <w:pPr>
        <w:pStyle w:val="BodyText"/>
      </w:pPr>
      <w:r w:rsidRPr="00936320">
        <w:t xml:space="preserve">Reservations may be made manually or automatically, depending on the set-up in the License product mapping. If the reservation has been made automatically, </w:t>
      </w:r>
      <w:r w:rsidR="00754AEF" w:rsidRPr="00936320">
        <w:t>Trade Innovation</w:t>
      </w:r>
      <w:r w:rsidRPr="00936320">
        <w:t xml:space="preserve"> lists both the license allocations and the corresponding reservations that have been made for that transaction. However, note that for some products (such as financing transactions, freely negotiable letters of credit, or clean payments) you get a drawdown instead.</w:t>
      </w:r>
    </w:p>
    <w:p w14:paraId="055EEF8C" w14:textId="77471FD5" w:rsidR="00AB7DE6" w:rsidRPr="00936320" w:rsidRDefault="001D2833" w:rsidP="00FB4E11">
      <w:pPr>
        <w:pStyle w:val="BodyText"/>
      </w:pPr>
      <w:r>
        <w:rPr>
          <w:noProof/>
        </w:rPr>
        <w:drawing>
          <wp:inline distT="0" distB="0" distL="0" distR="0" wp14:anchorId="7E9D24FD" wp14:editId="2F238BD1">
            <wp:extent cx="5731510" cy="98615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86155"/>
                    </a:xfrm>
                    <a:prstGeom prst="rect">
                      <a:avLst/>
                    </a:prstGeom>
                  </pic:spPr>
                </pic:pic>
              </a:graphicData>
            </a:graphic>
          </wp:inline>
        </w:drawing>
      </w:r>
    </w:p>
    <w:p w14:paraId="6F9A4B33" w14:textId="77777777" w:rsidR="00E50D2F" w:rsidRPr="00936320" w:rsidRDefault="00E50D2F" w:rsidP="00FB4E11">
      <w:pPr>
        <w:pStyle w:val="BodyText"/>
      </w:pPr>
      <w:r w:rsidRPr="00936320">
        <w:t>If the reservation has not been made automatically, only the license allocation is displayed. You can make the reservation manually by selecting a license allocation and pressing the Reserve button.</w:t>
      </w:r>
    </w:p>
    <w:p w14:paraId="3ECA633C" w14:textId="66933565" w:rsidR="00910944" w:rsidRPr="00936320" w:rsidRDefault="00910944" w:rsidP="00FB4E11">
      <w:pPr>
        <w:pStyle w:val="BodyText"/>
      </w:pPr>
      <w:r>
        <w:rPr>
          <w:noProof/>
        </w:rPr>
        <w:drawing>
          <wp:inline distT="0" distB="0" distL="0" distR="0" wp14:anchorId="38744194" wp14:editId="1CB2CF97">
            <wp:extent cx="5731510" cy="11645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64590"/>
                    </a:xfrm>
                    <a:prstGeom prst="rect">
                      <a:avLst/>
                    </a:prstGeom>
                  </pic:spPr>
                </pic:pic>
              </a:graphicData>
            </a:graphic>
          </wp:inline>
        </w:drawing>
      </w:r>
    </w:p>
    <w:p w14:paraId="7FEED567" w14:textId="77777777" w:rsidR="00E50D2F" w:rsidRPr="00936320" w:rsidRDefault="00E50D2F" w:rsidP="00FB4E11">
      <w:pPr>
        <w:pStyle w:val="BodyText"/>
      </w:pPr>
      <w:r w:rsidRPr="00936320">
        <w:t xml:space="preserve">In the window that opens you can enter a reservation amount and an exchange rate. These will default respectively to the amount of the corresponding allocation and the rate that has been defined as the default for licenses, but you can amend them if necessary. (The </w:t>
      </w:r>
      <w:proofErr w:type="spellStart"/>
      <w:r w:rsidRPr="00936320">
        <w:t>LicenseFXRatesReadOnly</w:t>
      </w:r>
      <w:proofErr w:type="spellEnd"/>
      <w:r w:rsidRPr="00936320">
        <w:t xml:space="preserve"> system option controls </w:t>
      </w:r>
      <w:proofErr w:type="gramStart"/>
      <w:r w:rsidRPr="00936320">
        <w:t>whether or not</w:t>
      </w:r>
      <w:proofErr w:type="gramEnd"/>
      <w:r w:rsidRPr="00936320">
        <w:t xml:space="preserve"> you can change the exchange rate on this window.)</w:t>
      </w:r>
    </w:p>
    <w:p w14:paraId="087DC742" w14:textId="77777777" w:rsidR="00E50D2F" w:rsidRPr="00936320" w:rsidRDefault="00E50D2F" w:rsidP="00FB4E11">
      <w:pPr>
        <w:pStyle w:val="BodyText"/>
      </w:pPr>
      <w:r w:rsidRPr="00936320">
        <w:t xml:space="preserve">The amount that is reserved would normally be the same as the allocated amount on the transaction. It cannot be more than the available amount on the license, plus any outstanding reservations if any. </w:t>
      </w:r>
    </w:p>
    <w:p w14:paraId="5C51E5BF" w14:textId="77777777" w:rsidR="00E50D2F" w:rsidRPr="00936320" w:rsidRDefault="00E50D2F" w:rsidP="00FB4E11">
      <w:pPr>
        <w:pStyle w:val="BodyText"/>
      </w:pPr>
      <w:r w:rsidRPr="00936320">
        <w:t xml:space="preserve">By default, the whole of the allocation amount will be allocated to the license that you have selected, assuming that there is </w:t>
      </w:r>
      <w:proofErr w:type="gramStart"/>
      <w:r w:rsidRPr="00936320">
        <w:t>sufficient amount</w:t>
      </w:r>
      <w:proofErr w:type="gramEnd"/>
      <w:r w:rsidRPr="00936320">
        <w:t xml:space="preserve"> available on the license. You can manually spread the transaction amount across more than one license by using the Update button, which is described in the table below. Where the available amount on the license is insufficient, </w:t>
      </w:r>
      <w:r w:rsidR="00754AEF" w:rsidRPr="00936320">
        <w:t>Trade Innovation</w:t>
      </w:r>
      <w:r w:rsidRPr="00936320">
        <w:t xml:space="preserve"> will only allocate the amount that is available, and you must select another license to cover the shortfall.</w:t>
      </w:r>
    </w:p>
    <w:p w14:paraId="4CE7C81F" w14:textId="77777777" w:rsidR="00E50D2F" w:rsidRPr="00936320" w:rsidRDefault="00E50D2F" w:rsidP="00FB4E11">
      <w:pPr>
        <w:pStyle w:val="BodyText"/>
      </w:pPr>
      <w:r w:rsidRPr="00936320">
        <w:t>The Reserve event can be viewed from within the Work In Progress pane. It shows the same details as in the Reservation Details pane.</w:t>
      </w:r>
    </w:p>
    <w:p w14:paraId="72F53123" w14:textId="77777777" w:rsidR="00E50D2F" w:rsidRPr="00936320" w:rsidRDefault="00E50D2F" w:rsidP="000F5BE4">
      <w:pPr>
        <w:pStyle w:val="Heading1"/>
      </w:pPr>
      <w:bookmarkStart w:id="175" w:name="_Toc317758870"/>
      <w:bookmarkStart w:id="176" w:name="_Toc373155447"/>
      <w:bookmarkStart w:id="177" w:name="_Toc390475617"/>
      <w:bookmarkStart w:id="178" w:name="_Toc411436724"/>
      <w:bookmarkStart w:id="179" w:name="_Ref57056471"/>
      <w:bookmarkStart w:id="180" w:name="_Ref57056495"/>
      <w:bookmarkStart w:id="181" w:name="_Toc166665347"/>
      <w:r w:rsidRPr="00936320">
        <w:lastRenderedPageBreak/>
        <w:t>Making Changes to a License</w:t>
      </w:r>
      <w:bookmarkEnd w:id="175"/>
      <w:bookmarkEnd w:id="176"/>
      <w:bookmarkEnd w:id="177"/>
      <w:bookmarkEnd w:id="178"/>
      <w:bookmarkEnd w:id="179"/>
      <w:bookmarkEnd w:id="180"/>
      <w:bookmarkEnd w:id="181"/>
    </w:p>
    <w:p w14:paraId="436B10CA" w14:textId="77777777" w:rsidR="00E50D2F" w:rsidRPr="00936320" w:rsidRDefault="00E50D2F" w:rsidP="00FB4E11">
      <w:pPr>
        <w:pStyle w:val="BodyText"/>
      </w:pPr>
      <w:r w:rsidRPr="00936320">
        <w:t>This chapter describes the events that allow you to change a license that has alr</w:t>
      </w:r>
      <w:r w:rsidR="002D662B" w:rsidRPr="00936320">
        <w:t>eady been created and released.</w:t>
      </w:r>
    </w:p>
    <w:p w14:paraId="7D6FDFA2" w14:textId="1E6B9302" w:rsidR="00E50D2F" w:rsidRPr="00936320" w:rsidRDefault="00E50D2F" w:rsidP="000F5BE4">
      <w:pPr>
        <w:pStyle w:val="Heading2"/>
      </w:pPr>
      <w:bookmarkStart w:id="182" w:name="O_23717"/>
      <w:bookmarkStart w:id="183" w:name="_Toc317758871"/>
      <w:bookmarkStart w:id="184" w:name="_Toc373155448"/>
      <w:bookmarkStart w:id="185" w:name="_Toc390475618"/>
      <w:bookmarkStart w:id="186" w:name="_Toc411436725"/>
      <w:bookmarkStart w:id="187" w:name="_Toc166665348"/>
      <w:bookmarkEnd w:id="182"/>
      <w:r w:rsidRPr="00936320">
        <w:t xml:space="preserve">Making Changes to a License in </w:t>
      </w:r>
      <w:bookmarkEnd w:id="183"/>
      <w:bookmarkEnd w:id="184"/>
      <w:bookmarkEnd w:id="185"/>
      <w:r w:rsidR="00985469">
        <w:t>Trade Innovation</w:t>
      </w:r>
      <w:bookmarkEnd w:id="186"/>
      <w:bookmarkEnd w:id="187"/>
    </w:p>
    <w:p w14:paraId="47E34A47" w14:textId="77777777" w:rsidR="00E50D2F" w:rsidRPr="00936320" w:rsidRDefault="00E03250" w:rsidP="002D662B">
      <w:pPr>
        <w:pStyle w:val="NoSpaceAfter"/>
      </w:pPr>
      <w:r w:rsidRPr="00936320">
        <w:t>Trade Innovation</w:t>
      </w:r>
      <w:r w:rsidR="00E50D2F" w:rsidRPr="00936320">
        <w:t xml:space="preserve"> provides two events that allow you to make changes to the details of a license once it has been entered on the system:</w:t>
      </w:r>
    </w:p>
    <w:tbl>
      <w:tblPr>
        <w:tblStyle w:val="TableSubtle1"/>
        <w:tblW w:w="9090" w:type="dxa"/>
        <w:tblInd w:w="115" w:type="dxa"/>
        <w:tblLayout w:type="fixed"/>
        <w:tblLook w:val="0000" w:firstRow="0" w:lastRow="0" w:firstColumn="0" w:lastColumn="0" w:noHBand="0" w:noVBand="0"/>
      </w:tblPr>
      <w:tblGrid>
        <w:gridCol w:w="2070"/>
        <w:gridCol w:w="7020"/>
      </w:tblGrid>
      <w:tr w:rsidR="00E50D2F" w:rsidRPr="00936320" w14:paraId="67746269" w14:textId="77777777" w:rsidTr="006404A1">
        <w:trPr>
          <w:cnfStyle w:val="000000100000" w:firstRow="0" w:lastRow="0" w:firstColumn="0" w:lastColumn="0" w:oddVBand="0" w:evenVBand="0" w:oddHBand="1" w:evenHBand="0" w:firstRowFirstColumn="0" w:firstRowLastColumn="0" w:lastRowFirstColumn="0" w:lastRowLastColumn="0"/>
        </w:trPr>
        <w:tc>
          <w:tcPr>
            <w:tcW w:w="2070" w:type="dxa"/>
          </w:tcPr>
          <w:p w14:paraId="75A56C84" w14:textId="77777777" w:rsidR="00E50D2F" w:rsidRPr="00936320" w:rsidRDefault="00E50D2F" w:rsidP="004651B5">
            <w:pPr>
              <w:pStyle w:val="TableText"/>
            </w:pPr>
            <w:r w:rsidRPr="00936320">
              <w:t>Amend</w:t>
            </w:r>
          </w:p>
        </w:tc>
        <w:tc>
          <w:tcPr>
            <w:tcW w:w="7020" w:type="dxa"/>
          </w:tcPr>
          <w:p w14:paraId="66410547" w14:textId="77777777" w:rsidR="00E50D2F" w:rsidRPr="00936320" w:rsidRDefault="00E50D2F" w:rsidP="004651B5">
            <w:pPr>
              <w:pStyle w:val="TableText"/>
            </w:pPr>
            <w:r w:rsidRPr="00936320">
              <w:t>used to manage the license status or to change any other details that have been entered at license input</w:t>
            </w:r>
            <w:bookmarkStart w:id="188" w:name="H_21649"/>
            <w:bookmarkEnd w:id="188"/>
            <w:r w:rsidRPr="00936320">
              <w:t xml:space="preserve"> (see page</w:t>
            </w:r>
            <w:r w:rsidR="00B15F6F">
              <w:t xml:space="preserve"> </w:t>
            </w:r>
            <w:r w:rsidR="00115080">
              <w:fldChar w:fldCharType="begin"/>
            </w:r>
            <w:r w:rsidR="00B15F6F">
              <w:instrText xml:space="preserve"> PAGEREF _Ref432450538 \h </w:instrText>
            </w:r>
            <w:r w:rsidR="00115080">
              <w:fldChar w:fldCharType="separate"/>
            </w:r>
            <w:r w:rsidR="007920EC">
              <w:t>20</w:t>
            </w:r>
            <w:r w:rsidR="00115080">
              <w:fldChar w:fldCharType="end"/>
            </w:r>
            <w:r w:rsidRPr="00936320">
              <w:t>).</w:t>
            </w:r>
          </w:p>
        </w:tc>
      </w:tr>
      <w:tr w:rsidR="00E50D2F" w:rsidRPr="00936320" w14:paraId="071A0A60" w14:textId="77777777" w:rsidTr="006404A1">
        <w:tc>
          <w:tcPr>
            <w:tcW w:w="2070" w:type="dxa"/>
          </w:tcPr>
          <w:p w14:paraId="76F04C61" w14:textId="77777777" w:rsidR="00E50D2F" w:rsidRPr="00936320" w:rsidRDefault="00E50D2F" w:rsidP="004651B5">
            <w:pPr>
              <w:pStyle w:val="TableText"/>
            </w:pPr>
            <w:r w:rsidRPr="00936320">
              <w:t>Adjust</w:t>
            </w:r>
          </w:p>
        </w:tc>
        <w:tc>
          <w:tcPr>
            <w:tcW w:w="7020" w:type="dxa"/>
          </w:tcPr>
          <w:p w14:paraId="7BAF1733" w14:textId="77777777" w:rsidR="00E50D2F" w:rsidRPr="00936320" w:rsidRDefault="00E50D2F" w:rsidP="004651B5">
            <w:pPr>
              <w:pStyle w:val="TableText"/>
            </w:pPr>
            <w:r w:rsidRPr="00936320">
              <w:t>designed for internal bank adjustments only, and enables you to make manual changes to any of the license details</w:t>
            </w:r>
            <w:bookmarkStart w:id="189" w:name="H_21647"/>
            <w:bookmarkEnd w:id="189"/>
            <w:r w:rsidRPr="00936320">
              <w:t xml:space="preserve"> (see page</w:t>
            </w:r>
            <w:r w:rsidR="00B15F6F">
              <w:t xml:space="preserve"> </w:t>
            </w:r>
            <w:r w:rsidR="00115080">
              <w:fldChar w:fldCharType="begin"/>
            </w:r>
            <w:r w:rsidR="00B15F6F">
              <w:instrText xml:space="preserve"> PAGEREF _Ref432450546 \h </w:instrText>
            </w:r>
            <w:r w:rsidR="00115080">
              <w:fldChar w:fldCharType="separate"/>
            </w:r>
            <w:r w:rsidR="007920EC">
              <w:t>21</w:t>
            </w:r>
            <w:r w:rsidR="00115080">
              <w:fldChar w:fldCharType="end"/>
            </w:r>
            <w:r w:rsidRPr="00936320">
              <w:t>).</w:t>
            </w:r>
          </w:p>
        </w:tc>
      </w:tr>
    </w:tbl>
    <w:p w14:paraId="0D0CA852" w14:textId="77777777" w:rsidR="00E50D2F" w:rsidRPr="00936320" w:rsidRDefault="00E50D2F" w:rsidP="002007A6">
      <w:pPr>
        <w:pStyle w:val="SpaceBefore"/>
      </w:pPr>
      <w:r w:rsidRPr="00936320">
        <w:t>Amendments to a license would normally be used to manage the license status. For example, you may amend the license status from 'Live/To be Cleared' to 'Cleared'. An Amend event can be used to change any of the fields on the license, however. If you make an amendment to a license, note that:</w:t>
      </w:r>
    </w:p>
    <w:p w14:paraId="39A2020B" w14:textId="77777777" w:rsidR="00E50D2F" w:rsidRPr="00936320" w:rsidRDefault="00E50D2F" w:rsidP="00FB4E11">
      <w:pPr>
        <w:pStyle w:val="BulletLevel1"/>
      </w:pPr>
      <w:r w:rsidRPr="00936320">
        <w:t>It is not possible to amend the license currency (as this will affect all previous drawdowns) or the product type</w:t>
      </w:r>
    </w:p>
    <w:p w14:paraId="173538F0" w14:textId="77777777" w:rsidR="00E50D2F" w:rsidRPr="00936320" w:rsidRDefault="00E50D2F" w:rsidP="00FB4E11">
      <w:pPr>
        <w:pStyle w:val="BulletLevel1"/>
      </w:pPr>
      <w:r w:rsidRPr="00936320">
        <w:t xml:space="preserve">The new license amount must be more than the sum of the reserved amount and the </w:t>
      </w:r>
      <w:proofErr w:type="spellStart"/>
      <w:r w:rsidRPr="00936320">
        <w:t>utilised</w:t>
      </w:r>
      <w:proofErr w:type="spellEnd"/>
      <w:r w:rsidRPr="00936320">
        <w:t xml:space="preserve"> amount</w:t>
      </w:r>
    </w:p>
    <w:p w14:paraId="6FD619F7" w14:textId="77777777" w:rsidR="00E50D2F" w:rsidRPr="00936320" w:rsidRDefault="00E50D2F" w:rsidP="000F5BE4">
      <w:pPr>
        <w:pStyle w:val="Heading2"/>
      </w:pPr>
      <w:bookmarkStart w:id="190" w:name="O_21648"/>
      <w:bookmarkStart w:id="191" w:name="_Toc317758872"/>
      <w:bookmarkStart w:id="192" w:name="_Toc373155449"/>
      <w:bookmarkStart w:id="193" w:name="_Toc390475619"/>
      <w:bookmarkStart w:id="194" w:name="_Toc411436726"/>
      <w:bookmarkStart w:id="195" w:name="_Ref432450382"/>
      <w:bookmarkStart w:id="196" w:name="_Ref432450538"/>
      <w:bookmarkStart w:id="197" w:name="_Toc166665349"/>
      <w:bookmarkEnd w:id="190"/>
      <w:r w:rsidRPr="00936320">
        <w:t>Amending a License</w:t>
      </w:r>
      <w:bookmarkEnd w:id="191"/>
      <w:bookmarkEnd w:id="192"/>
      <w:bookmarkEnd w:id="193"/>
      <w:bookmarkEnd w:id="194"/>
      <w:bookmarkEnd w:id="195"/>
      <w:bookmarkEnd w:id="196"/>
      <w:bookmarkEnd w:id="197"/>
    </w:p>
    <w:p w14:paraId="03AEFD37" w14:textId="20D73870" w:rsidR="00E50D2F" w:rsidRPr="00936320" w:rsidRDefault="00E50D2F" w:rsidP="00FB4E11">
      <w:pPr>
        <w:pStyle w:val="BodyText"/>
      </w:pPr>
      <w:r w:rsidRPr="00936320">
        <w:t xml:space="preserve">To amend a license, in the Master Summary window select 'Amend' from the Create New Event drop-down list. </w:t>
      </w:r>
      <w:r w:rsidR="00E03250" w:rsidRPr="00936320">
        <w:t>Trade Innovation</w:t>
      </w:r>
      <w:r w:rsidRPr="00936320">
        <w:t xml:space="preserve"> opens the event at either a Log step or Input step. Depending on how your system is configured, panes and fields available in log steps can be tailored for each data capture step. See the </w:t>
      </w:r>
      <w:r w:rsidRPr="00936320">
        <w:rPr>
          <w:i/>
        </w:rPr>
        <w:t>SDK - Systems Interfacing Guide</w:t>
      </w:r>
      <w:r w:rsidR="002D662B" w:rsidRPr="00936320">
        <w:rPr>
          <w:i/>
        </w:rPr>
        <w:t xml:space="preserve"> </w:t>
      </w:r>
      <w:r w:rsidR="002D662B" w:rsidRPr="00567CEA">
        <w:rPr>
          <w:rStyle w:val="Italic"/>
        </w:rPr>
        <w:t xml:space="preserve">– </w:t>
      </w:r>
      <w:r w:rsidR="00985469">
        <w:rPr>
          <w:rStyle w:val="Italic"/>
        </w:rPr>
        <w:t>Trade Innovation</w:t>
      </w:r>
      <w:r w:rsidR="002D662B" w:rsidRPr="00567CEA">
        <w:rPr>
          <w:rStyle w:val="Italic"/>
        </w:rPr>
        <w:t xml:space="preserve"> </w:t>
      </w:r>
      <w:r w:rsidRPr="00936320">
        <w:t>for details.</w:t>
      </w:r>
    </w:p>
    <w:p w14:paraId="6B34CA6B" w14:textId="32CAFF7F" w:rsidR="00E50D2F" w:rsidRDefault="00E50D2F" w:rsidP="00FB4E11">
      <w:pPr>
        <w:pStyle w:val="BodyText"/>
      </w:pPr>
    </w:p>
    <w:p w14:paraId="478A7684" w14:textId="0E3A3090" w:rsidR="003B5627" w:rsidRPr="00936320" w:rsidRDefault="003B5627" w:rsidP="00FB4E11">
      <w:pPr>
        <w:pStyle w:val="BodyText"/>
      </w:pPr>
      <w:r>
        <w:rPr>
          <w:noProof/>
        </w:rPr>
        <w:drawing>
          <wp:inline distT="0" distB="0" distL="0" distR="0" wp14:anchorId="6965AC9F" wp14:editId="53C3784C">
            <wp:extent cx="5731510" cy="295783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57830"/>
                    </a:xfrm>
                    <a:prstGeom prst="rect">
                      <a:avLst/>
                    </a:prstGeom>
                  </pic:spPr>
                </pic:pic>
              </a:graphicData>
            </a:graphic>
          </wp:inline>
        </w:drawing>
      </w:r>
    </w:p>
    <w:p w14:paraId="1F0AEF23" w14:textId="77777777" w:rsidR="00E50D2F" w:rsidRPr="00936320" w:rsidRDefault="00E50D2F" w:rsidP="00D84816">
      <w:pPr>
        <w:pStyle w:val="NoSpaceAfter"/>
      </w:pPr>
      <w:r w:rsidRPr="00936320">
        <w:t>The fields are identical to those used when creating the license, with some additional fields described in the table below</w:t>
      </w:r>
      <w:r w:rsidR="003B085C" w:rsidRPr="00936320">
        <w:t>:</w:t>
      </w:r>
    </w:p>
    <w:tbl>
      <w:tblPr>
        <w:tblStyle w:val="TableGrid"/>
        <w:tblW w:w="9090" w:type="dxa"/>
        <w:tblLayout w:type="fixed"/>
        <w:tblLook w:val="0020" w:firstRow="1" w:lastRow="0" w:firstColumn="0" w:lastColumn="0" w:noHBand="0" w:noVBand="0"/>
      </w:tblPr>
      <w:tblGrid>
        <w:gridCol w:w="2070"/>
        <w:gridCol w:w="7020"/>
      </w:tblGrid>
      <w:tr w:rsidR="00E50D2F" w:rsidRPr="00936320" w14:paraId="18C23159"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0184DC7F" w14:textId="77777777" w:rsidR="00E50D2F" w:rsidRPr="00936320" w:rsidRDefault="00E50D2F" w:rsidP="00FB4E11">
            <w:pPr>
              <w:pStyle w:val="TableHead"/>
            </w:pPr>
            <w:r w:rsidRPr="00936320">
              <w:t>Name</w:t>
            </w:r>
          </w:p>
        </w:tc>
        <w:tc>
          <w:tcPr>
            <w:tcW w:w="7020" w:type="dxa"/>
          </w:tcPr>
          <w:p w14:paraId="610BB240" w14:textId="77777777" w:rsidR="00E50D2F" w:rsidRPr="00936320" w:rsidRDefault="00E50D2F" w:rsidP="00FB4E11">
            <w:pPr>
              <w:pStyle w:val="TableHead"/>
            </w:pPr>
            <w:r w:rsidRPr="00936320">
              <w:t>Description/Purpose</w:t>
            </w:r>
          </w:p>
        </w:tc>
      </w:tr>
      <w:tr w:rsidR="00E50D2F" w:rsidRPr="00936320" w14:paraId="1AB5109F"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6CEBD814" w14:textId="77777777" w:rsidR="00E50D2F" w:rsidRPr="00936320" w:rsidRDefault="00E50D2F" w:rsidP="004651B5">
            <w:pPr>
              <w:pStyle w:val="TableText"/>
            </w:pPr>
            <w:r w:rsidRPr="00936320">
              <w:t>Amendment Narrative</w:t>
            </w:r>
          </w:p>
        </w:tc>
        <w:tc>
          <w:tcPr>
            <w:tcW w:w="7020" w:type="dxa"/>
          </w:tcPr>
          <w:p w14:paraId="2ECD72AD" w14:textId="77777777" w:rsidR="00E50D2F" w:rsidRPr="00936320" w:rsidRDefault="00E50D2F" w:rsidP="004651B5">
            <w:pPr>
              <w:pStyle w:val="TableText"/>
            </w:pPr>
            <w:r w:rsidRPr="00936320">
              <w:t>Any information regarding the amendment. This field is included in MT999 SWIFT messages and may also be included in documents.</w:t>
            </w:r>
          </w:p>
        </w:tc>
      </w:tr>
      <w:tr w:rsidR="00E50D2F" w:rsidRPr="00936320" w14:paraId="63836BFC" w14:textId="77777777" w:rsidTr="00FB4E11">
        <w:trPr>
          <w:cnfStyle w:val="000000010000" w:firstRow="0" w:lastRow="0" w:firstColumn="0" w:lastColumn="0" w:oddVBand="0" w:evenVBand="0" w:oddHBand="0" w:evenHBand="1" w:firstRowFirstColumn="0" w:firstRowLastColumn="0" w:lastRowFirstColumn="0" w:lastRowLastColumn="0"/>
          <w:trHeight w:val="1388"/>
        </w:trPr>
        <w:tc>
          <w:tcPr>
            <w:tcW w:w="2070" w:type="dxa"/>
          </w:tcPr>
          <w:p w14:paraId="2F4B58F6" w14:textId="77777777" w:rsidR="00E50D2F" w:rsidRPr="00936320" w:rsidRDefault="00E50D2F" w:rsidP="004651B5">
            <w:pPr>
              <w:pStyle w:val="TableText"/>
            </w:pPr>
            <w:r w:rsidRPr="00936320">
              <w:lastRenderedPageBreak/>
              <w:t>License Status</w:t>
            </w:r>
          </w:p>
        </w:tc>
        <w:tc>
          <w:tcPr>
            <w:tcW w:w="7020" w:type="dxa"/>
          </w:tcPr>
          <w:p w14:paraId="78A0ADDB" w14:textId="77777777" w:rsidR="00E50D2F" w:rsidRPr="00936320" w:rsidRDefault="00E50D2F" w:rsidP="004651B5">
            <w:pPr>
              <w:pStyle w:val="TableText"/>
            </w:pPr>
            <w:r w:rsidRPr="00936320">
              <w:t>You can use this field to change the license's status to 'Live', 'To Be Cleared', or 'Cleared'.</w:t>
            </w:r>
          </w:p>
          <w:p w14:paraId="473A9841" w14:textId="77777777" w:rsidR="00E50D2F" w:rsidRPr="00936320" w:rsidRDefault="00E50D2F" w:rsidP="004651B5">
            <w:pPr>
              <w:pStyle w:val="TableText"/>
            </w:pPr>
            <w:r w:rsidRPr="00936320">
              <w:t xml:space="preserve">If the license status is changed to 'Cleared', then the system will automatically </w:t>
            </w:r>
            <w:proofErr w:type="spellStart"/>
            <w:r w:rsidRPr="00936320">
              <w:t>diarise</w:t>
            </w:r>
            <w:proofErr w:type="spellEnd"/>
            <w:r w:rsidRPr="00936320">
              <w:t xml:space="preserve"> a Book Off event if one does not already exist in the diary.</w:t>
            </w:r>
          </w:p>
          <w:p w14:paraId="2DEFCC75" w14:textId="77777777" w:rsidR="00E50D2F" w:rsidRPr="00936320" w:rsidRDefault="00E50D2F" w:rsidP="00FB4E11">
            <w:pPr>
              <w:pStyle w:val="TableNote"/>
            </w:pPr>
            <w:r w:rsidRPr="00936320">
              <w:t>You cannot book off a license unless the status has been set to 'Cleared'.</w:t>
            </w:r>
          </w:p>
        </w:tc>
      </w:tr>
      <w:tr w:rsidR="00E50D2F" w:rsidRPr="00936320" w14:paraId="1CF2B1A5"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43D28753" w14:textId="77777777" w:rsidR="00E50D2F" w:rsidRPr="00936320" w:rsidRDefault="00E50D2F" w:rsidP="004651B5">
            <w:pPr>
              <w:pStyle w:val="TableText"/>
            </w:pPr>
            <w:r w:rsidRPr="00936320">
              <w:t>Declared</w:t>
            </w:r>
          </w:p>
        </w:tc>
        <w:tc>
          <w:tcPr>
            <w:tcW w:w="7020" w:type="dxa"/>
          </w:tcPr>
          <w:p w14:paraId="7E9E60C0" w14:textId="77777777" w:rsidR="00E50D2F" w:rsidRPr="00936320" w:rsidRDefault="00E50D2F" w:rsidP="004651B5">
            <w:pPr>
              <w:pStyle w:val="TableText"/>
            </w:pPr>
            <w:r w:rsidRPr="00936320">
              <w:t>Check this box if you want the system to verify that the cleared license file has been transmitted to the authorities. This is only required for reporting purposes, and defaults to No.</w:t>
            </w:r>
          </w:p>
        </w:tc>
      </w:tr>
    </w:tbl>
    <w:p w14:paraId="2595BF37" w14:textId="77777777" w:rsidR="00E50D2F" w:rsidRPr="00936320" w:rsidRDefault="00E50D2F" w:rsidP="002D662B">
      <w:pPr>
        <w:pStyle w:val="SpaceBefore"/>
      </w:pPr>
      <w:r w:rsidRPr="00936320">
        <w:t>You can use the Changes (see page</w:t>
      </w:r>
      <w:r w:rsidR="00B15F6F">
        <w:t xml:space="preserve"> </w:t>
      </w:r>
      <w:r w:rsidR="00115080">
        <w:fldChar w:fldCharType="begin"/>
      </w:r>
      <w:r w:rsidR="00B15F6F">
        <w:instrText xml:space="preserve"> PAGEREF _Ref432450558 \h </w:instrText>
      </w:r>
      <w:r w:rsidR="00115080">
        <w:fldChar w:fldCharType="separate"/>
      </w:r>
      <w:r w:rsidR="007920EC">
        <w:rPr>
          <w:noProof/>
        </w:rPr>
        <w:t>22</w:t>
      </w:r>
      <w:r w:rsidR="00115080">
        <w:fldChar w:fldCharType="end"/>
      </w:r>
      <w:r w:rsidRPr="00936320">
        <w:t>) button to view details of any changes that have been made during the current event.</w:t>
      </w:r>
    </w:p>
    <w:p w14:paraId="7CD56443" w14:textId="77777777" w:rsidR="00E50D2F" w:rsidRPr="00936320" w:rsidRDefault="00E50D2F" w:rsidP="000F5BE4">
      <w:pPr>
        <w:pStyle w:val="Heading2"/>
      </w:pPr>
      <w:bookmarkStart w:id="198" w:name="O_21646"/>
      <w:bookmarkStart w:id="199" w:name="_Toc317758873"/>
      <w:bookmarkStart w:id="200" w:name="_Toc373155450"/>
      <w:bookmarkStart w:id="201" w:name="_Toc390475620"/>
      <w:bookmarkStart w:id="202" w:name="_Toc411436727"/>
      <w:bookmarkStart w:id="203" w:name="_Ref432450371"/>
      <w:bookmarkStart w:id="204" w:name="_Ref432450546"/>
      <w:bookmarkStart w:id="205" w:name="_Toc166665350"/>
      <w:bookmarkEnd w:id="198"/>
      <w:r w:rsidRPr="00936320">
        <w:t>Adjusting a License</w:t>
      </w:r>
      <w:bookmarkEnd w:id="199"/>
      <w:bookmarkEnd w:id="200"/>
      <w:bookmarkEnd w:id="201"/>
      <w:bookmarkEnd w:id="202"/>
      <w:bookmarkEnd w:id="203"/>
      <w:bookmarkEnd w:id="204"/>
      <w:bookmarkEnd w:id="205"/>
    </w:p>
    <w:p w14:paraId="217462E4" w14:textId="77777777" w:rsidR="00E50D2F" w:rsidRPr="00936320" w:rsidRDefault="00E50D2F" w:rsidP="00FB4E11">
      <w:pPr>
        <w:pStyle w:val="BodyText"/>
      </w:pPr>
      <w:r w:rsidRPr="00936320">
        <w:t xml:space="preserve">This event is designed for internal bank adjustments only, and enables you to make manual changes to any of the license details. For example you might use it to manually adjust the balances on the license </w:t>
      </w:r>
      <w:proofErr w:type="gramStart"/>
      <w:r w:rsidRPr="00936320">
        <w:t>in order to</w:t>
      </w:r>
      <w:proofErr w:type="gramEnd"/>
      <w:r w:rsidRPr="00936320">
        <w:t xml:space="preserve"> reinstate a balance if an outward clean payment was later rejected.</w:t>
      </w:r>
    </w:p>
    <w:p w14:paraId="090284BF" w14:textId="73421293" w:rsidR="00E50D2F" w:rsidRPr="00936320" w:rsidRDefault="00E50D2F" w:rsidP="00FB4E11">
      <w:pPr>
        <w:pStyle w:val="BodyText"/>
      </w:pPr>
      <w:r w:rsidRPr="00936320">
        <w:t xml:space="preserve">To make an adjustment to a license, in the Master Summary window select 'Adjust' from the Create New Event drop-down list. </w:t>
      </w:r>
      <w:r w:rsidR="00E03250" w:rsidRPr="00936320">
        <w:t>Trade Innovation</w:t>
      </w:r>
      <w:r w:rsidRPr="00936320">
        <w:t xml:space="preserve"> opens the event at either a Log step or Input step. Depending on how your system is configured, panes and fields available in log steps can be tailored for each data capture step. See the </w:t>
      </w:r>
      <w:r w:rsidRPr="00936320">
        <w:rPr>
          <w:i/>
        </w:rPr>
        <w:t>SDK - Systems Interfacing Guide</w:t>
      </w:r>
      <w:r w:rsidR="002D662B" w:rsidRPr="00936320">
        <w:rPr>
          <w:i/>
        </w:rPr>
        <w:t xml:space="preserve"> </w:t>
      </w:r>
      <w:r w:rsidR="002D662B" w:rsidRPr="00567CEA">
        <w:rPr>
          <w:rStyle w:val="Italic"/>
        </w:rPr>
        <w:t xml:space="preserve">– </w:t>
      </w:r>
      <w:r w:rsidR="00985469">
        <w:rPr>
          <w:rStyle w:val="Italic"/>
        </w:rPr>
        <w:t>Trade Innovation</w:t>
      </w:r>
      <w:r w:rsidR="002D662B" w:rsidRPr="00567CEA">
        <w:rPr>
          <w:rStyle w:val="Italic"/>
        </w:rPr>
        <w:t xml:space="preserve"> </w:t>
      </w:r>
      <w:r w:rsidRPr="00936320">
        <w:t>for details.</w:t>
      </w:r>
    </w:p>
    <w:p w14:paraId="40AB448A" w14:textId="3366CC22" w:rsidR="00E50D2F" w:rsidRDefault="00E50D2F" w:rsidP="00FB4E11">
      <w:pPr>
        <w:pStyle w:val="BodyText"/>
      </w:pPr>
    </w:p>
    <w:p w14:paraId="4AF5EE53" w14:textId="579D9EB5" w:rsidR="00653DEF" w:rsidRDefault="00B63ACC" w:rsidP="00FB4E11">
      <w:pPr>
        <w:pStyle w:val="BodyText"/>
      </w:pPr>
      <w:r>
        <w:rPr>
          <w:noProof/>
        </w:rPr>
        <w:drawing>
          <wp:inline distT="0" distB="0" distL="0" distR="0" wp14:anchorId="54DE630A" wp14:editId="453ED257">
            <wp:extent cx="5731510" cy="27108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10815"/>
                    </a:xfrm>
                    <a:prstGeom prst="rect">
                      <a:avLst/>
                    </a:prstGeom>
                  </pic:spPr>
                </pic:pic>
              </a:graphicData>
            </a:graphic>
          </wp:inline>
        </w:drawing>
      </w:r>
    </w:p>
    <w:p w14:paraId="49B3D3FC" w14:textId="77777777" w:rsidR="00C44ADA" w:rsidRPr="00936320" w:rsidRDefault="00C44ADA" w:rsidP="00FB4E11">
      <w:pPr>
        <w:pStyle w:val="BodyText"/>
      </w:pPr>
    </w:p>
    <w:p w14:paraId="64FC86C8" w14:textId="77777777" w:rsidR="00E50D2F" w:rsidRPr="00936320" w:rsidRDefault="00E50D2F" w:rsidP="00FB4E11">
      <w:pPr>
        <w:pStyle w:val="BodyText"/>
      </w:pPr>
      <w:r w:rsidRPr="00936320">
        <w:t>The fields are identical to those used when creating the license, with some additional field</w:t>
      </w:r>
      <w:r w:rsidR="002D662B" w:rsidRPr="00936320">
        <w:t>s described in the table below.</w:t>
      </w:r>
    </w:p>
    <w:p w14:paraId="46CB8FA1" w14:textId="77777777" w:rsidR="00E50D2F" w:rsidRPr="00936320" w:rsidRDefault="00E50D2F" w:rsidP="00FB4E11">
      <w:pPr>
        <w:pStyle w:val="BodyText"/>
      </w:pPr>
      <w:r w:rsidRPr="00936320">
        <w:t>You can use the Changes</w:t>
      </w:r>
      <w:bookmarkStart w:id="206" w:name="H_21645"/>
      <w:bookmarkEnd w:id="206"/>
      <w:r w:rsidRPr="00936320">
        <w:t xml:space="preserve"> (see page</w:t>
      </w:r>
      <w:r w:rsidR="00B15F6F">
        <w:t xml:space="preserve"> </w:t>
      </w:r>
      <w:r w:rsidR="00115080">
        <w:fldChar w:fldCharType="begin"/>
      </w:r>
      <w:r w:rsidR="00B15F6F">
        <w:instrText xml:space="preserve"> PAGEREF _Ref432450569 \h </w:instrText>
      </w:r>
      <w:r w:rsidR="00115080">
        <w:fldChar w:fldCharType="separate"/>
      </w:r>
      <w:r w:rsidR="007920EC">
        <w:rPr>
          <w:noProof/>
        </w:rPr>
        <w:t>22</w:t>
      </w:r>
      <w:r w:rsidR="00115080">
        <w:fldChar w:fldCharType="end"/>
      </w:r>
      <w:r w:rsidRPr="00936320">
        <w:t>) button to view details of any changes that have been made during the current event.</w:t>
      </w:r>
    </w:p>
    <w:tbl>
      <w:tblPr>
        <w:tblStyle w:val="TableGrid"/>
        <w:tblW w:w="9090" w:type="dxa"/>
        <w:tblLayout w:type="fixed"/>
        <w:tblLook w:val="0020" w:firstRow="1" w:lastRow="0" w:firstColumn="0" w:lastColumn="0" w:noHBand="0" w:noVBand="0"/>
      </w:tblPr>
      <w:tblGrid>
        <w:gridCol w:w="2070"/>
        <w:gridCol w:w="7020"/>
      </w:tblGrid>
      <w:tr w:rsidR="00E50D2F" w:rsidRPr="00936320" w14:paraId="2B6E3F0A" w14:textId="77777777" w:rsidTr="004F28FD">
        <w:trPr>
          <w:cnfStyle w:val="100000000000" w:firstRow="1" w:lastRow="0" w:firstColumn="0" w:lastColumn="0" w:oddVBand="0" w:evenVBand="0" w:oddHBand="0" w:evenHBand="0" w:firstRowFirstColumn="0" w:firstRowLastColumn="0" w:lastRowFirstColumn="0" w:lastRowLastColumn="0"/>
          <w:trHeight w:val="432"/>
          <w:tblHeader/>
        </w:trPr>
        <w:tc>
          <w:tcPr>
            <w:tcW w:w="0" w:type="dxa"/>
          </w:tcPr>
          <w:p w14:paraId="0A51FFB0" w14:textId="77777777" w:rsidR="00E50D2F" w:rsidRPr="00936320" w:rsidRDefault="00E50D2F" w:rsidP="00FB4E11">
            <w:pPr>
              <w:pStyle w:val="TableHead"/>
            </w:pPr>
            <w:r w:rsidRPr="00936320">
              <w:t>Field</w:t>
            </w:r>
          </w:p>
        </w:tc>
        <w:tc>
          <w:tcPr>
            <w:tcW w:w="0" w:type="dxa"/>
          </w:tcPr>
          <w:p w14:paraId="06CAC182" w14:textId="77777777" w:rsidR="00E50D2F" w:rsidRPr="00936320" w:rsidRDefault="00E50D2F" w:rsidP="00FB4E11">
            <w:pPr>
              <w:pStyle w:val="TableHead"/>
            </w:pPr>
            <w:r w:rsidRPr="00936320">
              <w:t>What to Enter</w:t>
            </w:r>
          </w:p>
        </w:tc>
      </w:tr>
      <w:tr w:rsidR="00E50D2F" w:rsidRPr="00936320" w14:paraId="027463DA"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3F753FEB" w14:textId="77777777" w:rsidR="00E50D2F" w:rsidRPr="00936320" w:rsidRDefault="00E50D2F" w:rsidP="004651B5">
            <w:pPr>
              <w:pStyle w:val="TableText"/>
            </w:pPr>
            <w:r w:rsidRPr="00936320">
              <w:t>Master Status</w:t>
            </w:r>
          </w:p>
        </w:tc>
        <w:tc>
          <w:tcPr>
            <w:tcW w:w="7020" w:type="dxa"/>
          </w:tcPr>
          <w:p w14:paraId="1021F9AF" w14:textId="77777777" w:rsidR="00E50D2F" w:rsidRPr="00936320" w:rsidRDefault="00E50D2F" w:rsidP="004651B5">
            <w:pPr>
              <w:pStyle w:val="TableText"/>
            </w:pPr>
            <w:r w:rsidRPr="00936320">
              <w:t>You can change the status of the license's master record from 'Booked Off' (BKF) to Live' (LIV), so that your bank can use the available balance.</w:t>
            </w:r>
          </w:p>
        </w:tc>
      </w:tr>
      <w:tr w:rsidR="00E50D2F" w:rsidRPr="00936320" w14:paraId="0AEBE9BA"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46275B4A" w14:textId="77777777" w:rsidR="00E50D2F" w:rsidRPr="00936320" w:rsidRDefault="00E50D2F" w:rsidP="004651B5">
            <w:pPr>
              <w:pStyle w:val="TableText"/>
            </w:pPr>
            <w:r w:rsidRPr="00936320">
              <w:t>License Status</w:t>
            </w:r>
          </w:p>
        </w:tc>
        <w:tc>
          <w:tcPr>
            <w:tcW w:w="7020" w:type="dxa"/>
          </w:tcPr>
          <w:p w14:paraId="6EE60F75" w14:textId="77777777" w:rsidR="00E50D2F" w:rsidRPr="00936320" w:rsidRDefault="00E50D2F" w:rsidP="004651B5">
            <w:pPr>
              <w:pStyle w:val="TableText"/>
            </w:pPr>
            <w:r w:rsidRPr="00936320">
              <w:t>The status of the license.</w:t>
            </w:r>
          </w:p>
        </w:tc>
      </w:tr>
      <w:tr w:rsidR="00E50D2F" w:rsidRPr="00936320" w14:paraId="3258C75D" w14:textId="77777777" w:rsidTr="00FB4E11">
        <w:trPr>
          <w:cnfStyle w:val="000000100000" w:firstRow="0" w:lastRow="0" w:firstColumn="0" w:lastColumn="0" w:oddVBand="0" w:evenVBand="0" w:oddHBand="1" w:evenHBand="0" w:firstRowFirstColumn="0" w:firstRowLastColumn="0" w:lastRowFirstColumn="0" w:lastRowLastColumn="0"/>
          <w:trHeight w:val="370"/>
        </w:trPr>
        <w:tc>
          <w:tcPr>
            <w:tcW w:w="2070" w:type="dxa"/>
          </w:tcPr>
          <w:p w14:paraId="17723F8B" w14:textId="77777777" w:rsidR="00E50D2F" w:rsidRPr="00936320" w:rsidRDefault="00E50D2F" w:rsidP="004651B5">
            <w:pPr>
              <w:pStyle w:val="TableText"/>
            </w:pPr>
            <w:r w:rsidRPr="00936320">
              <w:t>Amount Available</w:t>
            </w:r>
          </w:p>
        </w:tc>
        <w:tc>
          <w:tcPr>
            <w:tcW w:w="7020" w:type="dxa"/>
          </w:tcPr>
          <w:p w14:paraId="14FC691A" w14:textId="77777777" w:rsidR="00E50D2F" w:rsidRPr="00936320" w:rsidRDefault="00E50D2F" w:rsidP="004651B5">
            <w:pPr>
              <w:pStyle w:val="TableText"/>
            </w:pPr>
            <w:r w:rsidRPr="00936320">
              <w:t>The amount currently available on the license.</w:t>
            </w:r>
          </w:p>
        </w:tc>
      </w:tr>
      <w:tr w:rsidR="00E50D2F" w:rsidRPr="00936320" w14:paraId="5F5CCAC2"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12E5081D" w14:textId="77777777" w:rsidR="00E50D2F" w:rsidRPr="00936320" w:rsidRDefault="00E50D2F" w:rsidP="004651B5">
            <w:pPr>
              <w:pStyle w:val="TableText"/>
            </w:pPr>
            <w:r w:rsidRPr="00936320">
              <w:t>Amount Reserved</w:t>
            </w:r>
          </w:p>
        </w:tc>
        <w:tc>
          <w:tcPr>
            <w:tcW w:w="7020" w:type="dxa"/>
          </w:tcPr>
          <w:p w14:paraId="77750564" w14:textId="77777777" w:rsidR="00E50D2F" w:rsidRPr="00936320" w:rsidRDefault="00E50D2F" w:rsidP="004651B5">
            <w:pPr>
              <w:pStyle w:val="TableText"/>
            </w:pPr>
            <w:r w:rsidRPr="00936320">
              <w:t>The amount currently reserved against the license.</w:t>
            </w:r>
          </w:p>
        </w:tc>
      </w:tr>
      <w:tr w:rsidR="00E50D2F" w:rsidRPr="00936320" w14:paraId="5D2CBB89"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05DB5104" w14:textId="77777777" w:rsidR="00E50D2F" w:rsidRPr="00936320" w:rsidRDefault="00E50D2F" w:rsidP="004651B5">
            <w:pPr>
              <w:pStyle w:val="TableText"/>
            </w:pPr>
            <w:r w:rsidRPr="00936320">
              <w:t>Amount Utilised</w:t>
            </w:r>
          </w:p>
        </w:tc>
        <w:tc>
          <w:tcPr>
            <w:tcW w:w="7020" w:type="dxa"/>
          </w:tcPr>
          <w:p w14:paraId="49BFC671" w14:textId="77777777" w:rsidR="00E50D2F" w:rsidRPr="00936320" w:rsidRDefault="00E50D2F" w:rsidP="004651B5">
            <w:pPr>
              <w:pStyle w:val="TableText"/>
            </w:pPr>
            <w:r w:rsidRPr="00936320">
              <w:t xml:space="preserve">The amount of the license already </w:t>
            </w:r>
            <w:proofErr w:type="spellStart"/>
            <w:r w:rsidRPr="00936320">
              <w:t>utilised</w:t>
            </w:r>
            <w:proofErr w:type="spellEnd"/>
            <w:r w:rsidRPr="00936320">
              <w:t>.</w:t>
            </w:r>
          </w:p>
        </w:tc>
      </w:tr>
    </w:tbl>
    <w:p w14:paraId="1823527C" w14:textId="77777777" w:rsidR="00E50D2F" w:rsidRPr="00936320" w:rsidRDefault="00E50D2F" w:rsidP="000F5BE4">
      <w:pPr>
        <w:pStyle w:val="Heading2"/>
      </w:pPr>
      <w:bookmarkStart w:id="207" w:name="_Toc390475621"/>
      <w:bookmarkStart w:id="208" w:name="_Ref404928401"/>
      <w:bookmarkStart w:id="209" w:name="_Ref404928449"/>
      <w:bookmarkStart w:id="210" w:name="_Toc411436728"/>
      <w:bookmarkStart w:id="211" w:name="_Ref432450558"/>
      <w:bookmarkStart w:id="212" w:name="_Ref432450569"/>
      <w:bookmarkStart w:id="213" w:name="_Toc166665351"/>
      <w:r w:rsidRPr="00936320">
        <w:lastRenderedPageBreak/>
        <w:t>Displaying Changes</w:t>
      </w:r>
      <w:bookmarkEnd w:id="207"/>
      <w:bookmarkEnd w:id="208"/>
      <w:bookmarkEnd w:id="209"/>
      <w:bookmarkEnd w:id="210"/>
      <w:bookmarkEnd w:id="211"/>
      <w:bookmarkEnd w:id="212"/>
      <w:bookmarkEnd w:id="213"/>
    </w:p>
    <w:p w14:paraId="3F266A40" w14:textId="6D834050" w:rsidR="0058720E" w:rsidRPr="00936320" w:rsidRDefault="0058720E" w:rsidP="00FB4E11">
      <w:pPr>
        <w:pStyle w:val="BodyText"/>
      </w:pPr>
      <w:r>
        <w:rPr>
          <w:noProof/>
        </w:rPr>
        <w:drawing>
          <wp:inline distT="0" distB="0" distL="0" distR="0" wp14:anchorId="5F474009" wp14:editId="30653066">
            <wp:extent cx="5731510" cy="92392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23925"/>
                    </a:xfrm>
                    <a:prstGeom prst="rect">
                      <a:avLst/>
                    </a:prstGeom>
                  </pic:spPr>
                </pic:pic>
              </a:graphicData>
            </a:graphic>
          </wp:inline>
        </w:drawing>
      </w:r>
    </w:p>
    <w:p w14:paraId="51565AA0" w14:textId="77777777" w:rsidR="00E50D2F" w:rsidRPr="00936320" w:rsidRDefault="00E50D2F" w:rsidP="00FB4E11">
      <w:pPr>
        <w:pStyle w:val="BodyText"/>
      </w:pPr>
      <w:r w:rsidRPr="00936320">
        <w:t xml:space="preserve">When making amendments or adjustments to a transaction the Changes button allows you - and reviewers - to list those fields that have changed within the event. It opens a window that lists those fields whose value has changed and shows for each the value before the current event and the new value resulting from the event. </w:t>
      </w:r>
    </w:p>
    <w:p w14:paraId="78DF83B7" w14:textId="77777777" w:rsidR="00E50D2F" w:rsidRPr="00936320" w:rsidRDefault="00E50D2F" w:rsidP="00FB4E11">
      <w:pPr>
        <w:pStyle w:val="BodyText"/>
      </w:pPr>
      <w:r w:rsidRPr="00936320">
        <w:t xml:space="preserve">For free-format narrative fields, your bank can configure </w:t>
      </w:r>
      <w:r w:rsidR="00E03250" w:rsidRPr="00936320">
        <w:t>Trade Innovation</w:t>
      </w:r>
      <w:r w:rsidRPr="00936320">
        <w:t xml:space="preserve"> so that it shows either the entire content of the field in the New Value column, or just a certain number of lines (defined by the system option </w:t>
      </w:r>
      <w:proofErr w:type="spellStart"/>
      <w:r w:rsidRPr="00936320">
        <w:t>ViewChangesLineCount</w:t>
      </w:r>
      <w:proofErr w:type="spellEnd"/>
      <w:r w:rsidRPr="00936320">
        <w:t>) followed by the text:</w:t>
      </w:r>
    </w:p>
    <w:p w14:paraId="31CCEA49" w14:textId="77777777" w:rsidR="00E50D2F" w:rsidRPr="00936320" w:rsidRDefault="00E50D2F" w:rsidP="00FB4E11">
      <w:pPr>
        <w:pStyle w:val="CodeSnippet"/>
      </w:pPr>
      <w:r w:rsidRPr="00936320">
        <w:t>&gt;&gt;&gt; plus n more lines. 'View' for details.</w:t>
      </w:r>
    </w:p>
    <w:p w14:paraId="1D44AE17" w14:textId="77777777" w:rsidR="00E50D2F" w:rsidRPr="00936320" w:rsidRDefault="00E50D2F" w:rsidP="00FB4E11">
      <w:pPr>
        <w:pStyle w:val="BodyText"/>
      </w:pPr>
      <w:r w:rsidRPr="00936320">
        <w:t xml:space="preserve">where </w:t>
      </w:r>
      <w:r w:rsidRPr="00936320">
        <w:rPr>
          <w:rStyle w:val="Italic"/>
        </w:rPr>
        <w:t>n</w:t>
      </w:r>
      <w:r w:rsidRPr="00936320">
        <w:t xml:space="preserve"> is the number of additional lines not displayed.</w:t>
      </w:r>
    </w:p>
    <w:p w14:paraId="6ED76B57" w14:textId="77777777" w:rsidR="00E50D2F" w:rsidRPr="00936320" w:rsidRDefault="00E50D2F" w:rsidP="00FB4E11">
      <w:pPr>
        <w:pStyle w:val="BodyText"/>
      </w:pPr>
      <w:r w:rsidRPr="00936320">
        <w:t>Selecting that entry in the list and pressing the View button displays the entire content of the field.</w:t>
      </w:r>
    </w:p>
    <w:p w14:paraId="593DD147" w14:textId="77777777" w:rsidR="00E50D2F" w:rsidRPr="00936320" w:rsidRDefault="00E50D2F" w:rsidP="00FB4E11">
      <w:pPr>
        <w:pStyle w:val="BodyText"/>
      </w:pPr>
      <w:r w:rsidRPr="00936320">
        <w:t>This window is displayed automatically when the event is open</w:t>
      </w:r>
      <w:r w:rsidR="002D662B" w:rsidRPr="00936320">
        <w:t xml:space="preserve">ed for review or </w:t>
      </w:r>
      <w:proofErr w:type="spellStart"/>
      <w:r w:rsidR="002D662B" w:rsidRPr="00936320">
        <w:t>authorisation</w:t>
      </w:r>
      <w:proofErr w:type="spellEnd"/>
      <w:r w:rsidR="002D662B" w:rsidRPr="00936320">
        <w:t>.</w:t>
      </w:r>
    </w:p>
    <w:p w14:paraId="3392878E" w14:textId="77777777" w:rsidR="00E50D2F" w:rsidRPr="00936320" w:rsidRDefault="00E50D2F" w:rsidP="00FB4E11">
      <w:pPr>
        <w:pStyle w:val="Note1"/>
      </w:pPr>
      <w:r w:rsidRPr="00936320">
        <w:t>If you work with this window open, use the Refresh button to update the display to show any changes made since you opened the window.</w:t>
      </w:r>
    </w:p>
    <w:p w14:paraId="1767289B" w14:textId="77777777" w:rsidR="00E50D2F" w:rsidRPr="00936320" w:rsidRDefault="00E50D2F" w:rsidP="00FB4E11">
      <w:pPr>
        <w:pStyle w:val="BodyText"/>
      </w:pPr>
      <w:r w:rsidRPr="00936320">
        <w:t>For fields where the value may not fit in the space available in this window (narrative fields, for example), you can select the field and press the View button to see complete details.</w:t>
      </w:r>
    </w:p>
    <w:p w14:paraId="6B8D89DD" w14:textId="77777777" w:rsidR="00E50D2F" w:rsidRPr="00936320" w:rsidRDefault="00E50D2F" w:rsidP="000F5BE4">
      <w:pPr>
        <w:pStyle w:val="Heading1"/>
      </w:pPr>
      <w:bookmarkStart w:id="214" w:name="_Toc317758875"/>
      <w:bookmarkStart w:id="215" w:name="_Toc373155452"/>
      <w:bookmarkStart w:id="216" w:name="_Toc390475622"/>
      <w:bookmarkStart w:id="217" w:name="_Toc411436729"/>
      <w:bookmarkStart w:id="218" w:name="_Ref57056504"/>
      <w:bookmarkStart w:id="219" w:name="_Toc166665352"/>
      <w:r w:rsidRPr="00936320">
        <w:lastRenderedPageBreak/>
        <w:t>Cancelling a License</w:t>
      </w:r>
      <w:bookmarkEnd w:id="214"/>
      <w:bookmarkEnd w:id="215"/>
      <w:bookmarkEnd w:id="216"/>
      <w:bookmarkEnd w:id="217"/>
      <w:bookmarkEnd w:id="218"/>
      <w:bookmarkEnd w:id="219"/>
    </w:p>
    <w:p w14:paraId="2FEECF09" w14:textId="77777777" w:rsidR="00E50D2F" w:rsidRPr="00936320" w:rsidRDefault="00E50D2F" w:rsidP="00FB4E11">
      <w:pPr>
        <w:pStyle w:val="BodyText"/>
      </w:pPr>
      <w:r w:rsidRPr="00936320">
        <w:t>This chapter explains how to cancel a license.</w:t>
      </w:r>
    </w:p>
    <w:p w14:paraId="77894789" w14:textId="4FCD8390" w:rsidR="00E50D2F" w:rsidRPr="00936320" w:rsidRDefault="00E50D2F" w:rsidP="000F5BE4">
      <w:pPr>
        <w:pStyle w:val="Heading2"/>
      </w:pPr>
      <w:bookmarkStart w:id="220" w:name="O_22922"/>
      <w:bookmarkStart w:id="221" w:name="_Toc317758876"/>
      <w:bookmarkStart w:id="222" w:name="_Toc373155453"/>
      <w:bookmarkStart w:id="223" w:name="_Toc390475623"/>
      <w:bookmarkStart w:id="224" w:name="_Toc411436730"/>
      <w:bookmarkStart w:id="225" w:name="_Ref432450395"/>
      <w:bookmarkStart w:id="226" w:name="_Toc166665353"/>
      <w:bookmarkEnd w:id="220"/>
      <w:r w:rsidRPr="00936320">
        <w:t xml:space="preserve">Cancelling a License in </w:t>
      </w:r>
      <w:bookmarkEnd w:id="221"/>
      <w:bookmarkEnd w:id="222"/>
      <w:bookmarkEnd w:id="223"/>
      <w:r w:rsidR="00985469">
        <w:t>Trade Innovation</w:t>
      </w:r>
      <w:bookmarkEnd w:id="224"/>
      <w:bookmarkEnd w:id="225"/>
      <w:bookmarkEnd w:id="226"/>
    </w:p>
    <w:p w14:paraId="688A469B" w14:textId="77777777" w:rsidR="00E50D2F" w:rsidRPr="00936320" w:rsidRDefault="00E50D2F" w:rsidP="00FB4E11">
      <w:pPr>
        <w:pStyle w:val="BodyText"/>
      </w:pPr>
      <w:r w:rsidRPr="00936320">
        <w:t>A license can be cancelled at any time after the release of the event that created it and book-off. However, you cannot cancel a license that is still linked to live transaction.</w:t>
      </w:r>
    </w:p>
    <w:p w14:paraId="1BC3A19F" w14:textId="0F812AB5" w:rsidR="00E50D2F" w:rsidRPr="00936320" w:rsidRDefault="00E50D2F" w:rsidP="00FB4E11">
      <w:pPr>
        <w:pStyle w:val="BodyText"/>
      </w:pPr>
      <w:r w:rsidRPr="00936320">
        <w:t xml:space="preserve">To cancel a license, in the Master Summary window select 'Cancel' from the Create New Event drop-down list. </w:t>
      </w:r>
      <w:r w:rsidR="00E03250" w:rsidRPr="00936320">
        <w:t>Trade Innovation</w:t>
      </w:r>
      <w:r w:rsidRPr="00936320">
        <w:t xml:space="preserve"> opens the event at either a Log step or Input step. Depending on how your system is configured, panes and fields available in log steps can be tailored for each data capture step. See the </w:t>
      </w:r>
      <w:r w:rsidRPr="00936320">
        <w:rPr>
          <w:i/>
        </w:rPr>
        <w:t>SDK - Systems Interfacing Guide</w:t>
      </w:r>
      <w:r w:rsidR="002D662B" w:rsidRPr="00936320">
        <w:rPr>
          <w:i/>
        </w:rPr>
        <w:t xml:space="preserve"> </w:t>
      </w:r>
      <w:r w:rsidR="002D662B" w:rsidRPr="00567CEA">
        <w:rPr>
          <w:rStyle w:val="Italic"/>
        </w:rPr>
        <w:t xml:space="preserve">– </w:t>
      </w:r>
      <w:r w:rsidR="00985469">
        <w:rPr>
          <w:rStyle w:val="Italic"/>
        </w:rPr>
        <w:t>Trade Innovation</w:t>
      </w:r>
      <w:r w:rsidR="002D662B" w:rsidRPr="00567CEA">
        <w:rPr>
          <w:rStyle w:val="Italic"/>
        </w:rPr>
        <w:t xml:space="preserve"> </w:t>
      </w:r>
      <w:r w:rsidRPr="00936320">
        <w:t>for details.</w:t>
      </w:r>
    </w:p>
    <w:p w14:paraId="3B1C0729" w14:textId="1E5A3CEB" w:rsidR="00E50D2F" w:rsidRDefault="00E50D2F" w:rsidP="00FB4E11">
      <w:pPr>
        <w:pStyle w:val="BodyText"/>
      </w:pPr>
    </w:p>
    <w:p w14:paraId="286F86F9" w14:textId="32A644AE" w:rsidR="00217591" w:rsidRPr="00936320" w:rsidRDefault="001E2888" w:rsidP="00FB4E11">
      <w:pPr>
        <w:pStyle w:val="BodyText"/>
      </w:pPr>
      <w:r>
        <w:rPr>
          <w:noProof/>
        </w:rPr>
        <w:drawing>
          <wp:inline distT="0" distB="0" distL="0" distR="0" wp14:anchorId="2FA5A566" wp14:editId="06AB6CE9">
            <wp:extent cx="5731510" cy="145351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453515"/>
                    </a:xfrm>
                    <a:prstGeom prst="rect">
                      <a:avLst/>
                    </a:prstGeom>
                  </pic:spPr>
                </pic:pic>
              </a:graphicData>
            </a:graphic>
          </wp:inline>
        </w:drawing>
      </w:r>
    </w:p>
    <w:p w14:paraId="3D4B84CA" w14:textId="22CB3EFA" w:rsidR="00E50D2F" w:rsidRPr="00936320" w:rsidRDefault="00E50D2F" w:rsidP="00FB4E11">
      <w:pPr>
        <w:pStyle w:val="BodyText"/>
      </w:pPr>
      <w:r w:rsidRPr="00936320">
        <w:t xml:space="preserve">Use the Reasons for Cancellation field to enter a reason for the cancellation, and the Book Off date field to amend the license's book-off date. See the </w:t>
      </w:r>
      <w:r w:rsidRPr="00936320">
        <w:rPr>
          <w:rStyle w:val="Italic"/>
        </w:rPr>
        <w:t>Common Facilities User Guide</w:t>
      </w:r>
      <w:r w:rsidRPr="00936320">
        <w:t xml:space="preserve"> </w:t>
      </w:r>
      <w:r w:rsidR="002D662B" w:rsidRPr="00567CEA">
        <w:rPr>
          <w:rStyle w:val="Italic"/>
        </w:rPr>
        <w:t xml:space="preserve">– </w:t>
      </w:r>
      <w:r w:rsidR="00985469">
        <w:rPr>
          <w:rStyle w:val="Italic"/>
        </w:rPr>
        <w:t>Trade Innovation</w:t>
      </w:r>
      <w:r w:rsidR="002D662B" w:rsidRPr="00567CEA">
        <w:rPr>
          <w:rStyle w:val="Italic"/>
        </w:rPr>
        <w:t xml:space="preserve"> </w:t>
      </w:r>
      <w:r w:rsidRPr="00936320">
        <w:t>for more information on how licenses are booked off.</w:t>
      </w:r>
    </w:p>
    <w:p w14:paraId="15320B82" w14:textId="77777777" w:rsidR="00E50D2F" w:rsidRPr="00936320" w:rsidRDefault="00E50D2F" w:rsidP="000F5BE4">
      <w:pPr>
        <w:pStyle w:val="Heading1"/>
      </w:pPr>
      <w:bookmarkStart w:id="227" w:name="_Toc317758877"/>
      <w:bookmarkStart w:id="228" w:name="_Toc373155454"/>
      <w:bookmarkStart w:id="229" w:name="_Toc390475624"/>
      <w:bookmarkStart w:id="230" w:name="_Toc411436731"/>
      <w:bookmarkStart w:id="231" w:name="_Ref57056513"/>
      <w:bookmarkStart w:id="232" w:name="_Toc166665354"/>
      <w:r w:rsidRPr="00936320">
        <w:lastRenderedPageBreak/>
        <w:t>Processing Licensed Transactions</w:t>
      </w:r>
      <w:bookmarkEnd w:id="227"/>
      <w:bookmarkEnd w:id="228"/>
      <w:bookmarkEnd w:id="229"/>
      <w:bookmarkEnd w:id="230"/>
      <w:bookmarkEnd w:id="231"/>
      <w:bookmarkEnd w:id="232"/>
    </w:p>
    <w:p w14:paraId="3BF030B3" w14:textId="77777777" w:rsidR="00E50D2F" w:rsidRPr="00936320" w:rsidRDefault="00E50D2F" w:rsidP="00FB4E11">
      <w:pPr>
        <w:pStyle w:val="BodyText"/>
      </w:pPr>
      <w:r w:rsidRPr="00936320">
        <w:t xml:space="preserve">This chapter describes the events that may occur in the life of a transaction that has one or more licenses attached to it, and which will impact </w:t>
      </w:r>
      <w:r w:rsidR="002D662B" w:rsidRPr="00936320">
        <w:t>the processing of the licenses.</w:t>
      </w:r>
    </w:p>
    <w:p w14:paraId="08891EE5" w14:textId="77777777" w:rsidR="00E50D2F" w:rsidRPr="00936320" w:rsidRDefault="00E50D2F" w:rsidP="000F5BE4">
      <w:pPr>
        <w:pStyle w:val="Heading2"/>
      </w:pPr>
      <w:bookmarkStart w:id="233" w:name="O_23652"/>
      <w:bookmarkStart w:id="234" w:name="_Toc317758878"/>
      <w:bookmarkStart w:id="235" w:name="_Toc373155455"/>
      <w:bookmarkStart w:id="236" w:name="_Toc390475625"/>
      <w:bookmarkStart w:id="237" w:name="_Toc411436732"/>
      <w:bookmarkStart w:id="238" w:name="_Toc166665355"/>
      <w:bookmarkEnd w:id="233"/>
      <w:r w:rsidRPr="00936320">
        <w:t>Licenses and Subsidiary Events</w:t>
      </w:r>
      <w:bookmarkEnd w:id="234"/>
      <w:bookmarkEnd w:id="235"/>
      <w:bookmarkEnd w:id="236"/>
      <w:bookmarkEnd w:id="237"/>
      <w:bookmarkEnd w:id="238"/>
    </w:p>
    <w:p w14:paraId="0F72DED5" w14:textId="77777777" w:rsidR="00E50D2F" w:rsidRPr="00936320" w:rsidRDefault="00E50D2F" w:rsidP="00FB4E11">
      <w:pPr>
        <w:pStyle w:val="BodyText"/>
      </w:pPr>
      <w:r w:rsidRPr="00936320">
        <w:t>The processing of transactions that have licenses linked to them results in the creation of subsidiary events against the linked license(s).</w:t>
      </w:r>
    </w:p>
    <w:p w14:paraId="44DB483A" w14:textId="77777777" w:rsidR="00E50D2F" w:rsidRPr="00936320" w:rsidRDefault="00E50D2F" w:rsidP="00FB4E11">
      <w:pPr>
        <w:pStyle w:val="BodyText"/>
      </w:pPr>
      <w:r w:rsidRPr="00936320">
        <w:t xml:space="preserve">For example, if an import letter of credit is expired with part of the reserved amount </w:t>
      </w:r>
      <w:proofErr w:type="spellStart"/>
      <w:r w:rsidRPr="00936320">
        <w:t>unutilised</w:t>
      </w:r>
      <w:proofErr w:type="spellEnd"/>
      <w:r w:rsidRPr="00936320">
        <w:t xml:space="preserve"> at the time of final payment, then a Reinstate event on the license will be initiated as a subsidiary event - (assuming that r</w:t>
      </w:r>
      <w:r w:rsidR="002D662B" w:rsidRPr="00936320">
        <w:t>elevant options have been set).</w:t>
      </w:r>
    </w:p>
    <w:p w14:paraId="2B6EB16A" w14:textId="77777777" w:rsidR="00E50D2F" w:rsidRPr="00936320" w:rsidRDefault="00E50D2F" w:rsidP="00FB4E11">
      <w:pPr>
        <w:pStyle w:val="BodyText"/>
      </w:pPr>
      <w:r w:rsidRPr="00936320">
        <w:t>Typically there are two processing models. The first, shown below, involves three steps and is used in letters of credit, standbys and guarantees, and optionally for collections.</w:t>
      </w:r>
    </w:p>
    <w:p w14:paraId="5098E8E7" w14:textId="77777777" w:rsidR="00E50D2F" w:rsidRPr="00936320" w:rsidRDefault="00E50D2F" w:rsidP="00FB4E11">
      <w:pPr>
        <w:pStyle w:val="BodyText"/>
      </w:pPr>
      <w:r w:rsidRPr="00936320">
        <w:rPr>
          <w:noProof/>
          <w:lang w:eastAsia="en-GB"/>
        </w:rPr>
        <w:drawing>
          <wp:inline distT="0" distB="0" distL="0" distR="0" wp14:anchorId="45D1C51C" wp14:editId="1B839F43">
            <wp:extent cx="2914650" cy="485775"/>
            <wp:effectExtent l="19050" t="0" r="0" b="0"/>
            <wp:docPr id="6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a:stretch>
                      <a:fillRect/>
                    </a:stretch>
                  </pic:blipFill>
                  <pic:spPr bwMode="auto">
                    <a:xfrm>
                      <a:off x="0" y="0"/>
                      <a:ext cx="2914650" cy="485775"/>
                    </a:xfrm>
                    <a:prstGeom prst="rect">
                      <a:avLst/>
                    </a:prstGeom>
                    <a:noFill/>
                    <a:ln w="9525">
                      <a:noFill/>
                      <a:miter lim="800000"/>
                      <a:headEnd/>
                      <a:tailEnd/>
                    </a:ln>
                  </pic:spPr>
                </pic:pic>
              </a:graphicData>
            </a:graphic>
          </wp:inline>
        </w:drawing>
      </w:r>
    </w:p>
    <w:p w14:paraId="152BC501" w14:textId="77777777" w:rsidR="00E50D2F" w:rsidRPr="00936320" w:rsidRDefault="00E50D2F" w:rsidP="00FB4E11">
      <w:pPr>
        <w:pStyle w:val="BodyText"/>
      </w:pPr>
      <w:r w:rsidRPr="00936320">
        <w:t xml:space="preserve">The second processing model, shown below, involves only a single step and is used for financing, clean payments, freely negotiable letters of credit, and optionally for collections. </w:t>
      </w:r>
    </w:p>
    <w:p w14:paraId="4B317E18" w14:textId="77777777" w:rsidR="00E50D2F" w:rsidRPr="00936320" w:rsidRDefault="00E50D2F" w:rsidP="00FB4E11">
      <w:pPr>
        <w:pStyle w:val="BodyText"/>
      </w:pPr>
      <w:r w:rsidRPr="00936320">
        <w:rPr>
          <w:noProof/>
          <w:lang w:eastAsia="en-GB"/>
        </w:rPr>
        <w:drawing>
          <wp:inline distT="0" distB="0" distL="0" distR="0" wp14:anchorId="238189E2" wp14:editId="3B9373F3">
            <wp:extent cx="847725" cy="485775"/>
            <wp:effectExtent l="19050" t="0" r="9525" b="0"/>
            <wp:docPr id="7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srcRect/>
                    <a:stretch>
                      <a:fillRect/>
                    </a:stretch>
                  </pic:blipFill>
                  <pic:spPr bwMode="auto">
                    <a:xfrm>
                      <a:off x="0" y="0"/>
                      <a:ext cx="847725" cy="485775"/>
                    </a:xfrm>
                    <a:prstGeom prst="rect">
                      <a:avLst/>
                    </a:prstGeom>
                    <a:noFill/>
                    <a:ln w="9525">
                      <a:noFill/>
                      <a:miter lim="800000"/>
                      <a:headEnd/>
                      <a:tailEnd/>
                    </a:ln>
                  </pic:spPr>
                </pic:pic>
              </a:graphicData>
            </a:graphic>
          </wp:inline>
        </w:drawing>
      </w:r>
    </w:p>
    <w:p w14:paraId="44BF4A8A" w14:textId="40598C75" w:rsidR="00E50D2F" w:rsidRPr="00936320" w:rsidRDefault="00E50D2F" w:rsidP="00FB4E11">
      <w:pPr>
        <w:pStyle w:val="BodyText"/>
      </w:pPr>
      <w:r w:rsidRPr="00936320">
        <w:t xml:space="preserve">The three processing steps are handled in events within the license. However, they are always initiated as subsidiary events from the related transaction that is being processed. Each event can have its own charges, </w:t>
      </w:r>
      <w:proofErr w:type="gramStart"/>
      <w:r w:rsidRPr="00936320">
        <w:t>postings</w:t>
      </w:r>
      <w:proofErr w:type="gramEnd"/>
      <w:r w:rsidRPr="00936320">
        <w:t xml:space="preserve"> and documents, and these can all be reviewed along with the items in the main processing event. For further information see the </w:t>
      </w:r>
      <w:r w:rsidRPr="00936320">
        <w:rPr>
          <w:rStyle w:val="Italic"/>
        </w:rPr>
        <w:t>Common Facilities User Guide</w:t>
      </w:r>
      <w:r w:rsidR="002D662B" w:rsidRPr="00936320">
        <w:rPr>
          <w:rStyle w:val="Italic"/>
        </w:rPr>
        <w:t xml:space="preserve"> </w:t>
      </w:r>
      <w:r w:rsidR="002D662B" w:rsidRPr="00567CEA">
        <w:rPr>
          <w:rStyle w:val="Italic"/>
        </w:rPr>
        <w:t xml:space="preserve">– </w:t>
      </w:r>
      <w:r w:rsidR="00985469">
        <w:rPr>
          <w:rStyle w:val="Italic"/>
        </w:rPr>
        <w:t>Trade Innovation</w:t>
      </w:r>
      <w:r w:rsidRPr="00936320">
        <w:t>.</w:t>
      </w:r>
    </w:p>
    <w:p w14:paraId="799B7894" w14:textId="77777777" w:rsidR="00E50D2F" w:rsidRPr="00936320" w:rsidRDefault="00E50D2F" w:rsidP="000F5BE4">
      <w:pPr>
        <w:pStyle w:val="Heading3"/>
      </w:pPr>
      <w:bookmarkStart w:id="239" w:name="O_23315"/>
      <w:bookmarkStart w:id="240" w:name="_Toc317758879"/>
      <w:bookmarkStart w:id="241" w:name="_Toc373155456"/>
      <w:bookmarkStart w:id="242" w:name="_Toc411436733"/>
      <w:bookmarkStart w:id="243" w:name="_Toc166665356"/>
      <w:bookmarkEnd w:id="239"/>
      <w:r w:rsidRPr="00936320">
        <w:t>Events That Update a License</w:t>
      </w:r>
      <w:bookmarkEnd w:id="240"/>
      <w:bookmarkEnd w:id="241"/>
      <w:bookmarkEnd w:id="242"/>
      <w:bookmarkEnd w:id="243"/>
    </w:p>
    <w:p w14:paraId="5C6DCDE9" w14:textId="77777777" w:rsidR="00E50D2F" w:rsidRPr="00936320" w:rsidRDefault="00E50D2F" w:rsidP="002D662B">
      <w:pPr>
        <w:pStyle w:val="NoSpaceAfter"/>
      </w:pPr>
      <w:r w:rsidRPr="00936320">
        <w:t xml:space="preserve">The following table specifies which events for each product will affect the </w:t>
      </w:r>
      <w:proofErr w:type="spellStart"/>
      <w:r w:rsidRPr="00936320">
        <w:t>utilisation</w:t>
      </w:r>
      <w:proofErr w:type="spellEnd"/>
      <w:r w:rsidRPr="00936320">
        <w:t xml:space="preserve"> and reservation amount on the license. This may either increase the </w:t>
      </w:r>
      <w:proofErr w:type="spellStart"/>
      <w:r w:rsidRPr="00936320">
        <w:t>utilisation</w:t>
      </w:r>
      <w:proofErr w:type="spellEnd"/>
      <w:r w:rsidRPr="00936320">
        <w:t xml:space="preserve"> (for example, </w:t>
      </w:r>
      <w:proofErr w:type="gramStart"/>
      <w:r w:rsidRPr="00936320">
        <w:t>as a result of</w:t>
      </w:r>
      <w:proofErr w:type="gramEnd"/>
      <w:r w:rsidRPr="00936320">
        <w:t xml:space="preserve"> an increase in the letter of credit amount) or decrease it (for example, to restore any </w:t>
      </w:r>
      <w:proofErr w:type="spellStart"/>
      <w:r w:rsidRPr="00936320">
        <w:t>unutilised</w:t>
      </w:r>
      <w:proofErr w:type="spellEnd"/>
      <w:r w:rsidRPr="00936320">
        <w:t xml:space="preserve"> letter of credit balance to the license on the final payment or expiry):</w:t>
      </w:r>
    </w:p>
    <w:tbl>
      <w:tblPr>
        <w:tblStyle w:val="TableGrid"/>
        <w:tblW w:w="9090" w:type="dxa"/>
        <w:tblLayout w:type="fixed"/>
        <w:tblLook w:val="0020" w:firstRow="1" w:lastRow="0" w:firstColumn="0" w:lastColumn="0" w:noHBand="0" w:noVBand="0"/>
      </w:tblPr>
      <w:tblGrid>
        <w:gridCol w:w="1702"/>
        <w:gridCol w:w="1817"/>
        <w:gridCol w:w="1817"/>
        <w:gridCol w:w="1817"/>
        <w:gridCol w:w="1937"/>
      </w:tblGrid>
      <w:tr w:rsidR="00E50D2F" w:rsidRPr="00936320" w14:paraId="1C407090" w14:textId="77777777" w:rsidTr="004F28FD">
        <w:trPr>
          <w:cnfStyle w:val="100000000000" w:firstRow="1" w:lastRow="0" w:firstColumn="0" w:lastColumn="0" w:oddVBand="0" w:evenVBand="0" w:oddHBand="0" w:evenHBand="0" w:firstRowFirstColumn="0" w:firstRowLastColumn="0" w:lastRowFirstColumn="0" w:lastRowLastColumn="0"/>
          <w:trHeight w:val="432"/>
          <w:tblHeader/>
        </w:trPr>
        <w:tc>
          <w:tcPr>
            <w:tcW w:w="0" w:type="dxa"/>
          </w:tcPr>
          <w:p w14:paraId="7B813F21" w14:textId="77777777" w:rsidR="00E50D2F" w:rsidRPr="00936320" w:rsidRDefault="00E50D2F" w:rsidP="00FB4E11">
            <w:pPr>
              <w:pStyle w:val="TableHead"/>
            </w:pPr>
            <w:r w:rsidRPr="00936320">
              <w:t>Product</w:t>
            </w:r>
          </w:p>
        </w:tc>
        <w:tc>
          <w:tcPr>
            <w:tcW w:w="0" w:type="dxa"/>
          </w:tcPr>
          <w:p w14:paraId="285FCCE0" w14:textId="77777777" w:rsidR="00E50D2F" w:rsidRPr="00936320" w:rsidRDefault="00E50D2F" w:rsidP="00FB4E11">
            <w:pPr>
              <w:pStyle w:val="TableHead"/>
            </w:pPr>
            <w:r w:rsidRPr="00936320">
              <w:t>Event</w:t>
            </w:r>
          </w:p>
        </w:tc>
        <w:tc>
          <w:tcPr>
            <w:tcW w:w="0" w:type="dxa"/>
          </w:tcPr>
          <w:p w14:paraId="7E4378D3" w14:textId="77777777" w:rsidR="00E50D2F" w:rsidRPr="00936320" w:rsidRDefault="00E50D2F" w:rsidP="00FB4E11">
            <w:pPr>
              <w:pStyle w:val="TableHead"/>
            </w:pPr>
            <w:r w:rsidRPr="00936320">
              <w:t>Reserve</w:t>
            </w:r>
          </w:p>
        </w:tc>
        <w:tc>
          <w:tcPr>
            <w:tcW w:w="0" w:type="dxa"/>
          </w:tcPr>
          <w:p w14:paraId="7D7F337B" w14:textId="77777777" w:rsidR="00E50D2F" w:rsidRPr="00936320" w:rsidRDefault="00E50D2F" w:rsidP="00FB4E11">
            <w:pPr>
              <w:pStyle w:val="TableHead"/>
            </w:pPr>
            <w:r w:rsidRPr="00936320">
              <w:t>Draw</w:t>
            </w:r>
          </w:p>
        </w:tc>
        <w:tc>
          <w:tcPr>
            <w:tcW w:w="0" w:type="dxa"/>
          </w:tcPr>
          <w:p w14:paraId="13E6E734" w14:textId="77777777" w:rsidR="00E50D2F" w:rsidRPr="00936320" w:rsidRDefault="00E50D2F" w:rsidP="00FB4E11">
            <w:pPr>
              <w:pStyle w:val="TableHead"/>
            </w:pPr>
            <w:r w:rsidRPr="00936320">
              <w:t>Reinstate</w:t>
            </w:r>
          </w:p>
        </w:tc>
      </w:tr>
      <w:tr w:rsidR="00E50D2F" w:rsidRPr="00936320" w14:paraId="14A41175" w14:textId="77777777" w:rsidTr="00FB4E11">
        <w:trPr>
          <w:cnfStyle w:val="000000100000" w:firstRow="0" w:lastRow="0" w:firstColumn="0" w:lastColumn="0" w:oddVBand="0" w:evenVBand="0" w:oddHBand="1" w:evenHBand="0" w:firstRowFirstColumn="0" w:firstRowLastColumn="0" w:lastRowFirstColumn="0" w:lastRowLastColumn="0"/>
          <w:trHeight w:val="370"/>
        </w:trPr>
        <w:tc>
          <w:tcPr>
            <w:tcW w:w="1702" w:type="dxa"/>
          </w:tcPr>
          <w:p w14:paraId="6F2B0067" w14:textId="77777777" w:rsidR="00E50D2F" w:rsidRPr="00936320" w:rsidRDefault="00E50D2F" w:rsidP="004651B5">
            <w:pPr>
              <w:pStyle w:val="TableText"/>
            </w:pPr>
            <w:r w:rsidRPr="00936320">
              <w:t>Letters of Credit</w:t>
            </w:r>
          </w:p>
        </w:tc>
        <w:tc>
          <w:tcPr>
            <w:tcW w:w="1817" w:type="dxa"/>
          </w:tcPr>
          <w:p w14:paraId="5FBB632E" w14:textId="77777777" w:rsidR="00E50D2F" w:rsidRPr="00936320" w:rsidRDefault="00E50D2F" w:rsidP="004651B5">
            <w:pPr>
              <w:pStyle w:val="TableText"/>
            </w:pPr>
            <w:r w:rsidRPr="00936320">
              <w:t>Issue</w:t>
            </w:r>
          </w:p>
        </w:tc>
        <w:tc>
          <w:tcPr>
            <w:tcW w:w="1817" w:type="dxa"/>
          </w:tcPr>
          <w:p w14:paraId="32D8CDFA" w14:textId="77777777" w:rsidR="00E50D2F" w:rsidRPr="00936320" w:rsidRDefault="00E50D2F" w:rsidP="004651B5">
            <w:pPr>
              <w:pStyle w:val="TableText"/>
            </w:pPr>
            <w:r w:rsidRPr="00936320">
              <w:t>For LC amount</w:t>
            </w:r>
          </w:p>
        </w:tc>
        <w:tc>
          <w:tcPr>
            <w:tcW w:w="1817" w:type="dxa"/>
          </w:tcPr>
          <w:p w14:paraId="4262C9BC" w14:textId="77777777" w:rsidR="00E50D2F" w:rsidRPr="00936320" w:rsidRDefault="00E50D2F" w:rsidP="002007A6">
            <w:pPr>
              <w:pStyle w:val="TableText"/>
              <w:rPr>
                <w:szCs w:val="24"/>
              </w:rPr>
            </w:pPr>
          </w:p>
        </w:tc>
        <w:tc>
          <w:tcPr>
            <w:tcW w:w="1937" w:type="dxa"/>
          </w:tcPr>
          <w:p w14:paraId="62E209EF" w14:textId="77777777" w:rsidR="00E50D2F" w:rsidRPr="00936320" w:rsidRDefault="00E50D2F" w:rsidP="002007A6">
            <w:pPr>
              <w:pStyle w:val="TableText"/>
            </w:pPr>
          </w:p>
        </w:tc>
      </w:tr>
      <w:tr w:rsidR="00E50D2F" w:rsidRPr="00936320" w14:paraId="21B67F66"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753E841A" w14:textId="77777777" w:rsidR="00E50D2F" w:rsidRPr="00936320" w:rsidRDefault="00E50D2F" w:rsidP="002007A6">
            <w:pPr>
              <w:pStyle w:val="TableText"/>
            </w:pPr>
          </w:p>
        </w:tc>
        <w:tc>
          <w:tcPr>
            <w:tcW w:w="1817" w:type="dxa"/>
          </w:tcPr>
          <w:p w14:paraId="7A5EC809" w14:textId="77777777" w:rsidR="00E50D2F" w:rsidRPr="00936320" w:rsidRDefault="00E50D2F" w:rsidP="004651B5">
            <w:pPr>
              <w:pStyle w:val="TableText"/>
            </w:pPr>
            <w:r w:rsidRPr="00936320">
              <w:t>Amend</w:t>
            </w:r>
          </w:p>
        </w:tc>
        <w:tc>
          <w:tcPr>
            <w:tcW w:w="1817" w:type="dxa"/>
          </w:tcPr>
          <w:p w14:paraId="212D055F" w14:textId="77777777" w:rsidR="00E50D2F" w:rsidRPr="00936320" w:rsidRDefault="00E50D2F" w:rsidP="004651B5">
            <w:pPr>
              <w:pStyle w:val="TableText"/>
            </w:pPr>
            <w:r w:rsidRPr="00936320">
              <w:t>If increase</w:t>
            </w:r>
          </w:p>
        </w:tc>
        <w:tc>
          <w:tcPr>
            <w:tcW w:w="1817" w:type="dxa"/>
          </w:tcPr>
          <w:p w14:paraId="5733C9FA" w14:textId="77777777" w:rsidR="00E50D2F" w:rsidRPr="00936320" w:rsidRDefault="00E50D2F" w:rsidP="002007A6">
            <w:pPr>
              <w:pStyle w:val="TableText"/>
              <w:rPr>
                <w:szCs w:val="24"/>
              </w:rPr>
            </w:pPr>
          </w:p>
        </w:tc>
        <w:tc>
          <w:tcPr>
            <w:tcW w:w="1937" w:type="dxa"/>
          </w:tcPr>
          <w:p w14:paraId="78D86C0F" w14:textId="77777777" w:rsidR="00E50D2F" w:rsidRPr="00936320" w:rsidRDefault="00E50D2F" w:rsidP="004651B5">
            <w:pPr>
              <w:pStyle w:val="TableText"/>
            </w:pPr>
            <w:r w:rsidRPr="00936320">
              <w:t>If decrease</w:t>
            </w:r>
          </w:p>
        </w:tc>
      </w:tr>
      <w:tr w:rsidR="00E50D2F" w:rsidRPr="00936320" w14:paraId="5F53962F"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714240F2" w14:textId="77777777" w:rsidR="00E50D2F" w:rsidRPr="00936320" w:rsidRDefault="00E50D2F" w:rsidP="002007A6">
            <w:pPr>
              <w:pStyle w:val="TableText"/>
            </w:pPr>
          </w:p>
        </w:tc>
        <w:tc>
          <w:tcPr>
            <w:tcW w:w="1817" w:type="dxa"/>
          </w:tcPr>
          <w:p w14:paraId="15C27C67" w14:textId="77777777" w:rsidR="00E50D2F" w:rsidRPr="00936320" w:rsidRDefault="00E50D2F" w:rsidP="004651B5">
            <w:pPr>
              <w:pStyle w:val="TableText"/>
            </w:pPr>
            <w:r w:rsidRPr="00936320">
              <w:t>Adjust</w:t>
            </w:r>
          </w:p>
        </w:tc>
        <w:tc>
          <w:tcPr>
            <w:tcW w:w="1817" w:type="dxa"/>
          </w:tcPr>
          <w:p w14:paraId="612B31E4" w14:textId="77777777" w:rsidR="00E50D2F" w:rsidRPr="00936320" w:rsidRDefault="00E50D2F" w:rsidP="004651B5">
            <w:pPr>
              <w:pStyle w:val="TableText"/>
            </w:pPr>
            <w:r w:rsidRPr="00936320">
              <w:t>If increase</w:t>
            </w:r>
          </w:p>
        </w:tc>
        <w:tc>
          <w:tcPr>
            <w:tcW w:w="1817" w:type="dxa"/>
          </w:tcPr>
          <w:p w14:paraId="5125D3B1" w14:textId="77777777" w:rsidR="00E50D2F" w:rsidRPr="00936320" w:rsidRDefault="00E50D2F" w:rsidP="002007A6">
            <w:pPr>
              <w:pStyle w:val="TableText"/>
              <w:rPr>
                <w:szCs w:val="24"/>
              </w:rPr>
            </w:pPr>
          </w:p>
        </w:tc>
        <w:tc>
          <w:tcPr>
            <w:tcW w:w="1937" w:type="dxa"/>
          </w:tcPr>
          <w:p w14:paraId="3336FB4D" w14:textId="77777777" w:rsidR="00E50D2F" w:rsidRPr="00936320" w:rsidRDefault="00E50D2F" w:rsidP="004651B5">
            <w:pPr>
              <w:pStyle w:val="TableText"/>
            </w:pPr>
            <w:r w:rsidRPr="00936320">
              <w:t>If decrease</w:t>
            </w:r>
          </w:p>
        </w:tc>
      </w:tr>
      <w:tr w:rsidR="00E50D2F" w:rsidRPr="00936320" w14:paraId="0AFB2596"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24B5616B" w14:textId="77777777" w:rsidR="00E50D2F" w:rsidRPr="00936320" w:rsidRDefault="00E50D2F" w:rsidP="002007A6">
            <w:pPr>
              <w:pStyle w:val="TableText"/>
            </w:pPr>
          </w:p>
        </w:tc>
        <w:tc>
          <w:tcPr>
            <w:tcW w:w="1817" w:type="dxa"/>
          </w:tcPr>
          <w:p w14:paraId="5D66FF44" w14:textId="77777777" w:rsidR="00E50D2F" w:rsidRPr="00936320" w:rsidRDefault="00E50D2F" w:rsidP="004651B5">
            <w:pPr>
              <w:pStyle w:val="TableText"/>
            </w:pPr>
            <w:r w:rsidRPr="00936320">
              <w:t>Expire</w:t>
            </w:r>
          </w:p>
        </w:tc>
        <w:tc>
          <w:tcPr>
            <w:tcW w:w="1817" w:type="dxa"/>
          </w:tcPr>
          <w:p w14:paraId="535BB2C9" w14:textId="77777777" w:rsidR="00E50D2F" w:rsidRPr="00936320" w:rsidRDefault="00E50D2F" w:rsidP="002007A6">
            <w:pPr>
              <w:pStyle w:val="TableText"/>
              <w:rPr>
                <w:szCs w:val="24"/>
              </w:rPr>
            </w:pPr>
          </w:p>
        </w:tc>
        <w:tc>
          <w:tcPr>
            <w:tcW w:w="1817" w:type="dxa"/>
          </w:tcPr>
          <w:p w14:paraId="7FE6B61D" w14:textId="77777777" w:rsidR="00E50D2F" w:rsidRPr="00936320" w:rsidRDefault="00E50D2F" w:rsidP="002007A6">
            <w:pPr>
              <w:pStyle w:val="TableText"/>
              <w:rPr>
                <w:szCs w:val="24"/>
              </w:rPr>
            </w:pPr>
          </w:p>
        </w:tc>
        <w:tc>
          <w:tcPr>
            <w:tcW w:w="1937" w:type="dxa"/>
          </w:tcPr>
          <w:p w14:paraId="50E5625B" w14:textId="77777777" w:rsidR="00E50D2F" w:rsidRPr="00936320" w:rsidRDefault="00E50D2F" w:rsidP="004651B5">
            <w:pPr>
              <w:pStyle w:val="TableText"/>
            </w:pPr>
            <w:r w:rsidRPr="00936320">
              <w:t xml:space="preserve">For </w:t>
            </w:r>
            <w:proofErr w:type="spellStart"/>
            <w:r w:rsidRPr="00936320">
              <w:t>unutilised</w:t>
            </w:r>
            <w:proofErr w:type="spellEnd"/>
            <w:r w:rsidRPr="00936320">
              <w:t xml:space="preserve"> amount</w:t>
            </w:r>
          </w:p>
        </w:tc>
      </w:tr>
      <w:tr w:rsidR="00E50D2F" w:rsidRPr="00936320" w14:paraId="2A5442FB"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5FDDADE1" w14:textId="77777777" w:rsidR="00E50D2F" w:rsidRPr="00936320" w:rsidRDefault="00E50D2F" w:rsidP="002007A6">
            <w:pPr>
              <w:pStyle w:val="TableText"/>
            </w:pPr>
          </w:p>
        </w:tc>
        <w:tc>
          <w:tcPr>
            <w:tcW w:w="1817" w:type="dxa"/>
          </w:tcPr>
          <w:p w14:paraId="56646807" w14:textId="77777777" w:rsidR="00E50D2F" w:rsidRPr="00936320" w:rsidRDefault="00E50D2F" w:rsidP="004651B5">
            <w:pPr>
              <w:pStyle w:val="TableText"/>
            </w:pPr>
            <w:r w:rsidRPr="00936320">
              <w:t>Claim Received/</w:t>
            </w:r>
            <w:r w:rsidRPr="00936320">
              <w:br/>
              <w:t>Docs Presented</w:t>
            </w:r>
          </w:p>
        </w:tc>
        <w:tc>
          <w:tcPr>
            <w:tcW w:w="1817" w:type="dxa"/>
          </w:tcPr>
          <w:p w14:paraId="64F7C5D5" w14:textId="77777777" w:rsidR="00E50D2F" w:rsidRPr="00936320" w:rsidRDefault="00E50D2F" w:rsidP="002007A6">
            <w:pPr>
              <w:pStyle w:val="TableText"/>
              <w:rPr>
                <w:szCs w:val="24"/>
              </w:rPr>
            </w:pPr>
          </w:p>
        </w:tc>
        <w:tc>
          <w:tcPr>
            <w:tcW w:w="1817" w:type="dxa"/>
          </w:tcPr>
          <w:p w14:paraId="106D6ECC" w14:textId="77777777" w:rsidR="00E50D2F" w:rsidRPr="00936320" w:rsidRDefault="00E50D2F" w:rsidP="004651B5">
            <w:pPr>
              <w:pStyle w:val="TableText"/>
            </w:pPr>
            <w:r w:rsidRPr="00936320">
              <w:t>For part payment</w:t>
            </w:r>
          </w:p>
        </w:tc>
        <w:tc>
          <w:tcPr>
            <w:tcW w:w="1937" w:type="dxa"/>
          </w:tcPr>
          <w:p w14:paraId="51404999" w14:textId="77777777" w:rsidR="00E50D2F" w:rsidRPr="00936320" w:rsidRDefault="00E50D2F" w:rsidP="004651B5">
            <w:pPr>
              <w:pStyle w:val="TableText"/>
            </w:pPr>
            <w:r w:rsidRPr="00936320">
              <w:t>If final payment</w:t>
            </w:r>
          </w:p>
        </w:tc>
      </w:tr>
      <w:tr w:rsidR="00E50D2F" w:rsidRPr="00936320" w14:paraId="7F5DBB45"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7D9A6D33" w14:textId="77777777" w:rsidR="00E50D2F" w:rsidRPr="00936320" w:rsidRDefault="00E50D2F" w:rsidP="002007A6">
            <w:pPr>
              <w:pStyle w:val="TableText"/>
            </w:pPr>
          </w:p>
        </w:tc>
        <w:tc>
          <w:tcPr>
            <w:tcW w:w="1817" w:type="dxa"/>
          </w:tcPr>
          <w:p w14:paraId="285C2B73" w14:textId="77777777" w:rsidR="00E50D2F" w:rsidRPr="00936320" w:rsidRDefault="00E50D2F" w:rsidP="004651B5">
            <w:pPr>
              <w:pStyle w:val="TableText"/>
            </w:pPr>
            <w:r w:rsidRPr="00936320">
              <w:t>Outstanding Claim/</w:t>
            </w:r>
            <w:r w:rsidRPr="00936320">
              <w:br/>
              <w:t>Outstanding Presentation</w:t>
            </w:r>
          </w:p>
        </w:tc>
        <w:tc>
          <w:tcPr>
            <w:tcW w:w="1817" w:type="dxa"/>
          </w:tcPr>
          <w:p w14:paraId="72FBA03C" w14:textId="77777777" w:rsidR="00E50D2F" w:rsidRPr="00936320" w:rsidRDefault="00E50D2F" w:rsidP="002007A6">
            <w:pPr>
              <w:pStyle w:val="TableText"/>
              <w:rPr>
                <w:szCs w:val="24"/>
              </w:rPr>
            </w:pPr>
          </w:p>
        </w:tc>
        <w:tc>
          <w:tcPr>
            <w:tcW w:w="1817" w:type="dxa"/>
          </w:tcPr>
          <w:p w14:paraId="3A3F063F" w14:textId="77777777" w:rsidR="00E50D2F" w:rsidRPr="00936320" w:rsidRDefault="00E50D2F" w:rsidP="004651B5">
            <w:pPr>
              <w:pStyle w:val="TableText"/>
            </w:pPr>
            <w:r w:rsidRPr="00936320">
              <w:t>For part payment</w:t>
            </w:r>
          </w:p>
        </w:tc>
        <w:tc>
          <w:tcPr>
            <w:tcW w:w="1937" w:type="dxa"/>
          </w:tcPr>
          <w:p w14:paraId="1EDF80D2" w14:textId="77777777" w:rsidR="00E50D2F" w:rsidRPr="00936320" w:rsidRDefault="00E50D2F" w:rsidP="004651B5">
            <w:pPr>
              <w:pStyle w:val="TableText"/>
            </w:pPr>
            <w:r w:rsidRPr="00936320">
              <w:t>If final payment</w:t>
            </w:r>
          </w:p>
        </w:tc>
      </w:tr>
      <w:tr w:rsidR="00E50D2F" w:rsidRPr="00936320" w14:paraId="30C7259A"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49E6551B" w14:textId="77777777" w:rsidR="00E50D2F" w:rsidRPr="00936320" w:rsidRDefault="00E50D2F" w:rsidP="002007A6">
            <w:pPr>
              <w:pStyle w:val="TableText"/>
            </w:pPr>
          </w:p>
        </w:tc>
        <w:tc>
          <w:tcPr>
            <w:tcW w:w="1817" w:type="dxa"/>
          </w:tcPr>
          <w:p w14:paraId="245BBD35" w14:textId="77777777" w:rsidR="00E50D2F" w:rsidRPr="00936320" w:rsidRDefault="00E50D2F" w:rsidP="004651B5">
            <w:pPr>
              <w:pStyle w:val="TableText"/>
            </w:pPr>
            <w:r w:rsidRPr="00936320">
              <w:t>Cancel</w:t>
            </w:r>
          </w:p>
        </w:tc>
        <w:tc>
          <w:tcPr>
            <w:tcW w:w="1817" w:type="dxa"/>
          </w:tcPr>
          <w:p w14:paraId="6E767045" w14:textId="77777777" w:rsidR="00E50D2F" w:rsidRPr="00936320" w:rsidRDefault="00E50D2F" w:rsidP="002007A6">
            <w:pPr>
              <w:pStyle w:val="TableText"/>
              <w:rPr>
                <w:szCs w:val="24"/>
              </w:rPr>
            </w:pPr>
          </w:p>
        </w:tc>
        <w:tc>
          <w:tcPr>
            <w:tcW w:w="1817" w:type="dxa"/>
          </w:tcPr>
          <w:p w14:paraId="50BDF4FC" w14:textId="77777777" w:rsidR="00E50D2F" w:rsidRPr="00936320" w:rsidRDefault="00E50D2F" w:rsidP="002007A6">
            <w:pPr>
              <w:pStyle w:val="TableText"/>
              <w:rPr>
                <w:szCs w:val="24"/>
              </w:rPr>
            </w:pPr>
          </w:p>
        </w:tc>
        <w:tc>
          <w:tcPr>
            <w:tcW w:w="1937" w:type="dxa"/>
          </w:tcPr>
          <w:p w14:paraId="226C535F" w14:textId="77777777" w:rsidR="00E50D2F" w:rsidRPr="00936320" w:rsidRDefault="00E50D2F" w:rsidP="004651B5">
            <w:pPr>
              <w:pStyle w:val="TableText"/>
            </w:pPr>
            <w:r w:rsidRPr="00936320">
              <w:t xml:space="preserve">For </w:t>
            </w:r>
            <w:proofErr w:type="spellStart"/>
            <w:r w:rsidRPr="00936320">
              <w:t>unutilised</w:t>
            </w:r>
            <w:proofErr w:type="spellEnd"/>
            <w:r w:rsidRPr="00936320">
              <w:t xml:space="preserve"> amount</w:t>
            </w:r>
          </w:p>
        </w:tc>
      </w:tr>
      <w:tr w:rsidR="00E50D2F" w:rsidRPr="00936320" w14:paraId="00313513"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62FA405D" w14:textId="77777777" w:rsidR="00E50D2F" w:rsidRPr="00936320" w:rsidRDefault="00E50D2F" w:rsidP="004651B5">
            <w:pPr>
              <w:pStyle w:val="TableText"/>
            </w:pPr>
            <w:r w:rsidRPr="00936320">
              <w:t>Freely Negotiable LC</w:t>
            </w:r>
          </w:p>
        </w:tc>
        <w:tc>
          <w:tcPr>
            <w:tcW w:w="1817" w:type="dxa"/>
          </w:tcPr>
          <w:p w14:paraId="35840B33" w14:textId="77777777" w:rsidR="00E50D2F" w:rsidRPr="00936320" w:rsidRDefault="00E50D2F" w:rsidP="004651B5">
            <w:pPr>
              <w:pStyle w:val="TableText"/>
            </w:pPr>
            <w:r w:rsidRPr="00936320">
              <w:t>Free Negotiation</w:t>
            </w:r>
          </w:p>
        </w:tc>
        <w:tc>
          <w:tcPr>
            <w:tcW w:w="1817" w:type="dxa"/>
          </w:tcPr>
          <w:p w14:paraId="25AE6E15" w14:textId="77777777" w:rsidR="00E50D2F" w:rsidRPr="00936320" w:rsidRDefault="00E50D2F" w:rsidP="002007A6">
            <w:pPr>
              <w:pStyle w:val="TableText"/>
              <w:rPr>
                <w:szCs w:val="24"/>
              </w:rPr>
            </w:pPr>
          </w:p>
        </w:tc>
        <w:tc>
          <w:tcPr>
            <w:tcW w:w="1817" w:type="dxa"/>
          </w:tcPr>
          <w:p w14:paraId="2FC1EB34" w14:textId="77777777" w:rsidR="00E50D2F" w:rsidRPr="00936320" w:rsidRDefault="00E50D2F" w:rsidP="004651B5">
            <w:pPr>
              <w:pStyle w:val="TableText"/>
            </w:pPr>
            <w:r w:rsidRPr="00936320">
              <w:t>For part payment</w:t>
            </w:r>
          </w:p>
        </w:tc>
        <w:tc>
          <w:tcPr>
            <w:tcW w:w="1937" w:type="dxa"/>
          </w:tcPr>
          <w:p w14:paraId="3D68FFFC" w14:textId="77777777" w:rsidR="00E50D2F" w:rsidRPr="00936320" w:rsidRDefault="00E50D2F" w:rsidP="002007A6">
            <w:pPr>
              <w:pStyle w:val="TableText"/>
            </w:pPr>
          </w:p>
        </w:tc>
      </w:tr>
      <w:tr w:rsidR="00E50D2F" w:rsidRPr="00936320" w14:paraId="6C609185"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7ACDDB29" w14:textId="77777777" w:rsidR="00E50D2F" w:rsidRPr="00936320" w:rsidRDefault="00E50D2F" w:rsidP="004651B5">
            <w:pPr>
              <w:pStyle w:val="TableText"/>
            </w:pPr>
            <w:r w:rsidRPr="00936320">
              <w:t>Standbys and Guarantees</w:t>
            </w:r>
          </w:p>
        </w:tc>
        <w:tc>
          <w:tcPr>
            <w:tcW w:w="1817" w:type="dxa"/>
          </w:tcPr>
          <w:p w14:paraId="465DBC1E" w14:textId="77777777" w:rsidR="00E50D2F" w:rsidRPr="00936320" w:rsidRDefault="00E50D2F" w:rsidP="004651B5">
            <w:pPr>
              <w:pStyle w:val="TableText"/>
            </w:pPr>
            <w:r w:rsidRPr="00936320">
              <w:t>Issue</w:t>
            </w:r>
          </w:p>
        </w:tc>
        <w:tc>
          <w:tcPr>
            <w:tcW w:w="1817" w:type="dxa"/>
          </w:tcPr>
          <w:p w14:paraId="1506954E" w14:textId="77777777" w:rsidR="00E50D2F" w:rsidRPr="00936320" w:rsidRDefault="00E50D2F" w:rsidP="004651B5">
            <w:pPr>
              <w:pStyle w:val="TableText"/>
            </w:pPr>
            <w:r w:rsidRPr="00936320">
              <w:t>For standby amount</w:t>
            </w:r>
          </w:p>
        </w:tc>
        <w:tc>
          <w:tcPr>
            <w:tcW w:w="1817" w:type="dxa"/>
          </w:tcPr>
          <w:p w14:paraId="389A92F9" w14:textId="77777777" w:rsidR="00E50D2F" w:rsidRPr="00936320" w:rsidRDefault="00E50D2F" w:rsidP="002007A6">
            <w:pPr>
              <w:pStyle w:val="TableText"/>
              <w:rPr>
                <w:szCs w:val="24"/>
              </w:rPr>
            </w:pPr>
          </w:p>
        </w:tc>
        <w:tc>
          <w:tcPr>
            <w:tcW w:w="1937" w:type="dxa"/>
          </w:tcPr>
          <w:p w14:paraId="1D0538CB" w14:textId="77777777" w:rsidR="00E50D2F" w:rsidRPr="00936320" w:rsidRDefault="00E50D2F" w:rsidP="002007A6">
            <w:pPr>
              <w:pStyle w:val="TableText"/>
            </w:pPr>
          </w:p>
        </w:tc>
      </w:tr>
      <w:tr w:rsidR="00E50D2F" w:rsidRPr="00936320" w14:paraId="46CE4A65"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4FBB89FC" w14:textId="77777777" w:rsidR="00E50D2F" w:rsidRPr="00936320" w:rsidRDefault="00E50D2F" w:rsidP="002007A6">
            <w:pPr>
              <w:pStyle w:val="TableText"/>
            </w:pPr>
          </w:p>
        </w:tc>
        <w:tc>
          <w:tcPr>
            <w:tcW w:w="1817" w:type="dxa"/>
          </w:tcPr>
          <w:p w14:paraId="68A96D53" w14:textId="77777777" w:rsidR="00E50D2F" w:rsidRPr="00936320" w:rsidRDefault="00E50D2F" w:rsidP="004651B5">
            <w:pPr>
              <w:pStyle w:val="TableText"/>
            </w:pPr>
            <w:r w:rsidRPr="00936320">
              <w:t>Amend</w:t>
            </w:r>
          </w:p>
        </w:tc>
        <w:tc>
          <w:tcPr>
            <w:tcW w:w="1817" w:type="dxa"/>
          </w:tcPr>
          <w:p w14:paraId="46D3EEC1" w14:textId="77777777" w:rsidR="00E50D2F" w:rsidRPr="00936320" w:rsidRDefault="00E50D2F" w:rsidP="004651B5">
            <w:pPr>
              <w:pStyle w:val="TableText"/>
            </w:pPr>
            <w:r w:rsidRPr="00936320">
              <w:t>If increase</w:t>
            </w:r>
          </w:p>
        </w:tc>
        <w:tc>
          <w:tcPr>
            <w:tcW w:w="1817" w:type="dxa"/>
          </w:tcPr>
          <w:p w14:paraId="4B7B47A4" w14:textId="77777777" w:rsidR="00E50D2F" w:rsidRPr="00936320" w:rsidRDefault="00E50D2F" w:rsidP="002007A6">
            <w:pPr>
              <w:pStyle w:val="TableText"/>
              <w:rPr>
                <w:szCs w:val="24"/>
              </w:rPr>
            </w:pPr>
          </w:p>
        </w:tc>
        <w:tc>
          <w:tcPr>
            <w:tcW w:w="1937" w:type="dxa"/>
          </w:tcPr>
          <w:p w14:paraId="53783D23" w14:textId="77777777" w:rsidR="00E50D2F" w:rsidRPr="00936320" w:rsidRDefault="00E50D2F" w:rsidP="004651B5">
            <w:pPr>
              <w:pStyle w:val="TableText"/>
            </w:pPr>
            <w:r w:rsidRPr="00936320">
              <w:t>If decrease</w:t>
            </w:r>
          </w:p>
        </w:tc>
      </w:tr>
      <w:tr w:rsidR="00E50D2F" w:rsidRPr="00936320" w14:paraId="20DDB18B"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7308E6FF" w14:textId="77777777" w:rsidR="00E50D2F" w:rsidRPr="00936320" w:rsidRDefault="00E50D2F" w:rsidP="002007A6">
            <w:pPr>
              <w:pStyle w:val="TableText"/>
            </w:pPr>
          </w:p>
        </w:tc>
        <w:tc>
          <w:tcPr>
            <w:tcW w:w="1817" w:type="dxa"/>
          </w:tcPr>
          <w:p w14:paraId="3792AA77" w14:textId="77777777" w:rsidR="00E50D2F" w:rsidRPr="00936320" w:rsidRDefault="00E50D2F" w:rsidP="004651B5">
            <w:pPr>
              <w:pStyle w:val="TableText"/>
            </w:pPr>
            <w:r w:rsidRPr="00936320">
              <w:t>Adjust</w:t>
            </w:r>
          </w:p>
        </w:tc>
        <w:tc>
          <w:tcPr>
            <w:tcW w:w="1817" w:type="dxa"/>
          </w:tcPr>
          <w:p w14:paraId="10A26B61" w14:textId="77777777" w:rsidR="00E50D2F" w:rsidRPr="00936320" w:rsidRDefault="00E50D2F" w:rsidP="004651B5">
            <w:pPr>
              <w:pStyle w:val="TableText"/>
            </w:pPr>
            <w:r w:rsidRPr="00936320">
              <w:t>If increase</w:t>
            </w:r>
          </w:p>
        </w:tc>
        <w:tc>
          <w:tcPr>
            <w:tcW w:w="1817" w:type="dxa"/>
          </w:tcPr>
          <w:p w14:paraId="41FE1B0A" w14:textId="77777777" w:rsidR="00E50D2F" w:rsidRPr="00936320" w:rsidRDefault="00E50D2F" w:rsidP="002007A6">
            <w:pPr>
              <w:pStyle w:val="TableText"/>
              <w:rPr>
                <w:szCs w:val="24"/>
              </w:rPr>
            </w:pPr>
          </w:p>
        </w:tc>
        <w:tc>
          <w:tcPr>
            <w:tcW w:w="1937" w:type="dxa"/>
          </w:tcPr>
          <w:p w14:paraId="4C602E51" w14:textId="77777777" w:rsidR="00E50D2F" w:rsidRPr="00936320" w:rsidRDefault="00E50D2F" w:rsidP="004651B5">
            <w:pPr>
              <w:pStyle w:val="TableText"/>
            </w:pPr>
            <w:r w:rsidRPr="00936320">
              <w:t>If decrease</w:t>
            </w:r>
          </w:p>
        </w:tc>
      </w:tr>
      <w:tr w:rsidR="00E50D2F" w:rsidRPr="00936320" w14:paraId="3B7690C8"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73F0EC59" w14:textId="77777777" w:rsidR="00E50D2F" w:rsidRPr="00936320" w:rsidRDefault="00E50D2F" w:rsidP="002007A6">
            <w:pPr>
              <w:pStyle w:val="TableText"/>
            </w:pPr>
          </w:p>
        </w:tc>
        <w:tc>
          <w:tcPr>
            <w:tcW w:w="1817" w:type="dxa"/>
          </w:tcPr>
          <w:p w14:paraId="7CA7FDC7" w14:textId="77777777" w:rsidR="00E50D2F" w:rsidRPr="00936320" w:rsidRDefault="00E50D2F" w:rsidP="004651B5">
            <w:pPr>
              <w:pStyle w:val="TableText"/>
            </w:pPr>
            <w:r w:rsidRPr="00936320">
              <w:t>Expire</w:t>
            </w:r>
          </w:p>
        </w:tc>
        <w:tc>
          <w:tcPr>
            <w:tcW w:w="1817" w:type="dxa"/>
          </w:tcPr>
          <w:p w14:paraId="53BFA76A" w14:textId="77777777" w:rsidR="00E50D2F" w:rsidRPr="00936320" w:rsidRDefault="00E50D2F" w:rsidP="002007A6">
            <w:pPr>
              <w:pStyle w:val="TableText"/>
              <w:rPr>
                <w:szCs w:val="24"/>
              </w:rPr>
            </w:pPr>
          </w:p>
        </w:tc>
        <w:tc>
          <w:tcPr>
            <w:tcW w:w="1817" w:type="dxa"/>
          </w:tcPr>
          <w:p w14:paraId="7A866B8A" w14:textId="77777777" w:rsidR="00E50D2F" w:rsidRPr="00936320" w:rsidRDefault="00E50D2F" w:rsidP="002007A6">
            <w:pPr>
              <w:pStyle w:val="TableText"/>
              <w:rPr>
                <w:szCs w:val="24"/>
              </w:rPr>
            </w:pPr>
          </w:p>
        </w:tc>
        <w:tc>
          <w:tcPr>
            <w:tcW w:w="1937" w:type="dxa"/>
          </w:tcPr>
          <w:p w14:paraId="11D88BC4" w14:textId="77777777" w:rsidR="00E50D2F" w:rsidRPr="00936320" w:rsidRDefault="00E50D2F" w:rsidP="004651B5">
            <w:pPr>
              <w:pStyle w:val="TableText"/>
            </w:pPr>
            <w:r w:rsidRPr="00936320">
              <w:t xml:space="preserve">For </w:t>
            </w:r>
            <w:proofErr w:type="spellStart"/>
            <w:r w:rsidRPr="00936320">
              <w:t>unutilised</w:t>
            </w:r>
            <w:proofErr w:type="spellEnd"/>
            <w:r w:rsidRPr="00936320">
              <w:t xml:space="preserve"> amount</w:t>
            </w:r>
          </w:p>
        </w:tc>
      </w:tr>
      <w:tr w:rsidR="00E50D2F" w:rsidRPr="00936320" w14:paraId="6331A088"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4E9D136F" w14:textId="77777777" w:rsidR="00E50D2F" w:rsidRPr="00936320" w:rsidRDefault="00E50D2F" w:rsidP="002007A6">
            <w:pPr>
              <w:pStyle w:val="TableText"/>
            </w:pPr>
          </w:p>
        </w:tc>
        <w:tc>
          <w:tcPr>
            <w:tcW w:w="1817" w:type="dxa"/>
          </w:tcPr>
          <w:p w14:paraId="7AFF6DCD" w14:textId="77777777" w:rsidR="00E50D2F" w:rsidRPr="00936320" w:rsidRDefault="00E50D2F" w:rsidP="004651B5">
            <w:pPr>
              <w:pStyle w:val="TableText"/>
            </w:pPr>
            <w:r w:rsidRPr="00936320">
              <w:t>Claim Received/</w:t>
            </w:r>
            <w:r w:rsidRPr="00936320">
              <w:br/>
              <w:t>Outstanding Presentation</w:t>
            </w:r>
          </w:p>
        </w:tc>
        <w:tc>
          <w:tcPr>
            <w:tcW w:w="1817" w:type="dxa"/>
          </w:tcPr>
          <w:p w14:paraId="34244191" w14:textId="77777777" w:rsidR="00E50D2F" w:rsidRPr="00936320" w:rsidRDefault="00E50D2F" w:rsidP="002007A6">
            <w:pPr>
              <w:pStyle w:val="TableText"/>
              <w:rPr>
                <w:szCs w:val="24"/>
              </w:rPr>
            </w:pPr>
          </w:p>
        </w:tc>
        <w:tc>
          <w:tcPr>
            <w:tcW w:w="1817" w:type="dxa"/>
          </w:tcPr>
          <w:p w14:paraId="6DF42752" w14:textId="77777777" w:rsidR="00E50D2F" w:rsidRPr="00936320" w:rsidRDefault="00E50D2F" w:rsidP="004651B5">
            <w:pPr>
              <w:pStyle w:val="TableText"/>
            </w:pPr>
            <w:r w:rsidRPr="00936320">
              <w:t>For part payment</w:t>
            </w:r>
          </w:p>
        </w:tc>
        <w:tc>
          <w:tcPr>
            <w:tcW w:w="1937" w:type="dxa"/>
          </w:tcPr>
          <w:p w14:paraId="4A957837" w14:textId="77777777" w:rsidR="00E50D2F" w:rsidRPr="00936320" w:rsidRDefault="00E50D2F" w:rsidP="004651B5">
            <w:pPr>
              <w:pStyle w:val="TableText"/>
            </w:pPr>
            <w:r w:rsidRPr="00936320">
              <w:t>If final payment</w:t>
            </w:r>
          </w:p>
        </w:tc>
      </w:tr>
      <w:tr w:rsidR="00E50D2F" w:rsidRPr="00936320" w14:paraId="1489B0AE"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01E87759" w14:textId="77777777" w:rsidR="00E50D2F" w:rsidRPr="00936320" w:rsidRDefault="00E50D2F" w:rsidP="002007A6">
            <w:pPr>
              <w:pStyle w:val="TableText"/>
            </w:pPr>
          </w:p>
        </w:tc>
        <w:tc>
          <w:tcPr>
            <w:tcW w:w="1817" w:type="dxa"/>
          </w:tcPr>
          <w:p w14:paraId="4E374110" w14:textId="77777777" w:rsidR="00E50D2F" w:rsidRPr="00936320" w:rsidRDefault="00E50D2F" w:rsidP="004651B5">
            <w:pPr>
              <w:pStyle w:val="TableText"/>
            </w:pPr>
            <w:r w:rsidRPr="00936320">
              <w:t>Outstanding Claim/</w:t>
            </w:r>
            <w:r w:rsidRPr="00936320">
              <w:br/>
              <w:t>Docs Presented</w:t>
            </w:r>
          </w:p>
        </w:tc>
        <w:tc>
          <w:tcPr>
            <w:tcW w:w="1817" w:type="dxa"/>
          </w:tcPr>
          <w:p w14:paraId="38C7D157" w14:textId="77777777" w:rsidR="00E50D2F" w:rsidRPr="00936320" w:rsidRDefault="00E50D2F" w:rsidP="002007A6">
            <w:pPr>
              <w:pStyle w:val="TableText"/>
              <w:rPr>
                <w:szCs w:val="24"/>
              </w:rPr>
            </w:pPr>
          </w:p>
        </w:tc>
        <w:tc>
          <w:tcPr>
            <w:tcW w:w="1817" w:type="dxa"/>
          </w:tcPr>
          <w:p w14:paraId="64B6CEDE" w14:textId="77777777" w:rsidR="00E50D2F" w:rsidRPr="00936320" w:rsidRDefault="00E50D2F" w:rsidP="004651B5">
            <w:pPr>
              <w:pStyle w:val="TableText"/>
            </w:pPr>
            <w:r w:rsidRPr="00936320">
              <w:t>For part payment</w:t>
            </w:r>
          </w:p>
        </w:tc>
        <w:tc>
          <w:tcPr>
            <w:tcW w:w="1937" w:type="dxa"/>
          </w:tcPr>
          <w:p w14:paraId="542B19CD" w14:textId="77777777" w:rsidR="00E50D2F" w:rsidRPr="00936320" w:rsidRDefault="00E50D2F" w:rsidP="004651B5">
            <w:pPr>
              <w:pStyle w:val="TableText"/>
            </w:pPr>
            <w:r w:rsidRPr="00936320">
              <w:t>If final payment</w:t>
            </w:r>
          </w:p>
        </w:tc>
      </w:tr>
      <w:tr w:rsidR="00E50D2F" w:rsidRPr="00936320" w14:paraId="32FC7BA3"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014BC993" w14:textId="77777777" w:rsidR="00E50D2F" w:rsidRPr="00936320" w:rsidRDefault="00E50D2F" w:rsidP="002007A6">
            <w:pPr>
              <w:pStyle w:val="TableText"/>
            </w:pPr>
          </w:p>
        </w:tc>
        <w:tc>
          <w:tcPr>
            <w:tcW w:w="1817" w:type="dxa"/>
          </w:tcPr>
          <w:p w14:paraId="5380AF05" w14:textId="77777777" w:rsidR="00E50D2F" w:rsidRPr="00936320" w:rsidRDefault="00E50D2F" w:rsidP="004651B5">
            <w:pPr>
              <w:pStyle w:val="TableText"/>
            </w:pPr>
            <w:r w:rsidRPr="00936320">
              <w:t>Cancel</w:t>
            </w:r>
          </w:p>
        </w:tc>
        <w:tc>
          <w:tcPr>
            <w:tcW w:w="1817" w:type="dxa"/>
          </w:tcPr>
          <w:p w14:paraId="0AC72983" w14:textId="77777777" w:rsidR="00E50D2F" w:rsidRPr="00936320" w:rsidRDefault="00E50D2F" w:rsidP="002007A6">
            <w:pPr>
              <w:pStyle w:val="TableText"/>
              <w:rPr>
                <w:szCs w:val="24"/>
              </w:rPr>
            </w:pPr>
          </w:p>
        </w:tc>
        <w:tc>
          <w:tcPr>
            <w:tcW w:w="1817" w:type="dxa"/>
          </w:tcPr>
          <w:p w14:paraId="15904B9A" w14:textId="77777777" w:rsidR="00E50D2F" w:rsidRPr="00936320" w:rsidRDefault="00E50D2F" w:rsidP="002007A6">
            <w:pPr>
              <w:pStyle w:val="TableText"/>
              <w:rPr>
                <w:szCs w:val="24"/>
              </w:rPr>
            </w:pPr>
          </w:p>
        </w:tc>
        <w:tc>
          <w:tcPr>
            <w:tcW w:w="1937" w:type="dxa"/>
          </w:tcPr>
          <w:p w14:paraId="5BB11196" w14:textId="77777777" w:rsidR="00E50D2F" w:rsidRPr="00936320" w:rsidRDefault="00E50D2F" w:rsidP="004651B5">
            <w:pPr>
              <w:pStyle w:val="TableText"/>
            </w:pPr>
            <w:r w:rsidRPr="00936320">
              <w:t xml:space="preserve">For </w:t>
            </w:r>
            <w:proofErr w:type="spellStart"/>
            <w:r w:rsidRPr="00936320">
              <w:t>unutilised</w:t>
            </w:r>
            <w:proofErr w:type="spellEnd"/>
            <w:r w:rsidRPr="00936320">
              <w:t xml:space="preserve"> amount</w:t>
            </w:r>
          </w:p>
        </w:tc>
      </w:tr>
      <w:tr w:rsidR="00E50D2F" w:rsidRPr="00936320" w14:paraId="3290ADCF"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1B1FF562" w14:textId="77777777" w:rsidR="00E50D2F" w:rsidRPr="00936320" w:rsidRDefault="00E50D2F" w:rsidP="002007A6">
            <w:pPr>
              <w:pStyle w:val="TableText"/>
            </w:pPr>
          </w:p>
        </w:tc>
        <w:tc>
          <w:tcPr>
            <w:tcW w:w="1817" w:type="dxa"/>
          </w:tcPr>
          <w:p w14:paraId="341569EC" w14:textId="77777777" w:rsidR="00E50D2F" w:rsidRPr="00936320" w:rsidRDefault="00E50D2F" w:rsidP="004651B5">
            <w:pPr>
              <w:pStyle w:val="TableText"/>
            </w:pPr>
            <w:r w:rsidRPr="00936320">
              <w:t>Reduction/</w:t>
            </w:r>
            <w:r w:rsidRPr="00936320">
              <w:br/>
              <w:t>Increase</w:t>
            </w:r>
          </w:p>
        </w:tc>
        <w:tc>
          <w:tcPr>
            <w:tcW w:w="1817" w:type="dxa"/>
          </w:tcPr>
          <w:p w14:paraId="348D5ADA" w14:textId="77777777" w:rsidR="00E50D2F" w:rsidRPr="00936320" w:rsidRDefault="00E50D2F" w:rsidP="004651B5">
            <w:pPr>
              <w:pStyle w:val="TableText"/>
            </w:pPr>
            <w:r w:rsidRPr="00936320">
              <w:t>If increase</w:t>
            </w:r>
          </w:p>
        </w:tc>
        <w:tc>
          <w:tcPr>
            <w:tcW w:w="1817" w:type="dxa"/>
          </w:tcPr>
          <w:p w14:paraId="2DE3280D" w14:textId="77777777" w:rsidR="00E50D2F" w:rsidRPr="00936320" w:rsidRDefault="00E50D2F" w:rsidP="002007A6">
            <w:pPr>
              <w:pStyle w:val="TableText"/>
              <w:rPr>
                <w:szCs w:val="24"/>
              </w:rPr>
            </w:pPr>
          </w:p>
        </w:tc>
        <w:tc>
          <w:tcPr>
            <w:tcW w:w="1937" w:type="dxa"/>
          </w:tcPr>
          <w:p w14:paraId="7E843FCE" w14:textId="77777777" w:rsidR="00E50D2F" w:rsidRPr="00936320" w:rsidRDefault="00E50D2F" w:rsidP="004651B5">
            <w:pPr>
              <w:pStyle w:val="TableText"/>
            </w:pPr>
            <w:r w:rsidRPr="00936320">
              <w:t>If decrease</w:t>
            </w:r>
          </w:p>
        </w:tc>
      </w:tr>
      <w:tr w:rsidR="00E50D2F" w:rsidRPr="00936320" w14:paraId="7953B46C"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7368AE4B" w14:textId="77777777" w:rsidR="00E50D2F" w:rsidRPr="00936320" w:rsidRDefault="00E50D2F" w:rsidP="002007A6">
            <w:pPr>
              <w:pStyle w:val="TableText"/>
            </w:pPr>
          </w:p>
        </w:tc>
        <w:tc>
          <w:tcPr>
            <w:tcW w:w="1817" w:type="dxa"/>
          </w:tcPr>
          <w:p w14:paraId="11F37A1F" w14:textId="77777777" w:rsidR="00E50D2F" w:rsidRPr="00936320" w:rsidRDefault="00E50D2F" w:rsidP="004651B5">
            <w:pPr>
              <w:pStyle w:val="TableText"/>
            </w:pPr>
            <w:r w:rsidRPr="00936320">
              <w:t>Renew</w:t>
            </w:r>
          </w:p>
        </w:tc>
        <w:tc>
          <w:tcPr>
            <w:tcW w:w="1817" w:type="dxa"/>
          </w:tcPr>
          <w:p w14:paraId="44A0A8F0" w14:textId="77777777" w:rsidR="00E50D2F" w:rsidRPr="00936320" w:rsidRDefault="00E50D2F" w:rsidP="004651B5">
            <w:pPr>
              <w:pStyle w:val="TableText"/>
            </w:pPr>
            <w:r w:rsidRPr="00936320">
              <w:t>For LC amount (if renew at original value)</w:t>
            </w:r>
          </w:p>
        </w:tc>
        <w:tc>
          <w:tcPr>
            <w:tcW w:w="1817" w:type="dxa"/>
          </w:tcPr>
          <w:p w14:paraId="627DE96F" w14:textId="77777777" w:rsidR="00E50D2F" w:rsidRPr="00936320" w:rsidRDefault="00E50D2F" w:rsidP="002007A6">
            <w:pPr>
              <w:pStyle w:val="TableText"/>
              <w:rPr>
                <w:szCs w:val="24"/>
              </w:rPr>
            </w:pPr>
          </w:p>
        </w:tc>
        <w:tc>
          <w:tcPr>
            <w:tcW w:w="1937" w:type="dxa"/>
          </w:tcPr>
          <w:p w14:paraId="137136E5" w14:textId="77777777" w:rsidR="00E50D2F" w:rsidRPr="00936320" w:rsidRDefault="00E50D2F" w:rsidP="002007A6">
            <w:pPr>
              <w:pStyle w:val="TableText"/>
            </w:pPr>
          </w:p>
        </w:tc>
      </w:tr>
      <w:tr w:rsidR="00E50D2F" w:rsidRPr="00936320" w14:paraId="38D696EC"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1B3D8D25" w14:textId="77777777" w:rsidR="00E50D2F" w:rsidRPr="00936320" w:rsidRDefault="00E50D2F" w:rsidP="004651B5">
            <w:pPr>
              <w:pStyle w:val="TableText"/>
            </w:pPr>
            <w:r w:rsidRPr="00936320">
              <w:t>Collections</w:t>
            </w:r>
          </w:p>
        </w:tc>
        <w:tc>
          <w:tcPr>
            <w:tcW w:w="1817" w:type="dxa"/>
          </w:tcPr>
          <w:p w14:paraId="235C8C4D" w14:textId="77777777" w:rsidR="00E50D2F" w:rsidRPr="00936320" w:rsidRDefault="00E50D2F" w:rsidP="004651B5">
            <w:pPr>
              <w:pStyle w:val="TableText"/>
            </w:pPr>
            <w:r w:rsidRPr="00936320">
              <w:t>Create (optional)</w:t>
            </w:r>
          </w:p>
        </w:tc>
        <w:tc>
          <w:tcPr>
            <w:tcW w:w="1817" w:type="dxa"/>
          </w:tcPr>
          <w:p w14:paraId="307F20DE" w14:textId="77777777" w:rsidR="00E50D2F" w:rsidRPr="00936320" w:rsidRDefault="00E50D2F" w:rsidP="004651B5">
            <w:pPr>
              <w:pStyle w:val="TableText"/>
            </w:pPr>
            <w:r w:rsidRPr="00936320">
              <w:t>For collection amount</w:t>
            </w:r>
          </w:p>
        </w:tc>
        <w:tc>
          <w:tcPr>
            <w:tcW w:w="1817" w:type="dxa"/>
          </w:tcPr>
          <w:p w14:paraId="181CB5A6" w14:textId="77777777" w:rsidR="00E50D2F" w:rsidRPr="00936320" w:rsidRDefault="00E50D2F" w:rsidP="002007A6">
            <w:pPr>
              <w:pStyle w:val="TableText"/>
              <w:rPr>
                <w:szCs w:val="24"/>
              </w:rPr>
            </w:pPr>
          </w:p>
        </w:tc>
        <w:tc>
          <w:tcPr>
            <w:tcW w:w="1937" w:type="dxa"/>
          </w:tcPr>
          <w:p w14:paraId="20716258" w14:textId="77777777" w:rsidR="00E50D2F" w:rsidRPr="00936320" w:rsidRDefault="00E50D2F" w:rsidP="002007A6">
            <w:pPr>
              <w:pStyle w:val="TableText"/>
            </w:pPr>
          </w:p>
        </w:tc>
      </w:tr>
      <w:tr w:rsidR="00E50D2F" w:rsidRPr="00936320" w14:paraId="7A7B1CE4"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1B68A41E" w14:textId="77777777" w:rsidR="00E50D2F" w:rsidRPr="00936320" w:rsidRDefault="00E50D2F" w:rsidP="002007A6">
            <w:pPr>
              <w:pStyle w:val="TableText"/>
            </w:pPr>
          </w:p>
        </w:tc>
        <w:tc>
          <w:tcPr>
            <w:tcW w:w="1817" w:type="dxa"/>
          </w:tcPr>
          <w:p w14:paraId="186CD836" w14:textId="77777777" w:rsidR="00E50D2F" w:rsidRPr="00936320" w:rsidRDefault="00E50D2F" w:rsidP="004651B5">
            <w:pPr>
              <w:pStyle w:val="TableText"/>
            </w:pPr>
            <w:r w:rsidRPr="00936320">
              <w:t>Amend (optional)</w:t>
            </w:r>
          </w:p>
        </w:tc>
        <w:tc>
          <w:tcPr>
            <w:tcW w:w="1817" w:type="dxa"/>
          </w:tcPr>
          <w:p w14:paraId="22AF43C5" w14:textId="77777777" w:rsidR="00E50D2F" w:rsidRPr="00936320" w:rsidRDefault="00E50D2F" w:rsidP="004651B5">
            <w:pPr>
              <w:pStyle w:val="TableText"/>
            </w:pPr>
            <w:r w:rsidRPr="00936320">
              <w:t>If increase</w:t>
            </w:r>
          </w:p>
        </w:tc>
        <w:tc>
          <w:tcPr>
            <w:tcW w:w="1817" w:type="dxa"/>
          </w:tcPr>
          <w:p w14:paraId="38C7A03A" w14:textId="77777777" w:rsidR="00E50D2F" w:rsidRPr="00936320" w:rsidRDefault="00E50D2F" w:rsidP="002007A6">
            <w:pPr>
              <w:pStyle w:val="TableText"/>
              <w:rPr>
                <w:szCs w:val="24"/>
              </w:rPr>
            </w:pPr>
          </w:p>
        </w:tc>
        <w:tc>
          <w:tcPr>
            <w:tcW w:w="1937" w:type="dxa"/>
          </w:tcPr>
          <w:p w14:paraId="5D5AABBB" w14:textId="77777777" w:rsidR="00E50D2F" w:rsidRPr="00936320" w:rsidRDefault="00E50D2F" w:rsidP="004651B5">
            <w:pPr>
              <w:pStyle w:val="TableText"/>
            </w:pPr>
            <w:r w:rsidRPr="00936320">
              <w:t>If decrease</w:t>
            </w:r>
          </w:p>
        </w:tc>
      </w:tr>
      <w:tr w:rsidR="00E50D2F" w:rsidRPr="00936320" w14:paraId="58D75B74"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60104F9C" w14:textId="77777777" w:rsidR="00E50D2F" w:rsidRPr="00936320" w:rsidRDefault="00E50D2F" w:rsidP="002007A6">
            <w:pPr>
              <w:pStyle w:val="TableText"/>
            </w:pPr>
          </w:p>
        </w:tc>
        <w:tc>
          <w:tcPr>
            <w:tcW w:w="1817" w:type="dxa"/>
          </w:tcPr>
          <w:p w14:paraId="6CCB0C61" w14:textId="77777777" w:rsidR="00E50D2F" w:rsidRPr="00936320" w:rsidRDefault="00E50D2F" w:rsidP="004651B5">
            <w:pPr>
              <w:pStyle w:val="TableText"/>
            </w:pPr>
            <w:r w:rsidRPr="00936320">
              <w:t>Adjust (optional)</w:t>
            </w:r>
          </w:p>
        </w:tc>
        <w:tc>
          <w:tcPr>
            <w:tcW w:w="1817" w:type="dxa"/>
          </w:tcPr>
          <w:p w14:paraId="44A6D6FB" w14:textId="77777777" w:rsidR="00E50D2F" w:rsidRPr="00936320" w:rsidRDefault="00E50D2F" w:rsidP="004651B5">
            <w:pPr>
              <w:pStyle w:val="TableText"/>
            </w:pPr>
            <w:r w:rsidRPr="00936320">
              <w:t>If increase</w:t>
            </w:r>
          </w:p>
        </w:tc>
        <w:tc>
          <w:tcPr>
            <w:tcW w:w="1817" w:type="dxa"/>
          </w:tcPr>
          <w:p w14:paraId="4F922AD5" w14:textId="77777777" w:rsidR="00E50D2F" w:rsidRPr="00936320" w:rsidRDefault="00E50D2F" w:rsidP="002007A6">
            <w:pPr>
              <w:pStyle w:val="TableText"/>
              <w:rPr>
                <w:szCs w:val="24"/>
              </w:rPr>
            </w:pPr>
          </w:p>
        </w:tc>
        <w:tc>
          <w:tcPr>
            <w:tcW w:w="1937" w:type="dxa"/>
          </w:tcPr>
          <w:p w14:paraId="35820A71" w14:textId="77777777" w:rsidR="00E50D2F" w:rsidRPr="00936320" w:rsidRDefault="00E50D2F" w:rsidP="004651B5">
            <w:pPr>
              <w:pStyle w:val="TableText"/>
            </w:pPr>
            <w:r w:rsidRPr="00936320">
              <w:t>If decrease</w:t>
            </w:r>
          </w:p>
        </w:tc>
      </w:tr>
      <w:tr w:rsidR="00E50D2F" w:rsidRPr="00936320" w14:paraId="0D772715"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58DC5924" w14:textId="77777777" w:rsidR="00E50D2F" w:rsidRPr="00936320" w:rsidRDefault="00E50D2F" w:rsidP="002007A6">
            <w:pPr>
              <w:pStyle w:val="TableText"/>
            </w:pPr>
          </w:p>
        </w:tc>
        <w:tc>
          <w:tcPr>
            <w:tcW w:w="1817" w:type="dxa"/>
          </w:tcPr>
          <w:p w14:paraId="1854986A" w14:textId="77777777" w:rsidR="00E50D2F" w:rsidRPr="00936320" w:rsidRDefault="00E50D2F" w:rsidP="004651B5">
            <w:pPr>
              <w:pStyle w:val="TableText"/>
            </w:pPr>
            <w:r w:rsidRPr="00936320">
              <w:t>Pay</w:t>
            </w:r>
          </w:p>
        </w:tc>
        <w:tc>
          <w:tcPr>
            <w:tcW w:w="1817" w:type="dxa"/>
          </w:tcPr>
          <w:p w14:paraId="0067E84A" w14:textId="77777777" w:rsidR="00E50D2F" w:rsidRPr="00936320" w:rsidRDefault="00E50D2F" w:rsidP="002007A6">
            <w:pPr>
              <w:pStyle w:val="TableText"/>
              <w:rPr>
                <w:szCs w:val="24"/>
              </w:rPr>
            </w:pPr>
          </w:p>
        </w:tc>
        <w:tc>
          <w:tcPr>
            <w:tcW w:w="1817" w:type="dxa"/>
          </w:tcPr>
          <w:p w14:paraId="2D4700D4" w14:textId="77777777" w:rsidR="00E50D2F" w:rsidRPr="00936320" w:rsidRDefault="00E50D2F" w:rsidP="004651B5">
            <w:pPr>
              <w:pStyle w:val="TableText"/>
            </w:pPr>
            <w:r w:rsidRPr="00936320">
              <w:t>For part payment</w:t>
            </w:r>
          </w:p>
        </w:tc>
        <w:tc>
          <w:tcPr>
            <w:tcW w:w="1937" w:type="dxa"/>
          </w:tcPr>
          <w:p w14:paraId="17F7835C" w14:textId="77777777" w:rsidR="00E50D2F" w:rsidRPr="00936320" w:rsidRDefault="00E50D2F" w:rsidP="002007A6">
            <w:pPr>
              <w:pStyle w:val="TableText"/>
            </w:pPr>
          </w:p>
        </w:tc>
      </w:tr>
      <w:tr w:rsidR="00E50D2F" w:rsidRPr="00936320" w14:paraId="6FDD013F"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2F230F1F" w14:textId="77777777" w:rsidR="00E50D2F" w:rsidRPr="00936320" w:rsidRDefault="00E50D2F" w:rsidP="002007A6">
            <w:pPr>
              <w:pStyle w:val="TableText"/>
            </w:pPr>
          </w:p>
        </w:tc>
        <w:tc>
          <w:tcPr>
            <w:tcW w:w="1817" w:type="dxa"/>
          </w:tcPr>
          <w:p w14:paraId="6F07DE78" w14:textId="77777777" w:rsidR="00E50D2F" w:rsidRPr="00936320" w:rsidRDefault="00E50D2F" w:rsidP="004651B5">
            <w:pPr>
              <w:pStyle w:val="TableText"/>
            </w:pPr>
            <w:r w:rsidRPr="00936320">
              <w:t>Expire</w:t>
            </w:r>
          </w:p>
        </w:tc>
        <w:tc>
          <w:tcPr>
            <w:tcW w:w="1817" w:type="dxa"/>
          </w:tcPr>
          <w:p w14:paraId="1BEE8301" w14:textId="77777777" w:rsidR="00E50D2F" w:rsidRPr="00936320" w:rsidRDefault="00E50D2F" w:rsidP="002007A6">
            <w:pPr>
              <w:pStyle w:val="TableText"/>
              <w:rPr>
                <w:szCs w:val="24"/>
              </w:rPr>
            </w:pPr>
          </w:p>
        </w:tc>
        <w:tc>
          <w:tcPr>
            <w:tcW w:w="1817" w:type="dxa"/>
          </w:tcPr>
          <w:p w14:paraId="282475F0" w14:textId="77777777" w:rsidR="00E50D2F" w:rsidRPr="00936320" w:rsidRDefault="00E50D2F" w:rsidP="002007A6">
            <w:pPr>
              <w:pStyle w:val="TableText"/>
              <w:rPr>
                <w:szCs w:val="24"/>
              </w:rPr>
            </w:pPr>
          </w:p>
        </w:tc>
        <w:tc>
          <w:tcPr>
            <w:tcW w:w="1937" w:type="dxa"/>
          </w:tcPr>
          <w:p w14:paraId="19CD30FC" w14:textId="77777777" w:rsidR="00E50D2F" w:rsidRPr="00936320" w:rsidRDefault="00E50D2F" w:rsidP="004651B5">
            <w:pPr>
              <w:pStyle w:val="TableText"/>
            </w:pPr>
            <w:r w:rsidRPr="00936320">
              <w:t xml:space="preserve">For </w:t>
            </w:r>
            <w:proofErr w:type="spellStart"/>
            <w:r w:rsidRPr="00936320">
              <w:t>unutilised</w:t>
            </w:r>
            <w:proofErr w:type="spellEnd"/>
            <w:r w:rsidRPr="00936320">
              <w:t xml:space="preserve"> amount</w:t>
            </w:r>
          </w:p>
        </w:tc>
      </w:tr>
      <w:tr w:rsidR="00E50D2F" w:rsidRPr="00936320" w14:paraId="2A4EFA1B"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0C85B597" w14:textId="77777777" w:rsidR="00E50D2F" w:rsidRPr="00936320" w:rsidRDefault="00E50D2F" w:rsidP="004651B5">
            <w:pPr>
              <w:pStyle w:val="TableText"/>
            </w:pPr>
            <w:r w:rsidRPr="00936320">
              <w:t>Clean Payments</w:t>
            </w:r>
          </w:p>
        </w:tc>
        <w:tc>
          <w:tcPr>
            <w:tcW w:w="1817" w:type="dxa"/>
          </w:tcPr>
          <w:p w14:paraId="00942452" w14:textId="77777777" w:rsidR="00E50D2F" w:rsidRPr="00936320" w:rsidRDefault="00E50D2F" w:rsidP="004651B5">
            <w:pPr>
              <w:pStyle w:val="TableText"/>
            </w:pPr>
            <w:r w:rsidRPr="00936320">
              <w:t>Create</w:t>
            </w:r>
          </w:p>
        </w:tc>
        <w:tc>
          <w:tcPr>
            <w:tcW w:w="1817" w:type="dxa"/>
          </w:tcPr>
          <w:p w14:paraId="4E4215AF" w14:textId="77777777" w:rsidR="00E50D2F" w:rsidRPr="00936320" w:rsidRDefault="00E50D2F" w:rsidP="002007A6">
            <w:pPr>
              <w:pStyle w:val="TableText"/>
              <w:rPr>
                <w:szCs w:val="24"/>
              </w:rPr>
            </w:pPr>
          </w:p>
        </w:tc>
        <w:tc>
          <w:tcPr>
            <w:tcW w:w="1817" w:type="dxa"/>
          </w:tcPr>
          <w:p w14:paraId="5846C7BF" w14:textId="77777777" w:rsidR="00E50D2F" w:rsidRPr="00936320" w:rsidRDefault="00E50D2F" w:rsidP="004651B5">
            <w:pPr>
              <w:pStyle w:val="TableText"/>
            </w:pPr>
            <w:r w:rsidRPr="00936320">
              <w:t>For pay amount</w:t>
            </w:r>
          </w:p>
        </w:tc>
        <w:tc>
          <w:tcPr>
            <w:tcW w:w="1937" w:type="dxa"/>
          </w:tcPr>
          <w:p w14:paraId="2E69C247" w14:textId="77777777" w:rsidR="00E50D2F" w:rsidRPr="00936320" w:rsidRDefault="00E50D2F" w:rsidP="002007A6">
            <w:pPr>
              <w:pStyle w:val="TableText"/>
            </w:pPr>
          </w:p>
        </w:tc>
      </w:tr>
      <w:tr w:rsidR="00E50D2F" w:rsidRPr="00936320" w14:paraId="01DCE5EE"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32DDAF42" w14:textId="77777777" w:rsidR="00E50D2F" w:rsidRPr="00936320" w:rsidRDefault="00E50D2F" w:rsidP="004651B5">
            <w:pPr>
              <w:pStyle w:val="TableText"/>
            </w:pPr>
            <w:r w:rsidRPr="00936320">
              <w:t>Standing Orders</w:t>
            </w:r>
          </w:p>
        </w:tc>
        <w:tc>
          <w:tcPr>
            <w:tcW w:w="1817" w:type="dxa"/>
          </w:tcPr>
          <w:p w14:paraId="7D993B75" w14:textId="77777777" w:rsidR="00E50D2F" w:rsidRPr="00936320" w:rsidRDefault="00E50D2F" w:rsidP="004651B5">
            <w:pPr>
              <w:pStyle w:val="TableText"/>
            </w:pPr>
            <w:r w:rsidRPr="00936320">
              <w:t>Standing Order</w:t>
            </w:r>
          </w:p>
        </w:tc>
        <w:tc>
          <w:tcPr>
            <w:tcW w:w="1817" w:type="dxa"/>
          </w:tcPr>
          <w:p w14:paraId="7A8AF874" w14:textId="77777777" w:rsidR="00E50D2F" w:rsidRPr="00936320" w:rsidRDefault="00E50D2F" w:rsidP="002007A6">
            <w:pPr>
              <w:pStyle w:val="TableText"/>
              <w:rPr>
                <w:szCs w:val="24"/>
              </w:rPr>
            </w:pPr>
          </w:p>
        </w:tc>
        <w:tc>
          <w:tcPr>
            <w:tcW w:w="1817" w:type="dxa"/>
          </w:tcPr>
          <w:p w14:paraId="406A6B35" w14:textId="77777777" w:rsidR="00E50D2F" w:rsidRPr="00936320" w:rsidRDefault="00E50D2F" w:rsidP="004651B5">
            <w:pPr>
              <w:pStyle w:val="TableText"/>
            </w:pPr>
            <w:r w:rsidRPr="00936320">
              <w:t>For pay amount</w:t>
            </w:r>
          </w:p>
        </w:tc>
        <w:tc>
          <w:tcPr>
            <w:tcW w:w="1937" w:type="dxa"/>
          </w:tcPr>
          <w:p w14:paraId="4D9FADD7" w14:textId="77777777" w:rsidR="00E50D2F" w:rsidRPr="00936320" w:rsidRDefault="00E50D2F" w:rsidP="002007A6">
            <w:pPr>
              <w:pStyle w:val="TableText"/>
            </w:pPr>
          </w:p>
        </w:tc>
      </w:tr>
      <w:tr w:rsidR="00E50D2F" w:rsidRPr="00936320" w14:paraId="7F1A7DC7" w14:textId="77777777" w:rsidTr="00FB4E11">
        <w:trPr>
          <w:cnfStyle w:val="000000100000" w:firstRow="0" w:lastRow="0" w:firstColumn="0" w:lastColumn="0" w:oddVBand="0" w:evenVBand="0" w:oddHBand="1" w:evenHBand="0" w:firstRowFirstColumn="0" w:firstRowLastColumn="0" w:lastRowFirstColumn="0" w:lastRowLastColumn="0"/>
        </w:trPr>
        <w:tc>
          <w:tcPr>
            <w:tcW w:w="1702" w:type="dxa"/>
          </w:tcPr>
          <w:p w14:paraId="126D8041" w14:textId="77777777" w:rsidR="00E50D2F" w:rsidRPr="00936320" w:rsidRDefault="00E50D2F" w:rsidP="004651B5">
            <w:pPr>
              <w:pStyle w:val="TableText"/>
            </w:pPr>
            <w:r w:rsidRPr="00936320">
              <w:t>Financing</w:t>
            </w:r>
          </w:p>
        </w:tc>
        <w:tc>
          <w:tcPr>
            <w:tcW w:w="1817" w:type="dxa"/>
          </w:tcPr>
          <w:p w14:paraId="0DDDF837" w14:textId="77777777" w:rsidR="00E50D2F" w:rsidRPr="00936320" w:rsidRDefault="00E50D2F" w:rsidP="004651B5">
            <w:pPr>
              <w:pStyle w:val="TableText"/>
            </w:pPr>
            <w:r w:rsidRPr="00936320">
              <w:t>Create</w:t>
            </w:r>
          </w:p>
        </w:tc>
        <w:tc>
          <w:tcPr>
            <w:tcW w:w="1817" w:type="dxa"/>
          </w:tcPr>
          <w:p w14:paraId="1787FBBF" w14:textId="77777777" w:rsidR="00E50D2F" w:rsidRPr="00936320" w:rsidRDefault="00E50D2F" w:rsidP="002007A6">
            <w:pPr>
              <w:pStyle w:val="TableText"/>
              <w:rPr>
                <w:szCs w:val="24"/>
              </w:rPr>
            </w:pPr>
          </w:p>
        </w:tc>
        <w:tc>
          <w:tcPr>
            <w:tcW w:w="1817" w:type="dxa"/>
          </w:tcPr>
          <w:p w14:paraId="56D196D7" w14:textId="77777777" w:rsidR="00E50D2F" w:rsidRPr="00936320" w:rsidRDefault="00E50D2F" w:rsidP="004651B5">
            <w:pPr>
              <w:pStyle w:val="TableText"/>
            </w:pPr>
            <w:r w:rsidRPr="00936320">
              <w:t>For loan amount</w:t>
            </w:r>
          </w:p>
        </w:tc>
        <w:tc>
          <w:tcPr>
            <w:tcW w:w="1937" w:type="dxa"/>
          </w:tcPr>
          <w:p w14:paraId="4194A8BF" w14:textId="77777777" w:rsidR="00E50D2F" w:rsidRPr="00936320" w:rsidRDefault="00E50D2F" w:rsidP="002007A6">
            <w:pPr>
              <w:pStyle w:val="TableText"/>
            </w:pPr>
          </w:p>
        </w:tc>
      </w:tr>
      <w:tr w:rsidR="00E50D2F" w:rsidRPr="00936320" w14:paraId="385D1396" w14:textId="77777777" w:rsidTr="00FB4E11">
        <w:trPr>
          <w:cnfStyle w:val="000000010000" w:firstRow="0" w:lastRow="0" w:firstColumn="0" w:lastColumn="0" w:oddVBand="0" w:evenVBand="0" w:oddHBand="0" w:evenHBand="1" w:firstRowFirstColumn="0" w:firstRowLastColumn="0" w:lastRowFirstColumn="0" w:lastRowLastColumn="0"/>
        </w:trPr>
        <w:tc>
          <w:tcPr>
            <w:tcW w:w="1702" w:type="dxa"/>
          </w:tcPr>
          <w:p w14:paraId="365825B1" w14:textId="77777777" w:rsidR="00E50D2F" w:rsidRPr="00936320" w:rsidRDefault="00E50D2F" w:rsidP="002007A6">
            <w:pPr>
              <w:pStyle w:val="TableText"/>
            </w:pPr>
          </w:p>
        </w:tc>
        <w:tc>
          <w:tcPr>
            <w:tcW w:w="1817" w:type="dxa"/>
          </w:tcPr>
          <w:p w14:paraId="6EAACE71" w14:textId="77777777" w:rsidR="00E50D2F" w:rsidRPr="00936320" w:rsidRDefault="00E50D2F" w:rsidP="004651B5">
            <w:pPr>
              <w:pStyle w:val="TableText"/>
            </w:pPr>
            <w:r w:rsidRPr="00936320">
              <w:t>Amend/Adjust</w:t>
            </w:r>
          </w:p>
        </w:tc>
        <w:tc>
          <w:tcPr>
            <w:tcW w:w="1817" w:type="dxa"/>
          </w:tcPr>
          <w:p w14:paraId="29BEA868" w14:textId="77777777" w:rsidR="00E50D2F" w:rsidRPr="00936320" w:rsidRDefault="00E50D2F" w:rsidP="002007A6">
            <w:pPr>
              <w:pStyle w:val="TableText"/>
              <w:rPr>
                <w:szCs w:val="24"/>
              </w:rPr>
            </w:pPr>
          </w:p>
        </w:tc>
        <w:tc>
          <w:tcPr>
            <w:tcW w:w="1817" w:type="dxa"/>
          </w:tcPr>
          <w:p w14:paraId="124F723B" w14:textId="77777777" w:rsidR="00E50D2F" w:rsidRPr="00936320" w:rsidRDefault="00E50D2F" w:rsidP="004651B5">
            <w:pPr>
              <w:pStyle w:val="TableText"/>
            </w:pPr>
            <w:r w:rsidRPr="00936320">
              <w:t>For increase amount</w:t>
            </w:r>
          </w:p>
        </w:tc>
        <w:tc>
          <w:tcPr>
            <w:tcW w:w="1937" w:type="dxa"/>
          </w:tcPr>
          <w:p w14:paraId="0CDDE9C0" w14:textId="77777777" w:rsidR="00E50D2F" w:rsidRPr="00936320" w:rsidRDefault="00E50D2F" w:rsidP="002007A6">
            <w:pPr>
              <w:pStyle w:val="TableText"/>
            </w:pPr>
          </w:p>
        </w:tc>
      </w:tr>
    </w:tbl>
    <w:p w14:paraId="65C53B1B" w14:textId="77777777" w:rsidR="00E50D2F" w:rsidRPr="00936320" w:rsidRDefault="00E50D2F" w:rsidP="000F5BE4">
      <w:pPr>
        <w:pStyle w:val="Heading2"/>
      </w:pPr>
      <w:bookmarkStart w:id="244" w:name="O_23715"/>
      <w:bookmarkStart w:id="245" w:name="_Toc317758880"/>
      <w:bookmarkStart w:id="246" w:name="_Toc373155457"/>
      <w:bookmarkStart w:id="247" w:name="_Toc390475626"/>
      <w:bookmarkStart w:id="248" w:name="_Toc411436734"/>
      <w:bookmarkStart w:id="249" w:name="_Toc166665357"/>
      <w:bookmarkEnd w:id="244"/>
      <w:r w:rsidRPr="00936320">
        <w:t>Making Amendments</w:t>
      </w:r>
      <w:bookmarkEnd w:id="245"/>
      <w:bookmarkEnd w:id="246"/>
      <w:bookmarkEnd w:id="247"/>
      <w:bookmarkEnd w:id="248"/>
      <w:bookmarkEnd w:id="249"/>
    </w:p>
    <w:p w14:paraId="5A795DF0" w14:textId="77777777" w:rsidR="00E50D2F" w:rsidRPr="00936320" w:rsidRDefault="00E50D2F" w:rsidP="00FB4E11">
      <w:pPr>
        <w:pStyle w:val="BodyText"/>
      </w:pPr>
      <w:r w:rsidRPr="00936320">
        <w:t>When the amount or currency of a transaction is amended, the amount allocated to any linked license (and its reservation) will also need to be increased or decreased to reflect the change to the transaction value. This would be as a subsidiary event to the amendment of the parent transaction. It may also be necessary to initiate a further drawdown.</w:t>
      </w:r>
    </w:p>
    <w:p w14:paraId="7D15A5F0" w14:textId="77777777" w:rsidR="00E50D2F" w:rsidRPr="00936320" w:rsidRDefault="00E50D2F" w:rsidP="00FB4E11">
      <w:pPr>
        <w:pStyle w:val="BodyText"/>
      </w:pPr>
      <w:r w:rsidRPr="00936320">
        <w:t>To update the allocated amounts and reservations on the license, open an Amend event for the parent transaction and then click on the More button in the Licenses pane. The Licenses window is displayed and lists any allocations and reservations that are currently made against the transaction.</w:t>
      </w:r>
    </w:p>
    <w:p w14:paraId="428BDBA7" w14:textId="06DFBD72" w:rsidR="00E50D2F" w:rsidRDefault="00E50D2F" w:rsidP="00E50D2F">
      <w:pPr>
        <w:pStyle w:val="BodyText0"/>
        <w:rPr>
          <w:lang w:val="en-GB"/>
        </w:rPr>
      </w:pPr>
    </w:p>
    <w:p w14:paraId="23E698BC" w14:textId="3B2E51ED" w:rsidR="0067049F" w:rsidRPr="00936320" w:rsidRDefault="0067049F" w:rsidP="00E50D2F">
      <w:pPr>
        <w:pStyle w:val="BodyText0"/>
        <w:rPr>
          <w:lang w:val="en-GB"/>
        </w:rPr>
      </w:pPr>
      <w:r>
        <w:rPr>
          <w:noProof/>
        </w:rPr>
        <w:drawing>
          <wp:inline distT="0" distB="0" distL="0" distR="0" wp14:anchorId="7B09CE28" wp14:editId="1607FE1E">
            <wp:extent cx="5731510" cy="165798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57985"/>
                    </a:xfrm>
                    <a:prstGeom prst="rect">
                      <a:avLst/>
                    </a:prstGeom>
                  </pic:spPr>
                </pic:pic>
              </a:graphicData>
            </a:graphic>
          </wp:inline>
        </w:drawing>
      </w:r>
    </w:p>
    <w:p w14:paraId="0A766C10" w14:textId="77777777" w:rsidR="00E50D2F" w:rsidRPr="00936320" w:rsidRDefault="00E50D2F" w:rsidP="002D662B">
      <w:pPr>
        <w:pStyle w:val="NoSpaceAfter"/>
      </w:pPr>
      <w:r w:rsidRPr="00936320">
        <w:t xml:space="preserve">Where there is only a single linked license, the system will have automatically created the necessary reservation, </w:t>
      </w:r>
      <w:proofErr w:type="gramStart"/>
      <w:r w:rsidRPr="00936320">
        <w:t>drawdown</w:t>
      </w:r>
      <w:proofErr w:type="gramEnd"/>
      <w:r w:rsidRPr="00936320">
        <w:t xml:space="preserve"> or reinstatement (if the amount is decreased). Where there is more than one linked license, you must manually enter the appropriate allocations, reservations, </w:t>
      </w:r>
      <w:proofErr w:type="gramStart"/>
      <w:r w:rsidRPr="00936320">
        <w:t>drawdowns</w:t>
      </w:r>
      <w:proofErr w:type="gramEnd"/>
      <w:r w:rsidRPr="00936320">
        <w:t xml:space="preserve"> or reinstatements - the relevant buttons are enabled as appropriate. The buttons on this window are as follows:</w:t>
      </w:r>
    </w:p>
    <w:tbl>
      <w:tblPr>
        <w:tblStyle w:val="TableGrid"/>
        <w:tblW w:w="9090" w:type="dxa"/>
        <w:tblLayout w:type="fixed"/>
        <w:tblLook w:val="0020" w:firstRow="1" w:lastRow="0" w:firstColumn="0" w:lastColumn="0" w:noHBand="0" w:noVBand="0"/>
      </w:tblPr>
      <w:tblGrid>
        <w:gridCol w:w="2070"/>
        <w:gridCol w:w="7020"/>
      </w:tblGrid>
      <w:tr w:rsidR="00E50D2F" w:rsidRPr="00936320" w14:paraId="7A0A8FE2"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7C1C65D8" w14:textId="77777777" w:rsidR="00E50D2F" w:rsidRPr="00936320" w:rsidRDefault="00E50D2F" w:rsidP="00FB4E11">
            <w:pPr>
              <w:pStyle w:val="TableHead"/>
            </w:pPr>
            <w:r w:rsidRPr="00936320">
              <w:lastRenderedPageBreak/>
              <w:t>Button</w:t>
            </w:r>
          </w:p>
        </w:tc>
        <w:tc>
          <w:tcPr>
            <w:tcW w:w="7020" w:type="dxa"/>
          </w:tcPr>
          <w:p w14:paraId="687C0CF9" w14:textId="77777777" w:rsidR="00E50D2F" w:rsidRPr="00936320" w:rsidRDefault="00E50D2F" w:rsidP="00FB4E11">
            <w:pPr>
              <w:pStyle w:val="TableHead"/>
            </w:pPr>
            <w:r w:rsidRPr="00936320">
              <w:t>What it Does</w:t>
            </w:r>
          </w:p>
        </w:tc>
      </w:tr>
      <w:tr w:rsidR="00E50D2F" w:rsidRPr="00936320" w14:paraId="581F14C8"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023ED2BB" w14:textId="77777777" w:rsidR="00E50D2F" w:rsidRPr="00936320" w:rsidRDefault="00E50D2F" w:rsidP="004651B5">
            <w:pPr>
              <w:pStyle w:val="TableText"/>
            </w:pPr>
            <w:r w:rsidRPr="00936320">
              <w:t>Add Link</w:t>
            </w:r>
          </w:p>
        </w:tc>
        <w:tc>
          <w:tcPr>
            <w:tcW w:w="7020" w:type="dxa"/>
          </w:tcPr>
          <w:p w14:paraId="3F270CB3" w14:textId="77777777" w:rsidR="00E50D2F" w:rsidRPr="00936320" w:rsidRDefault="00E50D2F" w:rsidP="004651B5">
            <w:pPr>
              <w:pStyle w:val="TableText"/>
            </w:pPr>
            <w:r w:rsidRPr="00936320">
              <w:t>Allows you to associate one or more new licenses with the parent transaction if there is insufficient available amount on the existing license to cover an increase in the transaction amount</w:t>
            </w:r>
            <w:bookmarkStart w:id="250" w:name="H_21673"/>
            <w:bookmarkEnd w:id="250"/>
            <w:r w:rsidRPr="00936320">
              <w:t xml:space="preserve"> (see page</w:t>
            </w:r>
            <w:r w:rsidR="00B15F6F">
              <w:t xml:space="preserve"> </w:t>
            </w:r>
            <w:r w:rsidR="00115080">
              <w:fldChar w:fldCharType="begin"/>
            </w:r>
            <w:r w:rsidR="00B15F6F">
              <w:instrText xml:space="preserve"> PAGEREF _Ref432450584 \h </w:instrText>
            </w:r>
            <w:r w:rsidR="00115080">
              <w:fldChar w:fldCharType="separate"/>
            </w:r>
            <w:r w:rsidR="007920EC">
              <w:t>15</w:t>
            </w:r>
            <w:r w:rsidR="00115080">
              <w:fldChar w:fldCharType="end"/>
            </w:r>
            <w:r w:rsidRPr="00936320">
              <w:t>).</w:t>
            </w:r>
          </w:p>
        </w:tc>
      </w:tr>
      <w:tr w:rsidR="00E50D2F" w:rsidRPr="00936320" w14:paraId="4F86A49C"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3B6D20C3" w14:textId="77777777" w:rsidR="00E50D2F" w:rsidRPr="00936320" w:rsidRDefault="00E50D2F" w:rsidP="004651B5">
            <w:pPr>
              <w:pStyle w:val="TableText"/>
            </w:pPr>
            <w:r w:rsidRPr="00936320">
              <w:t>Licenses</w:t>
            </w:r>
          </w:p>
        </w:tc>
        <w:tc>
          <w:tcPr>
            <w:tcW w:w="7020" w:type="dxa"/>
          </w:tcPr>
          <w:p w14:paraId="648EA617" w14:textId="77777777" w:rsidR="00E50D2F" w:rsidRPr="00936320" w:rsidRDefault="00E50D2F" w:rsidP="004651B5">
            <w:pPr>
              <w:pStyle w:val="TableText"/>
            </w:pPr>
            <w:r w:rsidRPr="00936320">
              <w:t>Allows you to see details of the selected license.</w:t>
            </w:r>
          </w:p>
        </w:tc>
      </w:tr>
      <w:tr w:rsidR="00E50D2F" w:rsidRPr="00936320" w14:paraId="45EADAC3"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7B65CFDB" w14:textId="77777777" w:rsidR="00E50D2F" w:rsidRPr="00936320" w:rsidRDefault="00E50D2F" w:rsidP="004651B5">
            <w:pPr>
              <w:pStyle w:val="TableText"/>
            </w:pPr>
            <w:r w:rsidRPr="00936320">
              <w:t>Delete</w:t>
            </w:r>
          </w:p>
        </w:tc>
        <w:tc>
          <w:tcPr>
            <w:tcW w:w="7020" w:type="dxa"/>
          </w:tcPr>
          <w:p w14:paraId="0BE406F0" w14:textId="77777777" w:rsidR="00E50D2F" w:rsidRPr="00936320" w:rsidRDefault="00E50D2F" w:rsidP="004651B5">
            <w:pPr>
              <w:pStyle w:val="TableText"/>
            </w:pPr>
            <w:r w:rsidRPr="00936320">
              <w:t>Allows you to remove an existing link to a license. Once you have deleted it, the details of the deleted link are listed in the Deleted Licenses pane. From here, you can restore the deleted allocation (by selecting it and clicking on the Undo button) or review its details (by selecting it and clicking on the View button). You can also remove the reinstatement from the pane (by selecting it and clicking Delete) or change the reinstatement amount or exchange rate (by selecting the reinstatement and clicking on the Update button).</w:t>
            </w:r>
          </w:p>
        </w:tc>
      </w:tr>
      <w:tr w:rsidR="00E50D2F" w:rsidRPr="00936320" w14:paraId="157F0C9A"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5DD73FCF" w14:textId="77777777" w:rsidR="00E50D2F" w:rsidRPr="00936320" w:rsidRDefault="00E50D2F" w:rsidP="004651B5">
            <w:pPr>
              <w:pStyle w:val="TableText"/>
            </w:pPr>
            <w:r w:rsidRPr="00936320">
              <w:t>Update</w:t>
            </w:r>
          </w:p>
        </w:tc>
        <w:tc>
          <w:tcPr>
            <w:tcW w:w="7020" w:type="dxa"/>
          </w:tcPr>
          <w:p w14:paraId="25B7C14A" w14:textId="77777777" w:rsidR="00E50D2F" w:rsidRPr="00936320" w:rsidRDefault="00E50D2F" w:rsidP="004651B5">
            <w:pPr>
              <w:pStyle w:val="TableText"/>
            </w:pPr>
            <w:r w:rsidRPr="00936320">
              <w:t>Allows you to change the allocated amount.</w:t>
            </w:r>
          </w:p>
        </w:tc>
      </w:tr>
      <w:tr w:rsidR="00E50D2F" w:rsidRPr="00936320" w14:paraId="679EB3C4" w14:textId="77777777" w:rsidTr="00FB4E11">
        <w:trPr>
          <w:cnfStyle w:val="000000100000" w:firstRow="0" w:lastRow="0" w:firstColumn="0" w:lastColumn="0" w:oddVBand="0" w:evenVBand="0" w:oddHBand="1" w:evenHBand="0" w:firstRowFirstColumn="0" w:firstRowLastColumn="0" w:lastRowFirstColumn="0" w:lastRowLastColumn="0"/>
        </w:trPr>
        <w:tc>
          <w:tcPr>
            <w:tcW w:w="9090" w:type="dxa"/>
            <w:gridSpan w:val="2"/>
          </w:tcPr>
          <w:p w14:paraId="7F17EE90" w14:textId="77777777" w:rsidR="00E50D2F" w:rsidRDefault="00E50D2F" w:rsidP="004651B5">
            <w:pPr>
              <w:pStyle w:val="TableText"/>
            </w:pPr>
            <w:r w:rsidRPr="00936320">
              <w:rPr>
                <w:noProof/>
                <w:lang w:eastAsia="en-GB"/>
              </w:rPr>
              <w:drawing>
                <wp:inline distT="0" distB="0" distL="0" distR="0" wp14:anchorId="74885BF9" wp14:editId="6BE27A81">
                  <wp:extent cx="5343525" cy="1190625"/>
                  <wp:effectExtent l="19050" t="0" r="9525" b="0"/>
                  <wp:docPr id="7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cstate="print"/>
                          <a:srcRect/>
                          <a:stretch>
                            <a:fillRect/>
                          </a:stretch>
                        </pic:blipFill>
                        <pic:spPr bwMode="auto">
                          <a:xfrm>
                            <a:off x="0" y="0"/>
                            <a:ext cx="5343525" cy="1190625"/>
                          </a:xfrm>
                          <a:prstGeom prst="rect">
                            <a:avLst/>
                          </a:prstGeom>
                          <a:noFill/>
                          <a:ln w="9525">
                            <a:noFill/>
                            <a:miter lim="800000"/>
                            <a:headEnd/>
                            <a:tailEnd/>
                          </a:ln>
                        </pic:spPr>
                      </pic:pic>
                    </a:graphicData>
                  </a:graphic>
                </wp:inline>
              </w:drawing>
            </w:r>
          </w:p>
          <w:p w14:paraId="461325D2" w14:textId="729C291F" w:rsidR="00CE6B46" w:rsidRPr="00936320" w:rsidRDefault="00CE6B46" w:rsidP="004651B5">
            <w:pPr>
              <w:pStyle w:val="TableText"/>
            </w:pPr>
          </w:p>
        </w:tc>
      </w:tr>
      <w:tr w:rsidR="00E50D2F" w:rsidRPr="00936320" w14:paraId="57476CFE" w14:textId="77777777" w:rsidTr="00FB4E11">
        <w:trPr>
          <w:cnfStyle w:val="000000010000" w:firstRow="0" w:lastRow="0" w:firstColumn="0" w:lastColumn="0" w:oddVBand="0" w:evenVBand="0" w:oddHBand="0" w:evenHBand="1" w:firstRowFirstColumn="0" w:firstRowLastColumn="0" w:lastRowFirstColumn="0" w:lastRowLastColumn="0"/>
          <w:trHeight w:val="172"/>
        </w:trPr>
        <w:tc>
          <w:tcPr>
            <w:tcW w:w="2070" w:type="dxa"/>
          </w:tcPr>
          <w:p w14:paraId="4E63552C" w14:textId="77777777" w:rsidR="00E50D2F" w:rsidRPr="00936320" w:rsidRDefault="00E50D2F" w:rsidP="00EB172C">
            <w:pPr>
              <w:pStyle w:val="TableText"/>
            </w:pPr>
          </w:p>
        </w:tc>
        <w:tc>
          <w:tcPr>
            <w:tcW w:w="7020" w:type="dxa"/>
          </w:tcPr>
          <w:p w14:paraId="53C75332" w14:textId="77777777" w:rsidR="00E50D2F" w:rsidRPr="00936320" w:rsidRDefault="00E50D2F" w:rsidP="004651B5">
            <w:pPr>
              <w:pStyle w:val="TableText"/>
            </w:pPr>
            <w:r w:rsidRPr="00936320">
              <w:t>You can override the amount that has been automatically selected by your system. This might be used, for example, to accommodate any differences between the incoterms of the license and the incoterms of the letter of credit. The allocated amount must not exceed the transaction amount.</w:t>
            </w:r>
          </w:p>
          <w:p w14:paraId="20CF99AE" w14:textId="77777777" w:rsidR="00E50D2F" w:rsidRPr="00936320" w:rsidRDefault="00E50D2F" w:rsidP="00FB4E11">
            <w:pPr>
              <w:pStyle w:val="TableNote"/>
            </w:pPr>
            <w:r w:rsidRPr="00936320">
              <w:t xml:space="preserve">When you are amending a license allocation, all the fields on the Link License window are read only </w:t>
            </w:r>
            <w:proofErr w:type="gramStart"/>
            <w:r w:rsidRPr="00936320">
              <w:t>with the exception of</w:t>
            </w:r>
            <w:proofErr w:type="gramEnd"/>
            <w:r w:rsidRPr="00936320">
              <w:t xml:space="preserve"> the Amount to allocate field.</w:t>
            </w:r>
          </w:p>
        </w:tc>
      </w:tr>
      <w:tr w:rsidR="00E50D2F" w:rsidRPr="00936320" w14:paraId="161FE4E1"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6A2D42BC" w14:textId="77777777" w:rsidR="00E50D2F" w:rsidRPr="00936320" w:rsidRDefault="00E50D2F" w:rsidP="004651B5">
            <w:pPr>
              <w:pStyle w:val="TableText"/>
            </w:pPr>
            <w:r w:rsidRPr="00936320">
              <w:t>Reserve</w:t>
            </w:r>
          </w:p>
        </w:tc>
        <w:tc>
          <w:tcPr>
            <w:tcW w:w="7020" w:type="dxa"/>
          </w:tcPr>
          <w:p w14:paraId="656606CD" w14:textId="77777777" w:rsidR="00E50D2F" w:rsidRPr="00936320" w:rsidRDefault="00E50D2F" w:rsidP="004651B5">
            <w:pPr>
              <w:pStyle w:val="TableText"/>
            </w:pPr>
            <w:r w:rsidRPr="00936320">
              <w:t>Allows you to add manual reservations for a transaction increase that is not yet allocated. Click on the Reserve button and the License Reserve window is displayed. Here you can set the amount of the reservation as well as the exchange rate to be used.</w:t>
            </w:r>
          </w:p>
        </w:tc>
      </w:tr>
      <w:tr w:rsidR="00E50D2F" w:rsidRPr="00936320" w14:paraId="1E73601D" w14:textId="77777777" w:rsidTr="00FB4E11">
        <w:trPr>
          <w:cnfStyle w:val="000000010000" w:firstRow="0" w:lastRow="0" w:firstColumn="0" w:lastColumn="0" w:oddVBand="0" w:evenVBand="0" w:oddHBand="0" w:evenHBand="1" w:firstRowFirstColumn="0" w:firstRowLastColumn="0" w:lastRowFirstColumn="0" w:lastRowLastColumn="0"/>
        </w:trPr>
        <w:tc>
          <w:tcPr>
            <w:tcW w:w="2070" w:type="dxa"/>
          </w:tcPr>
          <w:p w14:paraId="609C4F9F" w14:textId="77777777" w:rsidR="00E50D2F" w:rsidRPr="00936320" w:rsidRDefault="00E50D2F" w:rsidP="004651B5">
            <w:pPr>
              <w:pStyle w:val="TableText"/>
            </w:pPr>
            <w:r w:rsidRPr="00936320">
              <w:t>Reinstate</w:t>
            </w:r>
          </w:p>
        </w:tc>
        <w:tc>
          <w:tcPr>
            <w:tcW w:w="7020" w:type="dxa"/>
          </w:tcPr>
          <w:p w14:paraId="67A77654" w14:textId="77777777" w:rsidR="00E50D2F" w:rsidRPr="00936320" w:rsidRDefault="00E50D2F" w:rsidP="004651B5">
            <w:pPr>
              <w:pStyle w:val="TableText"/>
            </w:pPr>
            <w:r w:rsidRPr="00936320">
              <w:t xml:space="preserve">Allows you to reinstate any part of the license amount </w:t>
            </w:r>
            <w:proofErr w:type="gramStart"/>
            <w:r w:rsidRPr="00936320">
              <w:t>as a result of</w:t>
            </w:r>
            <w:proofErr w:type="gramEnd"/>
            <w:r w:rsidRPr="00936320">
              <w:t xml:space="preserve"> a decrease in the transaction value.</w:t>
            </w:r>
          </w:p>
        </w:tc>
      </w:tr>
      <w:tr w:rsidR="00E50D2F" w:rsidRPr="00936320" w14:paraId="6A4C1B6E" w14:textId="77777777" w:rsidTr="00FB4E11">
        <w:trPr>
          <w:cnfStyle w:val="000000100000" w:firstRow="0" w:lastRow="0" w:firstColumn="0" w:lastColumn="0" w:oddVBand="0" w:evenVBand="0" w:oddHBand="1" w:evenHBand="0" w:firstRowFirstColumn="0" w:firstRowLastColumn="0" w:lastRowFirstColumn="0" w:lastRowLastColumn="0"/>
        </w:trPr>
        <w:tc>
          <w:tcPr>
            <w:tcW w:w="2070" w:type="dxa"/>
          </w:tcPr>
          <w:p w14:paraId="4B3B0C14" w14:textId="77777777" w:rsidR="00E50D2F" w:rsidRPr="00936320" w:rsidRDefault="00E50D2F" w:rsidP="004651B5">
            <w:pPr>
              <w:pStyle w:val="TableText"/>
            </w:pPr>
            <w:r w:rsidRPr="00936320">
              <w:t>Draw Down</w:t>
            </w:r>
          </w:p>
        </w:tc>
        <w:tc>
          <w:tcPr>
            <w:tcW w:w="7020" w:type="dxa"/>
          </w:tcPr>
          <w:p w14:paraId="334B4969" w14:textId="77777777" w:rsidR="00E50D2F" w:rsidRPr="00936320" w:rsidRDefault="00E50D2F" w:rsidP="004651B5">
            <w:pPr>
              <w:pStyle w:val="TableText"/>
            </w:pPr>
            <w:r w:rsidRPr="00936320">
              <w:t>Allows you to make a drawdown against a license if the transaction amount has increased - see the next section</w:t>
            </w:r>
            <w:bookmarkStart w:id="251" w:name="H_21667"/>
            <w:bookmarkEnd w:id="251"/>
            <w:r w:rsidRPr="00936320">
              <w:t xml:space="preserve"> (see page</w:t>
            </w:r>
            <w:r w:rsidR="00B15F6F">
              <w:t xml:space="preserve"> </w:t>
            </w:r>
            <w:r w:rsidR="00115080">
              <w:fldChar w:fldCharType="begin"/>
            </w:r>
            <w:r w:rsidR="00B15F6F">
              <w:instrText xml:space="preserve"> PAGEREF _Ref432450607 \h </w:instrText>
            </w:r>
            <w:r w:rsidR="00115080">
              <w:fldChar w:fldCharType="separate"/>
            </w:r>
            <w:r w:rsidR="007920EC">
              <w:t>27</w:t>
            </w:r>
            <w:r w:rsidR="00115080">
              <w:fldChar w:fldCharType="end"/>
            </w:r>
            <w:r w:rsidRPr="00936320">
              <w:t>). You can also double click on a drawdown in the License window to make a drawdown.</w:t>
            </w:r>
          </w:p>
        </w:tc>
      </w:tr>
    </w:tbl>
    <w:p w14:paraId="04C54672" w14:textId="77777777" w:rsidR="00E50D2F" w:rsidRPr="00936320" w:rsidRDefault="00E50D2F" w:rsidP="000F5BE4">
      <w:pPr>
        <w:pStyle w:val="Heading3"/>
      </w:pPr>
      <w:bookmarkStart w:id="252" w:name="O_21666"/>
      <w:bookmarkStart w:id="253" w:name="_Toc317758881"/>
      <w:bookmarkStart w:id="254" w:name="_Toc373155458"/>
      <w:bookmarkStart w:id="255" w:name="_Toc411436735"/>
      <w:bookmarkStart w:id="256" w:name="_Ref432450432"/>
      <w:bookmarkStart w:id="257" w:name="_Ref432450607"/>
      <w:bookmarkStart w:id="258" w:name="_Toc166665358"/>
      <w:bookmarkEnd w:id="252"/>
      <w:r w:rsidRPr="00936320">
        <w:t>Drawdowns</w:t>
      </w:r>
      <w:bookmarkEnd w:id="253"/>
      <w:bookmarkEnd w:id="254"/>
      <w:bookmarkEnd w:id="255"/>
      <w:bookmarkEnd w:id="256"/>
      <w:bookmarkEnd w:id="257"/>
      <w:bookmarkEnd w:id="258"/>
    </w:p>
    <w:p w14:paraId="1F2C4414" w14:textId="77777777" w:rsidR="00E50D2F" w:rsidRPr="00936320" w:rsidRDefault="00E50D2F" w:rsidP="00FB4E11">
      <w:pPr>
        <w:pStyle w:val="BodyText"/>
      </w:pPr>
      <w:r w:rsidRPr="00936320">
        <w:t>When a payment event is used to settle a transaction that has a license applied to it, funds will need to be drawn down against the license as part of the payment. This is done using a Drawdown event for the license as a subsidiary event to the payment event. Licenses can be drawn down both at final payment and at part payment. A drawdown may also be used for financing transactions, and for outward clean payments - either when they are created or when financing is amended.</w:t>
      </w:r>
    </w:p>
    <w:p w14:paraId="003C83BE" w14:textId="2E977507" w:rsidR="00E50D2F" w:rsidRPr="00936320" w:rsidRDefault="00E50D2F" w:rsidP="00FB4E11">
      <w:pPr>
        <w:pStyle w:val="Note1"/>
      </w:pPr>
      <w:r w:rsidRPr="00936320">
        <w:t xml:space="preserve">For specific information about the payment events for the transaction, please refer to the appropriate product-specific user guide. For example, if your transaction is an import letter of credit, see the </w:t>
      </w:r>
      <w:r w:rsidRPr="00936320">
        <w:rPr>
          <w:rStyle w:val="Italic"/>
        </w:rPr>
        <w:t>Import Letters of Credit User Guide</w:t>
      </w:r>
      <w:r w:rsidRPr="00936320">
        <w:t xml:space="preserve"> </w:t>
      </w:r>
      <w:r w:rsidR="002D662B" w:rsidRPr="00567CEA">
        <w:rPr>
          <w:rStyle w:val="Italic"/>
        </w:rPr>
        <w:t xml:space="preserve">– </w:t>
      </w:r>
      <w:r w:rsidR="00985469">
        <w:rPr>
          <w:rStyle w:val="Italic"/>
        </w:rPr>
        <w:t>Trade Innovation</w:t>
      </w:r>
      <w:r w:rsidR="002D662B" w:rsidRPr="00567CEA">
        <w:rPr>
          <w:rStyle w:val="Italic"/>
        </w:rPr>
        <w:t xml:space="preserve"> </w:t>
      </w:r>
      <w:r w:rsidRPr="00936320">
        <w:t>for detail</w:t>
      </w:r>
      <w:r w:rsidR="002D662B" w:rsidRPr="00936320">
        <w:t>s of the Claims Received event.</w:t>
      </w:r>
    </w:p>
    <w:p w14:paraId="2C96C6A6" w14:textId="77777777" w:rsidR="00E50D2F" w:rsidRPr="00936320" w:rsidRDefault="00E50D2F" w:rsidP="00FB4E11">
      <w:pPr>
        <w:pStyle w:val="BodyText"/>
      </w:pPr>
      <w:r w:rsidRPr="00936320">
        <w:t xml:space="preserve">A separate Drawdown event is required for each part payment that is to be made </w:t>
      </w:r>
      <w:proofErr w:type="gramStart"/>
      <w:r w:rsidRPr="00936320">
        <w:t>in the course of</w:t>
      </w:r>
      <w:proofErr w:type="gramEnd"/>
      <w:r w:rsidRPr="00936320">
        <w:t xml:space="preserve"> a payment event, and each part payment can have multiple drawdowns if it has links to multiple licenses. Drawdowns can either be made immediately if is a sight payment, or can occur on the maturity date for acceptance and deferred payments. Depending on the payment action you choose, the system will determine if an automatic drawdown is required. You can manually override this to add or delete drawdowns, or to alter the defaulted amount or value date.</w:t>
      </w:r>
    </w:p>
    <w:p w14:paraId="2F4F91BE" w14:textId="77777777" w:rsidR="00E50D2F" w:rsidRPr="00936320" w:rsidRDefault="00E50D2F" w:rsidP="00FB4E11">
      <w:pPr>
        <w:pStyle w:val="BodyText"/>
      </w:pPr>
      <w:r w:rsidRPr="00936320">
        <w:lastRenderedPageBreak/>
        <w:t>In the simplest case, the transaction being settled would be linked only to a single license, and settled as a single payment - which is therefore the final payment. However, sometimes it is more complicated. For example, a claim against a letter of credit might involve more than one type of payment - a sight payment for 40% and the other 60% payable by 60 days acceptance.</w:t>
      </w:r>
    </w:p>
    <w:p w14:paraId="1A96FA2C" w14:textId="77777777" w:rsidR="00E50D2F" w:rsidRPr="00936320" w:rsidRDefault="00E50D2F" w:rsidP="00FB4E11">
      <w:pPr>
        <w:pStyle w:val="BodyText"/>
      </w:pPr>
      <w:r w:rsidRPr="00936320">
        <w:t>Possible payment scenarios include:</w:t>
      </w:r>
    </w:p>
    <w:p w14:paraId="2D081CCA" w14:textId="77777777" w:rsidR="00E50D2F" w:rsidRPr="00936320" w:rsidRDefault="00E50D2F" w:rsidP="00FB4E11">
      <w:pPr>
        <w:pStyle w:val="BulletLevel1"/>
      </w:pPr>
      <w:r w:rsidRPr="00936320">
        <w:t xml:space="preserve">A single (and therefore final) payment with a single license allocation </w:t>
      </w:r>
    </w:p>
    <w:p w14:paraId="2B452AB4" w14:textId="77777777" w:rsidR="00E50D2F" w:rsidRPr="00936320" w:rsidRDefault="00E50D2F" w:rsidP="00FB4E11">
      <w:pPr>
        <w:pStyle w:val="BulletLevel1"/>
      </w:pPr>
      <w:r w:rsidRPr="00936320">
        <w:t>A single (and therefore final) payment, but with multiple licenses allocated to it</w:t>
      </w:r>
    </w:p>
    <w:p w14:paraId="17841382" w14:textId="77777777" w:rsidR="00E50D2F" w:rsidRPr="00936320" w:rsidRDefault="00E50D2F" w:rsidP="00FB4E11">
      <w:pPr>
        <w:pStyle w:val="BulletLevel1"/>
      </w:pPr>
      <w:r w:rsidRPr="00936320">
        <w:t xml:space="preserve">More than one part payment for the transaction, all covered by a single license </w:t>
      </w:r>
    </w:p>
    <w:p w14:paraId="40ED2D15" w14:textId="77777777" w:rsidR="00E50D2F" w:rsidRPr="00936320" w:rsidRDefault="00E50D2F" w:rsidP="00FB4E11">
      <w:pPr>
        <w:pStyle w:val="BulletLevel1"/>
      </w:pPr>
      <w:r w:rsidRPr="00936320">
        <w:t xml:space="preserve">More than one part payment for the transaction, each one with its own license </w:t>
      </w:r>
    </w:p>
    <w:p w14:paraId="65E743B6" w14:textId="77777777" w:rsidR="00E50D2F" w:rsidRPr="00936320" w:rsidRDefault="00E50D2F" w:rsidP="00FB4E11">
      <w:pPr>
        <w:pStyle w:val="BulletLevel1"/>
      </w:pPr>
      <w:r w:rsidRPr="00936320">
        <w:t>More than one part payment for a transaction, at least one of which has multiple license allocations</w:t>
      </w:r>
    </w:p>
    <w:p w14:paraId="4F697612" w14:textId="77777777" w:rsidR="007D21FF" w:rsidRDefault="007D21FF" w:rsidP="00FB4E11">
      <w:pPr>
        <w:pStyle w:val="BodyText"/>
      </w:pPr>
    </w:p>
    <w:p w14:paraId="2C210761" w14:textId="4965548D" w:rsidR="00E50D2F" w:rsidRPr="00936320" w:rsidRDefault="00E50D2F" w:rsidP="00FB4E11">
      <w:pPr>
        <w:pStyle w:val="BodyText"/>
      </w:pPr>
      <w:r w:rsidRPr="00936320">
        <w:t>The Drawdown event may take place automatically, or if there is more than one payment involved in the event then you will need to specify the distribution of funds by means of manual Drawdown events. Click on the Licenses button in the A</w:t>
      </w:r>
      <w:r w:rsidR="00EB172C" w:rsidRPr="00936320">
        <w:t>ssociated Payment Details pane.</w:t>
      </w:r>
    </w:p>
    <w:p w14:paraId="0A24EDC8" w14:textId="77777777" w:rsidR="00E50D2F" w:rsidRPr="00936320" w:rsidRDefault="00E50D2F" w:rsidP="00FB4E11">
      <w:pPr>
        <w:pStyle w:val="BodyText"/>
      </w:pPr>
      <w:r w:rsidRPr="00936320">
        <w:rPr>
          <w:noProof/>
          <w:lang w:eastAsia="en-GB"/>
        </w:rPr>
        <w:drawing>
          <wp:inline distT="0" distB="0" distL="0" distR="0" wp14:anchorId="01863F6D" wp14:editId="163BD91F">
            <wp:extent cx="5391150" cy="790575"/>
            <wp:effectExtent l="19050" t="0" r="0" b="0"/>
            <wp:docPr id="7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srcRect/>
                    <a:stretch>
                      <a:fillRect/>
                    </a:stretch>
                  </pic:blipFill>
                  <pic:spPr bwMode="auto">
                    <a:xfrm>
                      <a:off x="0" y="0"/>
                      <a:ext cx="5391150" cy="790575"/>
                    </a:xfrm>
                    <a:prstGeom prst="rect">
                      <a:avLst/>
                    </a:prstGeom>
                    <a:noFill/>
                    <a:ln w="9525">
                      <a:noFill/>
                      <a:miter lim="800000"/>
                      <a:headEnd/>
                      <a:tailEnd/>
                    </a:ln>
                  </pic:spPr>
                </pic:pic>
              </a:graphicData>
            </a:graphic>
          </wp:inline>
        </w:drawing>
      </w:r>
    </w:p>
    <w:p w14:paraId="45C2C774" w14:textId="77777777" w:rsidR="00E50D2F" w:rsidRPr="00936320" w:rsidRDefault="00E50D2F" w:rsidP="00FB4E11">
      <w:pPr>
        <w:pStyle w:val="BodyText"/>
      </w:pPr>
      <w:r w:rsidRPr="00936320">
        <w:t>In the window displayed you can link the transaction master to additional licenses, amend existing links, or delete any lin</w:t>
      </w:r>
      <w:r w:rsidR="00EB172C" w:rsidRPr="00936320">
        <w:t>ks that are no longer required.</w:t>
      </w:r>
    </w:p>
    <w:p w14:paraId="5C6A9703" w14:textId="77777777" w:rsidR="00E50D2F" w:rsidRPr="00936320" w:rsidRDefault="00E50D2F" w:rsidP="00FB4E11">
      <w:pPr>
        <w:pStyle w:val="BodyText"/>
      </w:pPr>
      <w:r w:rsidRPr="00936320">
        <w:t>Selecting the drawdown either here or in the Associated Payment Details pane and pressing the Update button displays details of the drawdown.</w:t>
      </w:r>
    </w:p>
    <w:p w14:paraId="0030412F" w14:textId="77777777" w:rsidR="00E50D2F" w:rsidRPr="00936320" w:rsidRDefault="00E50D2F" w:rsidP="00FB4E11">
      <w:pPr>
        <w:pStyle w:val="BodyText"/>
      </w:pPr>
      <w:r w:rsidRPr="00936320">
        <w:rPr>
          <w:noProof/>
          <w:lang w:eastAsia="en-GB"/>
        </w:rPr>
        <w:drawing>
          <wp:inline distT="0" distB="0" distL="0" distR="0" wp14:anchorId="1105274C" wp14:editId="0DC153F5">
            <wp:extent cx="5391150" cy="1543050"/>
            <wp:effectExtent l="19050" t="0" r="0" b="0"/>
            <wp:docPr id="7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cstate="print"/>
                    <a:srcRect/>
                    <a:stretch>
                      <a:fillRect/>
                    </a:stretch>
                  </pic:blipFill>
                  <pic:spPr bwMode="auto">
                    <a:xfrm>
                      <a:off x="0" y="0"/>
                      <a:ext cx="5391150" cy="1543050"/>
                    </a:xfrm>
                    <a:prstGeom prst="rect">
                      <a:avLst/>
                    </a:prstGeom>
                    <a:noFill/>
                    <a:ln w="9525">
                      <a:noFill/>
                      <a:miter lim="800000"/>
                      <a:headEnd/>
                      <a:tailEnd/>
                    </a:ln>
                  </pic:spPr>
                </pic:pic>
              </a:graphicData>
            </a:graphic>
          </wp:inline>
        </w:drawing>
      </w:r>
    </w:p>
    <w:p w14:paraId="56415B8D" w14:textId="77777777" w:rsidR="00E50D2F" w:rsidRPr="00936320" w:rsidRDefault="00E50D2F" w:rsidP="00FB4E11">
      <w:pPr>
        <w:pStyle w:val="BodyText"/>
      </w:pPr>
      <w:r w:rsidRPr="00936320">
        <w:t>You can also drawdown funds against a license by clicking on the Drawdown button. This button displays a window in which you can confirm the details and process the drawdown.</w:t>
      </w:r>
    </w:p>
    <w:p w14:paraId="246201E6" w14:textId="77777777" w:rsidR="00E50D2F" w:rsidRPr="00936320" w:rsidRDefault="00E50D2F" w:rsidP="00FB4E11">
      <w:pPr>
        <w:pStyle w:val="BodyText"/>
      </w:pPr>
      <w:r w:rsidRPr="00936320">
        <w:t>By default, the drawdown amount is set to the same as the payment amount but you can amend the payment value date, drawdown amount or exchange rate for the drawdown. If the payment/drawdown currency is different from that on the license, the drawdown amount will be converted into the license currency and amount for drawdown.</w:t>
      </w:r>
    </w:p>
    <w:p w14:paraId="5EEF95F7" w14:textId="77777777" w:rsidR="00E50D2F" w:rsidRPr="00936320" w:rsidRDefault="00E50D2F" w:rsidP="00FB4E11">
      <w:pPr>
        <w:pStyle w:val="BodyText"/>
      </w:pPr>
      <w:r w:rsidRPr="00936320">
        <w:t>Note that the available amount shown includes any completed drawdowns and reservations, but not drawdowns in progress or reservations in progress. The validation does, however, take these into account.</w:t>
      </w:r>
    </w:p>
    <w:p w14:paraId="28591486" w14:textId="77777777" w:rsidR="00E50D2F" w:rsidRPr="00936320" w:rsidRDefault="00E50D2F" w:rsidP="00FB4E11">
      <w:pPr>
        <w:pStyle w:val="BodyText"/>
      </w:pPr>
      <w:r w:rsidRPr="00936320">
        <w:t xml:space="preserve">The drawdown must be within the remaining allocation amount or the license amount, plus any tolerance that has been entered. If the claim is overdrawn, and assuming that the license has not been set up to permit </w:t>
      </w:r>
      <w:proofErr w:type="spellStart"/>
      <w:r w:rsidRPr="00936320">
        <w:t>overdrawal</w:t>
      </w:r>
      <w:proofErr w:type="spellEnd"/>
      <w:r w:rsidRPr="00936320">
        <w:t>, then an error message will be displayed. (Your bank will have set up the system parameters to control the way that overdrawn licenses, tolerance limits and multiple licenses are handled on your system.)</w:t>
      </w:r>
    </w:p>
    <w:p w14:paraId="7C7532D1" w14:textId="13AD0FBC" w:rsidR="00E50D2F" w:rsidRPr="00936320" w:rsidRDefault="00E50D2F" w:rsidP="00FB4E11">
      <w:pPr>
        <w:pStyle w:val="BodyText"/>
      </w:pPr>
      <w:r w:rsidRPr="00936320">
        <w:t xml:space="preserve">If the license amount has previously been reserved, then at drawdown the reserved amount will be reduced by the drawdown amount, and the </w:t>
      </w:r>
      <w:proofErr w:type="spellStart"/>
      <w:r w:rsidRPr="00936320">
        <w:t>utilised</w:t>
      </w:r>
      <w:proofErr w:type="spellEnd"/>
      <w:r w:rsidRPr="00936320">
        <w:t xml:space="preserve"> amount will be increased by the same amount. However, if there were no reservations, then at drawdown the </w:t>
      </w:r>
      <w:proofErr w:type="spellStart"/>
      <w:r w:rsidRPr="00936320">
        <w:t>utilised</w:t>
      </w:r>
      <w:proofErr w:type="spellEnd"/>
      <w:r w:rsidRPr="00936320">
        <w:t xml:space="preserve"> amount will be increased by the drawdown amount and the available amount will be reduced by the drawdown amount. In the first case, the available amount is not changed.</w:t>
      </w:r>
    </w:p>
    <w:p w14:paraId="372B6979" w14:textId="77777777" w:rsidR="00E50D2F" w:rsidRPr="00936320" w:rsidRDefault="00E50D2F" w:rsidP="00FB4E11">
      <w:pPr>
        <w:pStyle w:val="BodyText"/>
      </w:pPr>
      <w:r w:rsidRPr="00936320">
        <w:t>The total of all the drawdowns must not exceed the amount available on the license. If the drawdown amount does exceed the license amount available, then a warning or error message (depending on how your system has been set up) is displayed. If a drawdown reduces the available balance on the license to zero or less, then the license status will automatically be changed from ‘Live’ to ‘To be cleared’.</w:t>
      </w:r>
    </w:p>
    <w:p w14:paraId="177A1004" w14:textId="77777777" w:rsidR="00E50D2F" w:rsidRPr="00936320" w:rsidRDefault="00E50D2F" w:rsidP="00FB4E11">
      <w:pPr>
        <w:pStyle w:val="BodyText"/>
      </w:pPr>
      <w:r w:rsidRPr="00936320">
        <w:lastRenderedPageBreak/>
        <w:t>Drawdown details also appear in the payment table, along with financing details and disbursements for transferable letters of credit, and assignment of proceeds. You can double-click on the license details in the payment table to update details too.</w:t>
      </w:r>
    </w:p>
    <w:p w14:paraId="40C520C0" w14:textId="77777777" w:rsidR="00E50D2F" w:rsidRPr="00936320" w:rsidRDefault="00E50D2F" w:rsidP="000F5BE4">
      <w:pPr>
        <w:pStyle w:val="Heading2"/>
      </w:pPr>
      <w:bookmarkStart w:id="259" w:name="_Toc390475627"/>
      <w:bookmarkStart w:id="260" w:name="_Ref404928280"/>
      <w:bookmarkStart w:id="261" w:name="_Toc411436736"/>
      <w:bookmarkStart w:id="262" w:name="_Ref432450452"/>
      <w:bookmarkStart w:id="263" w:name="_Toc166665359"/>
      <w:r w:rsidRPr="00936320">
        <w:t xml:space="preserve">Reinstating </w:t>
      </w:r>
      <w:proofErr w:type="spellStart"/>
      <w:r w:rsidRPr="00936320">
        <w:t>Unutilised</w:t>
      </w:r>
      <w:proofErr w:type="spellEnd"/>
      <w:r w:rsidRPr="00936320">
        <w:t xml:space="preserve"> Amounts</w:t>
      </w:r>
      <w:bookmarkEnd w:id="259"/>
      <w:bookmarkEnd w:id="260"/>
      <w:bookmarkEnd w:id="261"/>
      <w:bookmarkEnd w:id="262"/>
      <w:bookmarkEnd w:id="263"/>
    </w:p>
    <w:p w14:paraId="65864189" w14:textId="77777777" w:rsidR="00E50D2F" w:rsidRPr="00936320" w:rsidRDefault="00E50D2F" w:rsidP="00FB4E11">
      <w:pPr>
        <w:pStyle w:val="BodyText"/>
      </w:pPr>
      <w:r w:rsidRPr="00936320">
        <w:t xml:space="preserve">The Reinstate event enables any reserved amount from the transaction that is </w:t>
      </w:r>
      <w:proofErr w:type="spellStart"/>
      <w:r w:rsidRPr="00936320">
        <w:t>unutilised</w:t>
      </w:r>
      <w:proofErr w:type="spellEnd"/>
      <w:r w:rsidRPr="00936320">
        <w:t xml:space="preserve"> at the time of final payment, </w:t>
      </w:r>
      <w:proofErr w:type="gramStart"/>
      <w:r w:rsidRPr="00936320">
        <w:t>expiry</w:t>
      </w:r>
      <w:proofErr w:type="gramEnd"/>
      <w:r w:rsidRPr="00936320">
        <w:t xml:space="preserve"> or cancellation to be reinstated on the license, providing that a reservation was made earlier and that the license specifies </w:t>
      </w:r>
      <w:r w:rsidR="00EB172C" w:rsidRPr="00936320">
        <w:t>that reinstatement is required.</w:t>
      </w:r>
    </w:p>
    <w:p w14:paraId="6A8D122A" w14:textId="77777777" w:rsidR="00E50D2F" w:rsidRPr="00936320" w:rsidRDefault="00E50D2F" w:rsidP="00FB4E11">
      <w:pPr>
        <w:pStyle w:val="BodyText"/>
      </w:pPr>
      <w:r w:rsidRPr="00936320">
        <w:t>Reinstatements can occur due to:</w:t>
      </w:r>
    </w:p>
    <w:p w14:paraId="40FEB697" w14:textId="77777777" w:rsidR="00E50D2F" w:rsidRPr="00936320" w:rsidRDefault="00E50D2F" w:rsidP="00FB4E11">
      <w:pPr>
        <w:pStyle w:val="BulletLevel1"/>
      </w:pPr>
      <w:r w:rsidRPr="00936320">
        <w:t>Final payment</w:t>
      </w:r>
    </w:p>
    <w:p w14:paraId="06AF96D3" w14:textId="77777777" w:rsidR="00E50D2F" w:rsidRPr="00936320" w:rsidRDefault="00E50D2F" w:rsidP="00FB4E11">
      <w:pPr>
        <w:pStyle w:val="BulletLevel1"/>
      </w:pPr>
      <w:r w:rsidRPr="00936320">
        <w:t>Expiry</w:t>
      </w:r>
    </w:p>
    <w:p w14:paraId="1939D992" w14:textId="77777777" w:rsidR="00E50D2F" w:rsidRPr="00936320" w:rsidRDefault="00E50D2F" w:rsidP="00FB4E11">
      <w:pPr>
        <w:pStyle w:val="BulletLevel1"/>
      </w:pPr>
      <w:r w:rsidRPr="00936320">
        <w:t>Cancellation</w:t>
      </w:r>
    </w:p>
    <w:p w14:paraId="5B5C835D" w14:textId="77777777" w:rsidR="00E50D2F" w:rsidRPr="00936320" w:rsidRDefault="00E50D2F" w:rsidP="00FB4E11">
      <w:pPr>
        <w:pStyle w:val="BulletLevel1"/>
      </w:pPr>
      <w:r w:rsidRPr="00936320">
        <w:t>Decrease in transaction value</w:t>
      </w:r>
    </w:p>
    <w:p w14:paraId="07287203" w14:textId="77777777" w:rsidR="00E50D2F" w:rsidRPr="00936320" w:rsidRDefault="00E50D2F" w:rsidP="00FB4E11">
      <w:pPr>
        <w:pStyle w:val="BodyText"/>
      </w:pPr>
      <w:r w:rsidRPr="00936320">
        <w:t>The reinstated amount is automatically made available for drawing by another transaction. Where more than one license is related to the transaction, the system assigns the outstanding amounts according to the original allocations from each of the licenses.</w:t>
      </w:r>
    </w:p>
    <w:p w14:paraId="35AA8DCB" w14:textId="77777777" w:rsidR="00E50D2F" w:rsidRPr="00936320" w:rsidRDefault="00E50D2F" w:rsidP="00FB4E11">
      <w:pPr>
        <w:pStyle w:val="BodyText"/>
      </w:pPr>
      <w:r w:rsidRPr="00936320">
        <w:t>Reinstatement may have been set up on the license default as being automatic, or it may have been set on the individual license during input. Assuming that reinstatement is enabled, then the Reinstate event is automatically created when a l</w:t>
      </w:r>
      <w:r w:rsidR="002D662B" w:rsidRPr="00936320">
        <w:t>icensed transaction is expired.</w:t>
      </w:r>
    </w:p>
    <w:p w14:paraId="6B0E8121" w14:textId="77777777" w:rsidR="00E50D2F" w:rsidRPr="00936320" w:rsidRDefault="00E50D2F" w:rsidP="00FB4E11">
      <w:pPr>
        <w:pStyle w:val="BodyText"/>
      </w:pPr>
      <w:r w:rsidRPr="00936320">
        <w:rPr>
          <w:noProof/>
          <w:lang w:eastAsia="en-GB"/>
        </w:rPr>
        <w:drawing>
          <wp:inline distT="0" distB="0" distL="0" distR="0" wp14:anchorId="4CBEA8D2" wp14:editId="495F5512">
            <wp:extent cx="5400675" cy="771525"/>
            <wp:effectExtent l="19050" t="0" r="9525" b="0"/>
            <wp:docPr id="8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cstate="print"/>
                    <a:srcRect/>
                    <a:stretch>
                      <a:fillRect/>
                    </a:stretch>
                  </pic:blipFill>
                  <pic:spPr bwMode="auto">
                    <a:xfrm>
                      <a:off x="0" y="0"/>
                      <a:ext cx="5400675" cy="771525"/>
                    </a:xfrm>
                    <a:prstGeom prst="rect">
                      <a:avLst/>
                    </a:prstGeom>
                    <a:noFill/>
                    <a:ln w="9525">
                      <a:noFill/>
                      <a:miter lim="800000"/>
                      <a:headEnd/>
                      <a:tailEnd/>
                    </a:ln>
                  </pic:spPr>
                </pic:pic>
              </a:graphicData>
            </a:graphic>
          </wp:inline>
        </w:drawing>
      </w:r>
    </w:p>
    <w:p w14:paraId="267CCDC5" w14:textId="77777777" w:rsidR="00E50D2F" w:rsidRPr="00936320" w:rsidRDefault="00E50D2F" w:rsidP="00FB4E11">
      <w:pPr>
        <w:pStyle w:val="BodyText"/>
      </w:pPr>
      <w:r w:rsidRPr="00936320">
        <w:t xml:space="preserve">Where there is only one license attached, the expiry of the transaction will release both the expiry event and the reinstatement automatically during end of day, providing there are no errors or warnings. However the Reinstate event cannot be automatically released, nor can its associated event (for example Expiry), if more than one license is attached. In this case, you must specify how much of the </w:t>
      </w:r>
      <w:proofErr w:type="spellStart"/>
      <w:r w:rsidRPr="00936320">
        <w:t>unutilised</w:t>
      </w:r>
      <w:proofErr w:type="spellEnd"/>
      <w:r w:rsidRPr="00936320">
        <w:t xml:space="preserve"> reserved balance must be reinstated for each license.</w:t>
      </w:r>
    </w:p>
    <w:p w14:paraId="1CEEBEEF" w14:textId="77777777" w:rsidR="00E50D2F" w:rsidRPr="00936320" w:rsidRDefault="00E50D2F" w:rsidP="000F5BE4">
      <w:pPr>
        <w:pStyle w:val="Heading2"/>
      </w:pPr>
      <w:bookmarkStart w:id="264" w:name="O_22896"/>
      <w:bookmarkStart w:id="265" w:name="_Toc317758883"/>
      <w:bookmarkStart w:id="266" w:name="_Toc373155460"/>
      <w:bookmarkStart w:id="267" w:name="_Toc390475628"/>
      <w:bookmarkStart w:id="268" w:name="_Toc411436737"/>
      <w:bookmarkStart w:id="269" w:name="_Toc166665360"/>
      <w:bookmarkEnd w:id="264"/>
      <w:r w:rsidRPr="00936320">
        <w:t>Book-off and Deletion</w:t>
      </w:r>
      <w:bookmarkEnd w:id="265"/>
      <w:bookmarkEnd w:id="266"/>
      <w:bookmarkEnd w:id="267"/>
      <w:bookmarkEnd w:id="268"/>
      <w:bookmarkEnd w:id="269"/>
    </w:p>
    <w:p w14:paraId="0E1F8B6D" w14:textId="77777777" w:rsidR="00E50D2F" w:rsidRPr="00936320" w:rsidRDefault="00E50D2F" w:rsidP="00FB4E11">
      <w:pPr>
        <w:pStyle w:val="BodyText"/>
      </w:pPr>
      <w:r w:rsidRPr="00936320">
        <w:t xml:space="preserve">Once a transaction has been expired, </w:t>
      </w:r>
      <w:r w:rsidR="00E03250" w:rsidRPr="00936320">
        <w:t>Trade Innovation</w:t>
      </w:r>
      <w:r w:rsidRPr="00936320">
        <w:t xml:space="preserve"> calculates the book-off date from the book-off period (using the product option settings for the license). Assuming your system has been set up to do so, you can reinstate booked off licenses.</w:t>
      </w:r>
    </w:p>
    <w:p w14:paraId="6B349BB4" w14:textId="77777777" w:rsidR="00E50D2F" w:rsidRPr="00936320" w:rsidRDefault="00E50D2F" w:rsidP="00FB4E11">
      <w:pPr>
        <w:pStyle w:val="BodyText"/>
      </w:pPr>
      <w:r w:rsidRPr="00936320">
        <w:t>Once the transaction details have been archived then the system sets the retention period using the product option settings for the product for the retention period. After the retention date the transaction details are deleted from the system.</w:t>
      </w:r>
    </w:p>
    <w:p w14:paraId="5C4630B0" w14:textId="77777777" w:rsidR="00E50D2F" w:rsidRPr="00936320" w:rsidRDefault="00E50D2F" w:rsidP="00FB4E11">
      <w:pPr>
        <w:pStyle w:val="BodyText"/>
      </w:pPr>
      <w:r w:rsidRPr="00936320">
        <w:t xml:space="preserve">Note that </w:t>
      </w:r>
      <w:r w:rsidR="00E03250" w:rsidRPr="00936320">
        <w:t>Trade Innovation</w:t>
      </w:r>
      <w:r w:rsidRPr="00936320">
        <w:t xml:space="preserve"> does not allow the transaction details to be deleted if any of the related licenses have not got a retention date set, or if their retention date is later than that of the transaction.</w:t>
      </w:r>
    </w:p>
    <w:p w14:paraId="0BC6CA26" w14:textId="12752F05" w:rsidR="00E50D2F" w:rsidRPr="00936320" w:rsidRDefault="00E50D2F" w:rsidP="00FB4E11">
      <w:pPr>
        <w:pStyle w:val="BodyText"/>
      </w:pPr>
      <w:r w:rsidRPr="00936320">
        <w:t xml:space="preserve">See the </w:t>
      </w:r>
      <w:r w:rsidRPr="00936320">
        <w:rPr>
          <w:rStyle w:val="Italic"/>
        </w:rPr>
        <w:t>Common Facilities User Guide</w:t>
      </w:r>
      <w:r w:rsidRPr="00936320">
        <w:t xml:space="preserve"> </w:t>
      </w:r>
      <w:r w:rsidR="002D662B" w:rsidRPr="00567CEA">
        <w:rPr>
          <w:rStyle w:val="Italic"/>
        </w:rPr>
        <w:t xml:space="preserve">– </w:t>
      </w:r>
      <w:r w:rsidR="00985469">
        <w:rPr>
          <w:rStyle w:val="Italic"/>
        </w:rPr>
        <w:t>Trade Innovation</w:t>
      </w:r>
      <w:r w:rsidR="002D662B" w:rsidRPr="00567CEA">
        <w:rPr>
          <w:rStyle w:val="Italic"/>
        </w:rPr>
        <w:t xml:space="preserve"> </w:t>
      </w:r>
      <w:r w:rsidRPr="00936320">
        <w:t>for more information on how transactions are booked off.</w:t>
      </w:r>
    </w:p>
    <w:p w14:paraId="6445D118" w14:textId="77777777" w:rsidR="00E50D2F" w:rsidRPr="00936320" w:rsidRDefault="00E50D2F" w:rsidP="000F5BE4">
      <w:pPr>
        <w:pStyle w:val="Heading1"/>
      </w:pPr>
      <w:bookmarkStart w:id="270" w:name="_Toc317758884"/>
      <w:bookmarkStart w:id="271" w:name="_Toc373155461"/>
      <w:bookmarkStart w:id="272" w:name="_Toc390475629"/>
      <w:bookmarkStart w:id="273" w:name="_Toc411436738"/>
      <w:bookmarkStart w:id="274" w:name="_Toc166665361"/>
      <w:r w:rsidRPr="00936320">
        <w:lastRenderedPageBreak/>
        <w:t>Appendix Worked Examples</w:t>
      </w:r>
      <w:bookmarkEnd w:id="270"/>
      <w:bookmarkEnd w:id="271"/>
      <w:bookmarkEnd w:id="272"/>
      <w:bookmarkEnd w:id="273"/>
      <w:bookmarkEnd w:id="274"/>
    </w:p>
    <w:p w14:paraId="657375E2" w14:textId="77777777" w:rsidR="00E50D2F" w:rsidRPr="00936320" w:rsidRDefault="00E50D2F" w:rsidP="00FB4E11">
      <w:pPr>
        <w:pStyle w:val="BodyText"/>
      </w:pPr>
      <w:r w:rsidRPr="00936320">
        <w:t xml:space="preserve">This appendix provides examples to illustrate how the balances of a license would increase or decrease in line with reservations, </w:t>
      </w:r>
      <w:proofErr w:type="gramStart"/>
      <w:r w:rsidRPr="00936320">
        <w:t>drawings</w:t>
      </w:r>
      <w:proofErr w:type="gramEnd"/>
      <w:r w:rsidRPr="00936320">
        <w:t xml:space="preserve"> and reinstatements. The examples show different scenarios, listing the changes in the balances as each step is completed.</w:t>
      </w:r>
    </w:p>
    <w:p w14:paraId="197E5C16" w14:textId="77777777" w:rsidR="00E50D2F" w:rsidRPr="00936320" w:rsidRDefault="00E50D2F" w:rsidP="00FB4E11">
      <w:pPr>
        <w:pStyle w:val="BodyText"/>
      </w:pPr>
      <w:r w:rsidRPr="00936320">
        <w:t>The figure shown on the license master summary for the available amount is the license amount plus tolerance, less any drawdowns. In other words, it does not include any reservation amounts. The reservations and drawdowns in progress are, however, taken into account for validation purposes. In these examples the available amount is shown less any reservations made.</w:t>
      </w:r>
    </w:p>
    <w:p w14:paraId="1F9F6A92" w14:textId="77777777" w:rsidR="00E50D2F" w:rsidRPr="00936320" w:rsidRDefault="00E50D2F" w:rsidP="002D662B">
      <w:pPr>
        <w:pStyle w:val="NoSpaceAfter"/>
      </w:pPr>
      <w:r w:rsidRPr="00936320">
        <w:t>In the first scenario, reservations are made against licenses:</w:t>
      </w:r>
    </w:p>
    <w:tbl>
      <w:tblPr>
        <w:tblStyle w:val="TableGrid"/>
        <w:tblW w:w="9090" w:type="dxa"/>
        <w:tblLayout w:type="fixed"/>
        <w:tblLook w:val="0020" w:firstRow="1" w:lastRow="0" w:firstColumn="0" w:lastColumn="0" w:noHBand="0" w:noVBand="0"/>
      </w:tblPr>
      <w:tblGrid>
        <w:gridCol w:w="540"/>
        <w:gridCol w:w="4510"/>
        <w:gridCol w:w="1307"/>
        <w:gridCol w:w="1307"/>
        <w:gridCol w:w="1426"/>
      </w:tblGrid>
      <w:tr w:rsidR="00E50D2F" w:rsidRPr="00936320" w14:paraId="55A37038"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5050" w:type="dxa"/>
            <w:gridSpan w:val="2"/>
          </w:tcPr>
          <w:p w14:paraId="41C82DD1" w14:textId="77777777" w:rsidR="00E50D2F" w:rsidRPr="00936320" w:rsidRDefault="00E50D2F" w:rsidP="00FB4E11">
            <w:pPr>
              <w:pStyle w:val="TableHead"/>
            </w:pPr>
            <w:r w:rsidRPr="00936320">
              <w:t>Step</w:t>
            </w:r>
          </w:p>
        </w:tc>
        <w:tc>
          <w:tcPr>
            <w:tcW w:w="1307" w:type="dxa"/>
          </w:tcPr>
          <w:p w14:paraId="37928F68" w14:textId="77777777" w:rsidR="00E50D2F" w:rsidRPr="00936320" w:rsidRDefault="00E50D2F" w:rsidP="00FB4E11">
            <w:pPr>
              <w:pStyle w:val="TableHead"/>
            </w:pPr>
            <w:r w:rsidRPr="00936320">
              <w:t>Available</w:t>
            </w:r>
          </w:p>
        </w:tc>
        <w:tc>
          <w:tcPr>
            <w:tcW w:w="1307" w:type="dxa"/>
          </w:tcPr>
          <w:p w14:paraId="0C945284" w14:textId="77777777" w:rsidR="00E50D2F" w:rsidRPr="00936320" w:rsidRDefault="00E50D2F" w:rsidP="00FB4E11">
            <w:pPr>
              <w:pStyle w:val="TableHead"/>
            </w:pPr>
            <w:r w:rsidRPr="00936320">
              <w:t>Reserved</w:t>
            </w:r>
          </w:p>
        </w:tc>
        <w:tc>
          <w:tcPr>
            <w:tcW w:w="1426" w:type="dxa"/>
          </w:tcPr>
          <w:p w14:paraId="312E3B3D" w14:textId="77777777" w:rsidR="00E50D2F" w:rsidRPr="00936320" w:rsidRDefault="00E50D2F" w:rsidP="00FB4E11">
            <w:pPr>
              <w:pStyle w:val="TableHead"/>
            </w:pPr>
            <w:r w:rsidRPr="00936320">
              <w:t>Utilised</w:t>
            </w:r>
          </w:p>
        </w:tc>
      </w:tr>
      <w:tr w:rsidR="00E50D2F" w:rsidRPr="00936320" w14:paraId="68E11AFB" w14:textId="77777777" w:rsidTr="00FB4E11">
        <w:trPr>
          <w:cnfStyle w:val="000000100000" w:firstRow="0" w:lastRow="0" w:firstColumn="0" w:lastColumn="0" w:oddVBand="0" w:evenVBand="0" w:oddHBand="1" w:evenHBand="0" w:firstRowFirstColumn="0" w:firstRowLastColumn="0" w:lastRowFirstColumn="0" w:lastRowLastColumn="0"/>
        </w:trPr>
        <w:tc>
          <w:tcPr>
            <w:tcW w:w="5050" w:type="dxa"/>
            <w:gridSpan w:val="2"/>
          </w:tcPr>
          <w:p w14:paraId="7A15051C" w14:textId="77777777" w:rsidR="00E50D2F" w:rsidRPr="00936320" w:rsidRDefault="00E50D2F" w:rsidP="004651B5">
            <w:pPr>
              <w:pStyle w:val="TableText"/>
            </w:pPr>
            <w:r w:rsidRPr="00936320">
              <w:t>A license is created for US$200,000 plus a 10% tolerance</w:t>
            </w:r>
            <w:r w:rsidR="00AA0F96" w:rsidRPr="00936320">
              <w:t>.</w:t>
            </w:r>
          </w:p>
        </w:tc>
        <w:tc>
          <w:tcPr>
            <w:tcW w:w="1307" w:type="dxa"/>
          </w:tcPr>
          <w:p w14:paraId="1371EB2D" w14:textId="77777777" w:rsidR="00E50D2F" w:rsidRPr="00936320" w:rsidRDefault="00E50D2F" w:rsidP="004651B5">
            <w:pPr>
              <w:pStyle w:val="TableText"/>
            </w:pPr>
            <w:r w:rsidRPr="00936320">
              <w:t>220,000</w:t>
            </w:r>
          </w:p>
        </w:tc>
        <w:tc>
          <w:tcPr>
            <w:tcW w:w="1307" w:type="dxa"/>
          </w:tcPr>
          <w:p w14:paraId="1457D552" w14:textId="77777777" w:rsidR="00E50D2F" w:rsidRPr="00936320" w:rsidRDefault="00E50D2F" w:rsidP="004651B5">
            <w:pPr>
              <w:pStyle w:val="TableText"/>
            </w:pPr>
            <w:r w:rsidRPr="00936320">
              <w:t>0</w:t>
            </w:r>
          </w:p>
        </w:tc>
        <w:tc>
          <w:tcPr>
            <w:tcW w:w="1426" w:type="dxa"/>
          </w:tcPr>
          <w:p w14:paraId="089F7891" w14:textId="77777777" w:rsidR="00E50D2F" w:rsidRPr="00936320" w:rsidRDefault="00E50D2F" w:rsidP="004651B5">
            <w:pPr>
              <w:pStyle w:val="TableText"/>
            </w:pPr>
            <w:r w:rsidRPr="00936320">
              <w:t>0</w:t>
            </w:r>
          </w:p>
        </w:tc>
      </w:tr>
      <w:tr w:rsidR="00E50D2F" w:rsidRPr="00936320" w14:paraId="2D97FCFF" w14:textId="77777777" w:rsidTr="00FB4E11">
        <w:trPr>
          <w:cnfStyle w:val="000000010000" w:firstRow="0" w:lastRow="0" w:firstColumn="0" w:lastColumn="0" w:oddVBand="0" w:evenVBand="0" w:oddHBand="0" w:evenHBand="1" w:firstRowFirstColumn="0" w:firstRowLastColumn="0" w:lastRowFirstColumn="0" w:lastRowLastColumn="0"/>
        </w:trPr>
        <w:tc>
          <w:tcPr>
            <w:tcW w:w="540" w:type="dxa"/>
          </w:tcPr>
          <w:p w14:paraId="1ED4F3E4" w14:textId="77777777" w:rsidR="00E50D2F" w:rsidRPr="00936320" w:rsidRDefault="00E50D2F" w:rsidP="004651B5">
            <w:pPr>
              <w:pStyle w:val="TableText"/>
            </w:pPr>
            <w:r w:rsidRPr="00936320">
              <w:t>1</w:t>
            </w:r>
          </w:p>
        </w:tc>
        <w:tc>
          <w:tcPr>
            <w:tcW w:w="4510" w:type="dxa"/>
          </w:tcPr>
          <w:p w14:paraId="6A9D2A19" w14:textId="77777777" w:rsidR="00E50D2F" w:rsidRPr="00936320" w:rsidRDefault="00E50D2F" w:rsidP="004651B5">
            <w:pPr>
              <w:pStyle w:val="TableText"/>
            </w:pPr>
            <w:r w:rsidRPr="00936320">
              <w:t xml:space="preserve">LC 50,000: </w:t>
            </w:r>
            <w:r w:rsidRPr="00936320">
              <w:br/>
              <w:t>reservation made.</w:t>
            </w:r>
          </w:p>
        </w:tc>
        <w:tc>
          <w:tcPr>
            <w:tcW w:w="1307" w:type="dxa"/>
          </w:tcPr>
          <w:p w14:paraId="2A64EABC" w14:textId="77777777" w:rsidR="00E50D2F" w:rsidRPr="00936320" w:rsidRDefault="00E50D2F" w:rsidP="004651B5">
            <w:pPr>
              <w:pStyle w:val="TableText"/>
            </w:pPr>
            <w:r w:rsidRPr="00936320">
              <w:t>170,000</w:t>
            </w:r>
          </w:p>
        </w:tc>
        <w:tc>
          <w:tcPr>
            <w:tcW w:w="1307" w:type="dxa"/>
          </w:tcPr>
          <w:p w14:paraId="7C8DE61D" w14:textId="77777777" w:rsidR="00E50D2F" w:rsidRPr="00936320" w:rsidRDefault="00E50D2F" w:rsidP="004651B5">
            <w:pPr>
              <w:pStyle w:val="TableText"/>
            </w:pPr>
            <w:r w:rsidRPr="00936320">
              <w:t>50,000</w:t>
            </w:r>
          </w:p>
        </w:tc>
        <w:tc>
          <w:tcPr>
            <w:tcW w:w="1426" w:type="dxa"/>
          </w:tcPr>
          <w:p w14:paraId="6AC1F319" w14:textId="77777777" w:rsidR="00E50D2F" w:rsidRPr="00936320" w:rsidRDefault="00E50D2F" w:rsidP="004651B5">
            <w:pPr>
              <w:pStyle w:val="TableText"/>
            </w:pPr>
            <w:r w:rsidRPr="00936320">
              <w:t>0</w:t>
            </w:r>
          </w:p>
        </w:tc>
      </w:tr>
      <w:tr w:rsidR="00E50D2F" w:rsidRPr="00936320" w14:paraId="76A6F096" w14:textId="77777777" w:rsidTr="00FB4E11">
        <w:trPr>
          <w:cnfStyle w:val="000000100000" w:firstRow="0" w:lastRow="0" w:firstColumn="0" w:lastColumn="0" w:oddVBand="0" w:evenVBand="0" w:oddHBand="1" w:evenHBand="0" w:firstRowFirstColumn="0" w:firstRowLastColumn="0" w:lastRowFirstColumn="0" w:lastRowLastColumn="0"/>
        </w:trPr>
        <w:tc>
          <w:tcPr>
            <w:tcW w:w="540" w:type="dxa"/>
          </w:tcPr>
          <w:p w14:paraId="3AD1803A" w14:textId="77777777" w:rsidR="00E50D2F" w:rsidRPr="00936320" w:rsidRDefault="00E50D2F" w:rsidP="004651B5">
            <w:pPr>
              <w:pStyle w:val="TableText"/>
            </w:pPr>
            <w:r w:rsidRPr="00936320">
              <w:t>2</w:t>
            </w:r>
          </w:p>
        </w:tc>
        <w:tc>
          <w:tcPr>
            <w:tcW w:w="4510" w:type="dxa"/>
          </w:tcPr>
          <w:p w14:paraId="123116C0" w14:textId="77777777" w:rsidR="00E50D2F" w:rsidRPr="00936320" w:rsidRDefault="00E50D2F" w:rsidP="004651B5">
            <w:pPr>
              <w:pStyle w:val="TableText"/>
            </w:pPr>
            <w:r w:rsidRPr="00936320">
              <w:t>Collection payment for 80,000:</w:t>
            </w:r>
            <w:r w:rsidRPr="00936320">
              <w:br/>
              <w:t>drawdown made but no reservation.</w:t>
            </w:r>
          </w:p>
        </w:tc>
        <w:tc>
          <w:tcPr>
            <w:tcW w:w="1307" w:type="dxa"/>
          </w:tcPr>
          <w:p w14:paraId="004289E3" w14:textId="77777777" w:rsidR="00E50D2F" w:rsidRPr="00936320" w:rsidRDefault="00E50D2F" w:rsidP="004651B5">
            <w:pPr>
              <w:pStyle w:val="TableText"/>
            </w:pPr>
            <w:r w:rsidRPr="00936320">
              <w:t>90,000</w:t>
            </w:r>
          </w:p>
        </w:tc>
        <w:tc>
          <w:tcPr>
            <w:tcW w:w="1307" w:type="dxa"/>
          </w:tcPr>
          <w:p w14:paraId="13B07D8B" w14:textId="77777777" w:rsidR="00E50D2F" w:rsidRPr="00936320" w:rsidRDefault="00E50D2F" w:rsidP="004651B5">
            <w:pPr>
              <w:pStyle w:val="TableText"/>
            </w:pPr>
            <w:r w:rsidRPr="00936320">
              <w:t>50,000</w:t>
            </w:r>
          </w:p>
        </w:tc>
        <w:tc>
          <w:tcPr>
            <w:tcW w:w="1426" w:type="dxa"/>
          </w:tcPr>
          <w:p w14:paraId="74CCFA30" w14:textId="77777777" w:rsidR="00E50D2F" w:rsidRPr="00936320" w:rsidRDefault="00E50D2F" w:rsidP="004651B5">
            <w:pPr>
              <w:pStyle w:val="TableText"/>
            </w:pPr>
            <w:r w:rsidRPr="00936320">
              <w:t>80,000</w:t>
            </w:r>
          </w:p>
        </w:tc>
      </w:tr>
      <w:tr w:rsidR="00E50D2F" w:rsidRPr="00936320" w14:paraId="27F6844A" w14:textId="77777777" w:rsidTr="00FB4E11">
        <w:trPr>
          <w:cnfStyle w:val="000000010000" w:firstRow="0" w:lastRow="0" w:firstColumn="0" w:lastColumn="0" w:oddVBand="0" w:evenVBand="0" w:oddHBand="0" w:evenHBand="1" w:firstRowFirstColumn="0" w:firstRowLastColumn="0" w:lastRowFirstColumn="0" w:lastRowLastColumn="0"/>
        </w:trPr>
        <w:tc>
          <w:tcPr>
            <w:tcW w:w="540" w:type="dxa"/>
          </w:tcPr>
          <w:p w14:paraId="7D68A525" w14:textId="77777777" w:rsidR="00E50D2F" w:rsidRPr="00936320" w:rsidRDefault="00E50D2F" w:rsidP="004651B5">
            <w:pPr>
              <w:pStyle w:val="TableText"/>
            </w:pPr>
            <w:r w:rsidRPr="00936320">
              <w:t>3</w:t>
            </w:r>
          </w:p>
        </w:tc>
        <w:tc>
          <w:tcPr>
            <w:tcW w:w="4510" w:type="dxa"/>
          </w:tcPr>
          <w:p w14:paraId="329489FB" w14:textId="77777777" w:rsidR="00E50D2F" w:rsidRPr="00936320" w:rsidRDefault="00E50D2F" w:rsidP="004651B5">
            <w:pPr>
              <w:pStyle w:val="TableText"/>
            </w:pPr>
            <w:r w:rsidRPr="00936320">
              <w:t xml:space="preserve">Collection payment for 100,000: </w:t>
            </w:r>
            <w:r w:rsidRPr="00936320">
              <w:br/>
              <w:t>drawdown is made but no reservation. A warning is displayed as this plus reserved value exceeds license amount.</w:t>
            </w:r>
          </w:p>
        </w:tc>
        <w:tc>
          <w:tcPr>
            <w:tcW w:w="1307" w:type="dxa"/>
          </w:tcPr>
          <w:p w14:paraId="077E40AC" w14:textId="77777777" w:rsidR="00E50D2F" w:rsidRPr="00936320" w:rsidRDefault="00E50D2F" w:rsidP="004651B5">
            <w:pPr>
              <w:pStyle w:val="TableText"/>
            </w:pPr>
            <w:r w:rsidRPr="00936320">
              <w:t>0</w:t>
            </w:r>
          </w:p>
        </w:tc>
        <w:tc>
          <w:tcPr>
            <w:tcW w:w="1307" w:type="dxa"/>
          </w:tcPr>
          <w:p w14:paraId="1183BBD6" w14:textId="77777777" w:rsidR="00E50D2F" w:rsidRPr="00936320" w:rsidRDefault="00E50D2F" w:rsidP="004651B5">
            <w:pPr>
              <w:pStyle w:val="TableText"/>
            </w:pPr>
            <w:r w:rsidRPr="00936320">
              <w:t>50,000</w:t>
            </w:r>
          </w:p>
        </w:tc>
        <w:tc>
          <w:tcPr>
            <w:tcW w:w="1426" w:type="dxa"/>
          </w:tcPr>
          <w:p w14:paraId="05C9C0CF" w14:textId="77777777" w:rsidR="00E50D2F" w:rsidRPr="00936320" w:rsidRDefault="00E50D2F" w:rsidP="004651B5">
            <w:pPr>
              <w:pStyle w:val="TableText"/>
            </w:pPr>
            <w:r w:rsidRPr="00936320">
              <w:t>180,000</w:t>
            </w:r>
          </w:p>
        </w:tc>
      </w:tr>
      <w:tr w:rsidR="00E50D2F" w:rsidRPr="00936320" w14:paraId="6862B914" w14:textId="77777777" w:rsidTr="00FB4E11">
        <w:trPr>
          <w:cnfStyle w:val="000000100000" w:firstRow="0" w:lastRow="0" w:firstColumn="0" w:lastColumn="0" w:oddVBand="0" w:evenVBand="0" w:oddHBand="1" w:evenHBand="0" w:firstRowFirstColumn="0" w:firstRowLastColumn="0" w:lastRowFirstColumn="0" w:lastRowLastColumn="0"/>
        </w:trPr>
        <w:tc>
          <w:tcPr>
            <w:tcW w:w="540" w:type="dxa"/>
          </w:tcPr>
          <w:p w14:paraId="373DE27A" w14:textId="77777777" w:rsidR="00E50D2F" w:rsidRPr="00936320" w:rsidRDefault="00E50D2F" w:rsidP="004651B5">
            <w:pPr>
              <w:pStyle w:val="TableText"/>
            </w:pPr>
            <w:r w:rsidRPr="00936320">
              <w:t>4</w:t>
            </w:r>
          </w:p>
        </w:tc>
        <w:tc>
          <w:tcPr>
            <w:tcW w:w="4510" w:type="dxa"/>
          </w:tcPr>
          <w:p w14:paraId="5C2622C2" w14:textId="77777777" w:rsidR="00E50D2F" w:rsidRPr="00936320" w:rsidRDefault="00E50D2F" w:rsidP="004651B5">
            <w:pPr>
              <w:pStyle w:val="TableText"/>
            </w:pPr>
            <w:r w:rsidRPr="00936320">
              <w:t xml:space="preserve">LC claim for 50,000: </w:t>
            </w:r>
            <w:r w:rsidRPr="00936320">
              <w:br/>
              <w:t>drawdown is made and the reservation cleared. A warning is displayed as this exceeds the available amount.</w:t>
            </w:r>
          </w:p>
        </w:tc>
        <w:tc>
          <w:tcPr>
            <w:tcW w:w="1307" w:type="dxa"/>
          </w:tcPr>
          <w:p w14:paraId="3E104E69" w14:textId="77777777" w:rsidR="00E50D2F" w:rsidRPr="00936320" w:rsidRDefault="00E50D2F" w:rsidP="004651B5">
            <w:pPr>
              <w:pStyle w:val="TableText"/>
            </w:pPr>
            <w:r w:rsidRPr="00936320">
              <w:t>0</w:t>
            </w:r>
          </w:p>
        </w:tc>
        <w:tc>
          <w:tcPr>
            <w:tcW w:w="1307" w:type="dxa"/>
          </w:tcPr>
          <w:p w14:paraId="129CD522" w14:textId="77777777" w:rsidR="00E50D2F" w:rsidRPr="00936320" w:rsidRDefault="00E50D2F" w:rsidP="004651B5">
            <w:pPr>
              <w:pStyle w:val="TableText"/>
            </w:pPr>
            <w:r w:rsidRPr="00936320">
              <w:t>0</w:t>
            </w:r>
          </w:p>
        </w:tc>
        <w:tc>
          <w:tcPr>
            <w:tcW w:w="1426" w:type="dxa"/>
          </w:tcPr>
          <w:p w14:paraId="25A93BAA" w14:textId="77777777" w:rsidR="00E50D2F" w:rsidRPr="00936320" w:rsidRDefault="00E50D2F" w:rsidP="004651B5">
            <w:pPr>
              <w:pStyle w:val="TableText"/>
            </w:pPr>
            <w:r w:rsidRPr="00936320">
              <w:t>230,000</w:t>
            </w:r>
          </w:p>
        </w:tc>
      </w:tr>
    </w:tbl>
    <w:p w14:paraId="2E6329AE" w14:textId="77777777" w:rsidR="00E50D2F" w:rsidRPr="00936320" w:rsidRDefault="00E50D2F" w:rsidP="002D662B">
      <w:pPr>
        <w:pStyle w:val="NoSpaceAfter"/>
      </w:pPr>
      <w:r w:rsidRPr="00936320">
        <w:t>In the second scenario, no reservations are made against licenses:</w:t>
      </w:r>
    </w:p>
    <w:tbl>
      <w:tblPr>
        <w:tblStyle w:val="TableGrid"/>
        <w:tblW w:w="9090" w:type="dxa"/>
        <w:tblLayout w:type="fixed"/>
        <w:tblLook w:val="0020" w:firstRow="1" w:lastRow="0" w:firstColumn="0" w:lastColumn="0" w:noHBand="0" w:noVBand="0"/>
      </w:tblPr>
      <w:tblGrid>
        <w:gridCol w:w="540"/>
        <w:gridCol w:w="4510"/>
        <w:gridCol w:w="1307"/>
        <w:gridCol w:w="1307"/>
        <w:gridCol w:w="1426"/>
      </w:tblGrid>
      <w:tr w:rsidR="00E50D2F" w:rsidRPr="00936320" w14:paraId="11C60593"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5050" w:type="dxa"/>
            <w:gridSpan w:val="2"/>
          </w:tcPr>
          <w:p w14:paraId="2D42C3E4" w14:textId="77777777" w:rsidR="00E50D2F" w:rsidRPr="00936320" w:rsidRDefault="00E50D2F" w:rsidP="00FB4E11">
            <w:pPr>
              <w:pStyle w:val="TableHead"/>
            </w:pPr>
            <w:r w:rsidRPr="00936320">
              <w:t>Step</w:t>
            </w:r>
          </w:p>
        </w:tc>
        <w:tc>
          <w:tcPr>
            <w:tcW w:w="1307" w:type="dxa"/>
          </w:tcPr>
          <w:p w14:paraId="7561C6D6" w14:textId="77777777" w:rsidR="00E50D2F" w:rsidRPr="00936320" w:rsidRDefault="00E50D2F" w:rsidP="00FB4E11">
            <w:pPr>
              <w:pStyle w:val="TableHead"/>
            </w:pPr>
            <w:r w:rsidRPr="00936320">
              <w:t>Available</w:t>
            </w:r>
          </w:p>
        </w:tc>
        <w:tc>
          <w:tcPr>
            <w:tcW w:w="1307" w:type="dxa"/>
          </w:tcPr>
          <w:p w14:paraId="4315E4BF" w14:textId="77777777" w:rsidR="00E50D2F" w:rsidRPr="00936320" w:rsidRDefault="00E50D2F" w:rsidP="00FB4E11">
            <w:pPr>
              <w:pStyle w:val="TableHead"/>
            </w:pPr>
            <w:r w:rsidRPr="00936320">
              <w:t>Reserved</w:t>
            </w:r>
          </w:p>
        </w:tc>
        <w:tc>
          <w:tcPr>
            <w:tcW w:w="1426" w:type="dxa"/>
          </w:tcPr>
          <w:p w14:paraId="39F54788" w14:textId="77777777" w:rsidR="00E50D2F" w:rsidRPr="00936320" w:rsidRDefault="00E50D2F" w:rsidP="00FB4E11">
            <w:pPr>
              <w:pStyle w:val="TableHead"/>
            </w:pPr>
            <w:r w:rsidRPr="00936320">
              <w:t>Utilised</w:t>
            </w:r>
          </w:p>
        </w:tc>
      </w:tr>
      <w:tr w:rsidR="00E50D2F" w:rsidRPr="00936320" w14:paraId="707FB2A2" w14:textId="77777777" w:rsidTr="00FB4E11">
        <w:trPr>
          <w:cnfStyle w:val="000000100000" w:firstRow="0" w:lastRow="0" w:firstColumn="0" w:lastColumn="0" w:oddVBand="0" w:evenVBand="0" w:oddHBand="1" w:evenHBand="0" w:firstRowFirstColumn="0" w:firstRowLastColumn="0" w:lastRowFirstColumn="0" w:lastRowLastColumn="0"/>
        </w:trPr>
        <w:tc>
          <w:tcPr>
            <w:tcW w:w="5050" w:type="dxa"/>
            <w:gridSpan w:val="2"/>
          </w:tcPr>
          <w:p w14:paraId="74D091B8" w14:textId="77777777" w:rsidR="00E50D2F" w:rsidRPr="00936320" w:rsidRDefault="00E50D2F" w:rsidP="004651B5">
            <w:pPr>
              <w:pStyle w:val="TableText"/>
            </w:pPr>
            <w:r w:rsidRPr="00936320">
              <w:t>A license is created for US$200,000 plus a 10% tolerance.</w:t>
            </w:r>
          </w:p>
        </w:tc>
        <w:tc>
          <w:tcPr>
            <w:tcW w:w="1307" w:type="dxa"/>
          </w:tcPr>
          <w:p w14:paraId="00733E54" w14:textId="77777777" w:rsidR="00E50D2F" w:rsidRPr="00936320" w:rsidRDefault="00E50D2F" w:rsidP="004651B5">
            <w:pPr>
              <w:pStyle w:val="TableText"/>
            </w:pPr>
            <w:r w:rsidRPr="00936320">
              <w:t>220,000</w:t>
            </w:r>
          </w:p>
        </w:tc>
        <w:tc>
          <w:tcPr>
            <w:tcW w:w="1307" w:type="dxa"/>
          </w:tcPr>
          <w:p w14:paraId="602AC101" w14:textId="77777777" w:rsidR="00E50D2F" w:rsidRPr="00936320" w:rsidRDefault="00E50D2F" w:rsidP="004651B5">
            <w:pPr>
              <w:pStyle w:val="TableText"/>
            </w:pPr>
            <w:r w:rsidRPr="00936320">
              <w:t>0</w:t>
            </w:r>
          </w:p>
        </w:tc>
        <w:tc>
          <w:tcPr>
            <w:tcW w:w="1426" w:type="dxa"/>
          </w:tcPr>
          <w:p w14:paraId="633B2ECF" w14:textId="77777777" w:rsidR="00E50D2F" w:rsidRPr="00936320" w:rsidRDefault="00E50D2F" w:rsidP="004651B5">
            <w:pPr>
              <w:pStyle w:val="TableText"/>
            </w:pPr>
            <w:r w:rsidRPr="00936320">
              <w:t>0</w:t>
            </w:r>
          </w:p>
        </w:tc>
      </w:tr>
      <w:tr w:rsidR="00E50D2F" w:rsidRPr="00936320" w14:paraId="2A845ACE" w14:textId="77777777" w:rsidTr="00FB4E11">
        <w:trPr>
          <w:cnfStyle w:val="000000010000" w:firstRow="0" w:lastRow="0" w:firstColumn="0" w:lastColumn="0" w:oddVBand="0" w:evenVBand="0" w:oddHBand="0" w:evenHBand="1" w:firstRowFirstColumn="0" w:firstRowLastColumn="0" w:lastRowFirstColumn="0" w:lastRowLastColumn="0"/>
        </w:trPr>
        <w:tc>
          <w:tcPr>
            <w:tcW w:w="540" w:type="dxa"/>
          </w:tcPr>
          <w:p w14:paraId="6DF4DF38" w14:textId="77777777" w:rsidR="00E50D2F" w:rsidRPr="00936320" w:rsidRDefault="00E50D2F" w:rsidP="004651B5">
            <w:pPr>
              <w:pStyle w:val="TableText"/>
            </w:pPr>
            <w:r w:rsidRPr="00936320">
              <w:t>1</w:t>
            </w:r>
          </w:p>
        </w:tc>
        <w:tc>
          <w:tcPr>
            <w:tcW w:w="4510" w:type="dxa"/>
          </w:tcPr>
          <w:p w14:paraId="6624569C" w14:textId="77777777" w:rsidR="00E50D2F" w:rsidRPr="00936320" w:rsidRDefault="00E50D2F" w:rsidP="004651B5">
            <w:pPr>
              <w:pStyle w:val="TableText"/>
            </w:pPr>
            <w:r w:rsidRPr="00936320">
              <w:t xml:space="preserve">LC for 50,000: </w:t>
            </w:r>
            <w:r w:rsidRPr="00936320">
              <w:br/>
              <w:t>no reservation and no drawdown.</w:t>
            </w:r>
          </w:p>
        </w:tc>
        <w:tc>
          <w:tcPr>
            <w:tcW w:w="1307" w:type="dxa"/>
          </w:tcPr>
          <w:p w14:paraId="1B1B94D6" w14:textId="77777777" w:rsidR="00E50D2F" w:rsidRPr="00936320" w:rsidRDefault="00E50D2F" w:rsidP="004651B5">
            <w:pPr>
              <w:pStyle w:val="TableText"/>
            </w:pPr>
            <w:r w:rsidRPr="00936320">
              <w:t>220,000</w:t>
            </w:r>
          </w:p>
        </w:tc>
        <w:tc>
          <w:tcPr>
            <w:tcW w:w="1307" w:type="dxa"/>
          </w:tcPr>
          <w:p w14:paraId="0C299A61" w14:textId="77777777" w:rsidR="00E50D2F" w:rsidRPr="00936320" w:rsidRDefault="00E50D2F" w:rsidP="004651B5">
            <w:pPr>
              <w:pStyle w:val="TableText"/>
            </w:pPr>
            <w:r w:rsidRPr="00936320">
              <w:t>0</w:t>
            </w:r>
          </w:p>
        </w:tc>
        <w:tc>
          <w:tcPr>
            <w:tcW w:w="1426" w:type="dxa"/>
          </w:tcPr>
          <w:p w14:paraId="33143D67" w14:textId="77777777" w:rsidR="00E50D2F" w:rsidRPr="00936320" w:rsidRDefault="00E50D2F" w:rsidP="004651B5">
            <w:pPr>
              <w:pStyle w:val="TableText"/>
            </w:pPr>
            <w:r w:rsidRPr="00936320">
              <w:t>0</w:t>
            </w:r>
          </w:p>
        </w:tc>
      </w:tr>
      <w:tr w:rsidR="00E50D2F" w:rsidRPr="00936320" w14:paraId="6782E058" w14:textId="77777777" w:rsidTr="00FB4E11">
        <w:trPr>
          <w:cnfStyle w:val="000000100000" w:firstRow="0" w:lastRow="0" w:firstColumn="0" w:lastColumn="0" w:oddVBand="0" w:evenVBand="0" w:oddHBand="1" w:evenHBand="0" w:firstRowFirstColumn="0" w:firstRowLastColumn="0" w:lastRowFirstColumn="0" w:lastRowLastColumn="0"/>
        </w:trPr>
        <w:tc>
          <w:tcPr>
            <w:tcW w:w="540" w:type="dxa"/>
          </w:tcPr>
          <w:p w14:paraId="329C6821" w14:textId="77777777" w:rsidR="00E50D2F" w:rsidRPr="00936320" w:rsidRDefault="00E50D2F" w:rsidP="004651B5">
            <w:pPr>
              <w:pStyle w:val="TableText"/>
            </w:pPr>
            <w:r w:rsidRPr="00936320">
              <w:t>2</w:t>
            </w:r>
          </w:p>
        </w:tc>
        <w:tc>
          <w:tcPr>
            <w:tcW w:w="4510" w:type="dxa"/>
          </w:tcPr>
          <w:p w14:paraId="355384EB" w14:textId="77777777" w:rsidR="00E50D2F" w:rsidRPr="00936320" w:rsidRDefault="00E50D2F" w:rsidP="004651B5">
            <w:pPr>
              <w:pStyle w:val="TableText"/>
            </w:pPr>
            <w:r w:rsidRPr="00936320">
              <w:t xml:space="preserve">Collection payment for 80,000: </w:t>
            </w:r>
            <w:r w:rsidRPr="00936320">
              <w:br/>
              <w:t>drawdown is made but no reservation.</w:t>
            </w:r>
          </w:p>
        </w:tc>
        <w:tc>
          <w:tcPr>
            <w:tcW w:w="1307" w:type="dxa"/>
          </w:tcPr>
          <w:p w14:paraId="601EF76C" w14:textId="77777777" w:rsidR="00E50D2F" w:rsidRPr="00936320" w:rsidRDefault="00E50D2F" w:rsidP="004651B5">
            <w:pPr>
              <w:pStyle w:val="TableText"/>
            </w:pPr>
            <w:r w:rsidRPr="00936320">
              <w:t>140,000</w:t>
            </w:r>
          </w:p>
        </w:tc>
        <w:tc>
          <w:tcPr>
            <w:tcW w:w="1307" w:type="dxa"/>
          </w:tcPr>
          <w:p w14:paraId="1F06D216" w14:textId="77777777" w:rsidR="00E50D2F" w:rsidRPr="00936320" w:rsidRDefault="00E50D2F" w:rsidP="004651B5">
            <w:pPr>
              <w:pStyle w:val="TableText"/>
            </w:pPr>
            <w:r w:rsidRPr="00936320">
              <w:t>0</w:t>
            </w:r>
          </w:p>
        </w:tc>
        <w:tc>
          <w:tcPr>
            <w:tcW w:w="1426" w:type="dxa"/>
          </w:tcPr>
          <w:p w14:paraId="63B66663" w14:textId="77777777" w:rsidR="00E50D2F" w:rsidRPr="00936320" w:rsidRDefault="00E50D2F" w:rsidP="004651B5">
            <w:pPr>
              <w:pStyle w:val="TableText"/>
            </w:pPr>
            <w:r w:rsidRPr="00936320">
              <w:t>80,000</w:t>
            </w:r>
          </w:p>
        </w:tc>
      </w:tr>
      <w:tr w:rsidR="00E50D2F" w:rsidRPr="00936320" w14:paraId="6A32F891" w14:textId="77777777" w:rsidTr="00FB4E11">
        <w:trPr>
          <w:cnfStyle w:val="000000010000" w:firstRow="0" w:lastRow="0" w:firstColumn="0" w:lastColumn="0" w:oddVBand="0" w:evenVBand="0" w:oddHBand="0" w:evenHBand="1" w:firstRowFirstColumn="0" w:firstRowLastColumn="0" w:lastRowFirstColumn="0" w:lastRowLastColumn="0"/>
        </w:trPr>
        <w:tc>
          <w:tcPr>
            <w:tcW w:w="540" w:type="dxa"/>
          </w:tcPr>
          <w:p w14:paraId="22E57DE4" w14:textId="77777777" w:rsidR="00E50D2F" w:rsidRPr="00936320" w:rsidRDefault="00E50D2F" w:rsidP="004651B5">
            <w:pPr>
              <w:pStyle w:val="TableText"/>
            </w:pPr>
            <w:r w:rsidRPr="00936320">
              <w:t>3</w:t>
            </w:r>
          </w:p>
        </w:tc>
        <w:tc>
          <w:tcPr>
            <w:tcW w:w="4510" w:type="dxa"/>
          </w:tcPr>
          <w:p w14:paraId="591B5936" w14:textId="77777777" w:rsidR="00E50D2F" w:rsidRPr="00936320" w:rsidRDefault="00E50D2F" w:rsidP="004651B5">
            <w:pPr>
              <w:pStyle w:val="TableText"/>
            </w:pPr>
            <w:r w:rsidRPr="00936320">
              <w:t xml:space="preserve">Collection payment for 100,000: </w:t>
            </w:r>
            <w:r w:rsidRPr="00936320">
              <w:br/>
              <w:t xml:space="preserve">drawdown is made but no reservation. </w:t>
            </w:r>
          </w:p>
        </w:tc>
        <w:tc>
          <w:tcPr>
            <w:tcW w:w="1307" w:type="dxa"/>
          </w:tcPr>
          <w:p w14:paraId="093A4E1A" w14:textId="77777777" w:rsidR="00E50D2F" w:rsidRPr="00936320" w:rsidRDefault="00E50D2F" w:rsidP="004651B5">
            <w:pPr>
              <w:pStyle w:val="TableText"/>
            </w:pPr>
            <w:r w:rsidRPr="00936320">
              <w:t>40,000</w:t>
            </w:r>
          </w:p>
        </w:tc>
        <w:tc>
          <w:tcPr>
            <w:tcW w:w="1307" w:type="dxa"/>
          </w:tcPr>
          <w:p w14:paraId="1CD2FAFD" w14:textId="77777777" w:rsidR="00E50D2F" w:rsidRPr="00936320" w:rsidRDefault="00E50D2F" w:rsidP="004651B5">
            <w:pPr>
              <w:pStyle w:val="TableText"/>
            </w:pPr>
            <w:r w:rsidRPr="00936320">
              <w:t>0</w:t>
            </w:r>
          </w:p>
        </w:tc>
        <w:tc>
          <w:tcPr>
            <w:tcW w:w="1426" w:type="dxa"/>
          </w:tcPr>
          <w:p w14:paraId="64F37095" w14:textId="77777777" w:rsidR="00E50D2F" w:rsidRPr="00936320" w:rsidRDefault="00E50D2F" w:rsidP="004651B5">
            <w:pPr>
              <w:pStyle w:val="TableText"/>
            </w:pPr>
            <w:r w:rsidRPr="00936320">
              <w:t>180,000</w:t>
            </w:r>
          </w:p>
        </w:tc>
      </w:tr>
      <w:tr w:rsidR="00E50D2F" w:rsidRPr="00936320" w14:paraId="7EC2AC5E" w14:textId="77777777" w:rsidTr="00FB4E11">
        <w:trPr>
          <w:cnfStyle w:val="000000100000" w:firstRow="0" w:lastRow="0" w:firstColumn="0" w:lastColumn="0" w:oddVBand="0" w:evenVBand="0" w:oddHBand="1" w:evenHBand="0" w:firstRowFirstColumn="0" w:firstRowLastColumn="0" w:lastRowFirstColumn="0" w:lastRowLastColumn="0"/>
        </w:trPr>
        <w:tc>
          <w:tcPr>
            <w:tcW w:w="540" w:type="dxa"/>
          </w:tcPr>
          <w:p w14:paraId="4076B6DB" w14:textId="77777777" w:rsidR="00E50D2F" w:rsidRPr="00936320" w:rsidRDefault="00E50D2F" w:rsidP="004651B5">
            <w:pPr>
              <w:pStyle w:val="TableText"/>
            </w:pPr>
            <w:r w:rsidRPr="00936320">
              <w:t>4</w:t>
            </w:r>
          </w:p>
        </w:tc>
        <w:tc>
          <w:tcPr>
            <w:tcW w:w="4510" w:type="dxa"/>
          </w:tcPr>
          <w:p w14:paraId="2551C3C8" w14:textId="77777777" w:rsidR="00E50D2F" w:rsidRPr="00936320" w:rsidRDefault="00E50D2F" w:rsidP="004651B5">
            <w:pPr>
              <w:pStyle w:val="TableText"/>
            </w:pPr>
            <w:r w:rsidRPr="00936320">
              <w:t xml:space="preserve">LC claim for 50,000: </w:t>
            </w:r>
            <w:r w:rsidRPr="00936320">
              <w:br/>
              <w:t>drawdown is made but a warning is displayed as this exceeds the available amount</w:t>
            </w:r>
          </w:p>
        </w:tc>
        <w:tc>
          <w:tcPr>
            <w:tcW w:w="1307" w:type="dxa"/>
          </w:tcPr>
          <w:p w14:paraId="4CD0896D" w14:textId="77777777" w:rsidR="00E50D2F" w:rsidRPr="00936320" w:rsidRDefault="00E50D2F" w:rsidP="004651B5">
            <w:pPr>
              <w:pStyle w:val="TableText"/>
            </w:pPr>
            <w:r w:rsidRPr="00936320">
              <w:t>0</w:t>
            </w:r>
          </w:p>
        </w:tc>
        <w:tc>
          <w:tcPr>
            <w:tcW w:w="1307" w:type="dxa"/>
          </w:tcPr>
          <w:p w14:paraId="7734F628" w14:textId="77777777" w:rsidR="00E50D2F" w:rsidRPr="00936320" w:rsidRDefault="00E50D2F" w:rsidP="004651B5">
            <w:pPr>
              <w:pStyle w:val="TableText"/>
            </w:pPr>
            <w:r w:rsidRPr="00936320">
              <w:t>0</w:t>
            </w:r>
          </w:p>
        </w:tc>
        <w:tc>
          <w:tcPr>
            <w:tcW w:w="1426" w:type="dxa"/>
          </w:tcPr>
          <w:p w14:paraId="45D45B63" w14:textId="77777777" w:rsidR="00E50D2F" w:rsidRPr="00936320" w:rsidRDefault="00E50D2F" w:rsidP="004651B5">
            <w:pPr>
              <w:pStyle w:val="TableText"/>
            </w:pPr>
            <w:r w:rsidRPr="00936320">
              <w:t>230,000</w:t>
            </w:r>
          </w:p>
        </w:tc>
      </w:tr>
    </w:tbl>
    <w:p w14:paraId="0D5B9653" w14:textId="77777777" w:rsidR="00936320" w:rsidRPr="00936320" w:rsidRDefault="00936320" w:rsidP="00FB4E11">
      <w:pPr>
        <w:pStyle w:val="BodyText"/>
      </w:pPr>
      <w:r w:rsidRPr="00936320">
        <w:br w:type="page"/>
      </w:r>
    </w:p>
    <w:p w14:paraId="0DA2B184" w14:textId="77777777" w:rsidR="00E50D2F" w:rsidRPr="00936320" w:rsidRDefault="00E50D2F" w:rsidP="002D662B">
      <w:pPr>
        <w:pStyle w:val="NoSpaceAfter"/>
      </w:pPr>
      <w:r w:rsidRPr="00936320">
        <w:lastRenderedPageBreak/>
        <w:t xml:space="preserve">In the last scenario, reservations are made against license but the reserved amount is not fully </w:t>
      </w:r>
      <w:proofErr w:type="spellStart"/>
      <w:r w:rsidRPr="00936320">
        <w:t>utilised</w:t>
      </w:r>
      <w:proofErr w:type="spellEnd"/>
      <w:r w:rsidRPr="00936320">
        <w:t>:</w:t>
      </w:r>
    </w:p>
    <w:tbl>
      <w:tblPr>
        <w:tblStyle w:val="TableGrid"/>
        <w:tblW w:w="9090" w:type="dxa"/>
        <w:tblLayout w:type="fixed"/>
        <w:tblLook w:val="0020" w:firstRow="1" w:lastRow="0" w:firstColumn="0" w:lastColumn="0" w:noHBand="0" w:noVBand="0"/>
      </w:tblPr>
      <w:tblGrid>
        <w:gridCol w:w="540"/>
        <w:gridCol w:w="4510"/>
        <w:gridCol w:w="1307"/>
        <w:gridCol w:w="1307"/>
        <w:gridCol w:w="1426"/>
      </w:tblGrid>
      <w:tr w:rsidR="00E50D2F" w:rsidRPr="00936320" w14:paraId="1CBB3B39" w14:textId="77777777" w:rsidTr="00FB4E11">
        <w:trPr>
          <w:cnfStyle w:val="100000000000" w:firstRow="1" w:lastRow="0" w:firstColumn="0" w:lastColumn="0" w:oddVBand="0" w:evenVBand="0" w:oddHBand="0" w:evenHBand="0" w:firstRowFirstColumn="0" w:firstRowLastColumn="0" w:lastRowFirstColumn="0" w:lastRowLastColumn="0"/>
          <w:trHeight w:val="432"/>
        </w:trPr>
        <w:tc>
          <w:tcPr>
            <w:tcW w:w="5050" w:type="dxa"/>
            <w:gridSpan w:val="2"/>
          </w:tcPr>
          <w:p w14:paraId="3580D3BE" w14:textId="77777777" w:rsidR="00E50D2F" w:rsidRPr="00936320" w:rsidRDefault="00E50D2F" w:rsidP="00FB4E11">
            <w:pPr>
              <w:pStyle w:val="TableHead"/>
            </w:pPr>
            <w:r w:rsidRPr="00936320">
              <w:t>Step</w:t>
            </w:r>
          </w:p>
        </w:tc>
        <w:tc>
          <w:tcPr>
            <w:tcW w:w="1307" w:type="dxa"/>
          </w:tcPr>
          <w:p w14:paraId="2A48021B" w14:textId="77777777" w:rsidR="00E50D2F" w:rsidRPr="00936320" w:rsidRDefault="00E50D2F" w:rsidP="00FB4E11">
            <w:pPr>
              <w:pStyle w:val="TableHead"/>
            </w:pPr>
            <w:r w:rsidRPr="00936320">
              <w:t>Available</w:t>
            </w:r>
          </w:p>
        </w:tc>
        <w:tc>
          <w:tcPr>
            <w:tcW w:w="1307" w:type="dxa"/>
          </w:tcPr>
          <w:p w14:paraId="278596BC" w14:textId="77777777" w:rsidR="00E50D2F" w:rsidRPr="00936320" w:rsidRDefault="00E50D2F" w:rsidP="00FB4E11">
            <w:pPr>
              <w:pStyle w:val="TableHead"/>
            </w:pPr>
            <w:r w:rsidRPr="00936320">
              <w:t>Reserved</w:t>
            </w:r>
          </w:p>
        </w:tc>
        <w:tc>
          <w:tcPr>
            <w:tcW w:w="1426" w:type="dxa"/>
          </w:tcPr>
          <w:p w14:paraId="4AF4645E" w14:textId="77777777" w:rsidR="00E50D2F" w:rsidRPr="00936320" w:rsidRDefault="00E50D2F" w:rsidP="00FB4E11">
            <w:pPr>
              <w:pStyle w:val="TableHead"/>
            </w:pPr>
            <w:r w:rsidRPr="00936320">
              <w:t>Utilised</w:t>
            </w:r>
          </w:p>
        </w:tc>
      </w:tr>
      <w:tr w:rsidR="00E50D2F" w:rsidRPr="00936320" w14:paraId="58E11E2C" w14:textId="77777777" w:rsidTr="00FB4E11">
        <w:trPr>
          <w:cnfStyle w:val="000000100000" w:firstRow="0" w:lastRow="0" w:firstColumn="0" w:lastColumn="0" w:oddVBand="0" w:evenVBand="0" w:oddHBand="1" w:evenHBand="0" w:firstRowFirstColumn="0" w:firstRowLastColumn="0" w:lastRowFirstColumn="0" w:lastRowLastColumn="0"/>
        </w:trPr>
        <w:tc>
          <w:tcPr>
            <w:tcW w:w="5050" w:type="dxa"/>
            <w:gridSpan w:val="2"/>
          </w:tcPr>
          <w:p w14:paraId="55DBC1B6" w14:textId="77777777" w:rsidR="00E50D2F" w:rsidRPr="00936320" w:rsidRDefault="00E50D2F" w:rsidP="004651B5">
            <w:pPr>
              <w:pStyle w:val="TableText"/>
            </w:pPr>
            <w:r w:rsidRPr="00936320">
              <w:t>A license is created for US$200,000 plus a 10% tolerance.</w:t>
            </w:r>
          </w:p>
        </w:tc>
        <w:tc>
          <w:tcPr>
            <w:tcW w:w="1307" w:type="dxa"/>
          </w:tcPr>
          <w:p w14:paraId="6AA3524F" w14:textId="77777777" w:rsidR="00E50D2F" w:rsidRPr="00936320" w:rsidRDefault="00E50D2F" w:rsidP="004651B5">
            <w:pPr>
              <w:pStyle w:val="TableText"/>
            </w:pPr>
            <w:r w:rsidRPr="00936320">
              <w:t>220,000</w:t>
            </w:r>
          </w:p>
        </w:tc>
        <w:tc>
          <w:tcPr>
            <w:tcW w:w="1307" w:type="dxa"/>
          </w:tcPr>
          <w:p w14:paraId="16998FD2" w14:textId="77777777" w:rsidR="00E50D2F" w:rsidRPr="00936320" w:rsidRDefault="00E50D2F" w:rsidP="004651B5">
            <w:pPr>
              <w:pStyle w:val="TableText"/>
            </w:pPr>
            <w:r w:rsidRPr="00936320">
              <w:t>0</w:t>
            </w:r>
          </w:p>
        </w:tc>
        <w:tc>
          <w:tcPr>
            <w:tcW w:w="1426" w:type="dxa"/>
          </w:tcPr>
          <w:p w14:paraId="1C2F2D14" w14:textId="77777777" w:rsidR="00E50D2F" w:rsidRPr="00936320" w:rsidRDefault="00E50D2F" w:rsidP="00EB172C">
            <w:pPr>
              <w:pStyle w:val="TableText"/>
            </w:pPr>
          </w:p>
        </w:tc>
      </w:tr>
      <w:tr w:rsidR="00E50D2F" w:rsidRPr="00936320" w14:paraId="7AFE33CB" w14:textId="77777777" w:rsidTr="00FB4E11">
        <w:trPr>
          <w:cnfStyle w:val="000000010000" w:firstRow="0" w:lastRow="0" w:firstColumn="0" w:lastColumn="0" w:oddVBand="0" w:evenVBand="0" w:oddHBand="0" w:evenHBand="1" w:firstRowFirstColumn="0" w:firstRowLastColumn="0" w:lastRowFirstColumn="0" w:lastRowLastColumn="0"/>
        </w:trPr>
        <w:tc>
          <w:tcPr>
            <w:tcW w:w="540" w:type="dxa"/>
          </w:tcPr>
          <w:p w14:paraId="4F4F69E1" w14:textId="77777777" w:rsidR="00E50D2F" w:rsidRPr="00936320" w:rsidRDefault="00E50D2F" w:rsidP="004651B5">
            <w:pPr>
              <w:pStyle w:val="TableText"/>
            </w:pPr>
            <w:r w:rsidRPr="00936320">
              <w:t>1</w:t>
            </w:r>
          </w:p>
        </w:tc>
        <w:tc>
          <w:tcPr>
            <w:tcW w:w="4510" w:type="dxa"/>
          </w:tcPr>
          <w:p w14:paraId="349DCC28" w14:textId="77777777" w:rsidR="00E50D2F" w:rsidRPr="00936320" w:rsidRDefault="00E50D2F" w:rsidP="004651B5">
            <w:pPr>
              <w:pStyle w:val="TableText"/>
            </w:pPr>
            <w:r w:rsidRPr="00936320">
              <w:t xml:space="preserve">LC Issued for 50,000: </w:t>
            </w:r>
            <w:r w:rsidRPr="00936320">
              <w:br/>
              <w:t>Reservation made</w:t>
            </w:r>
          </w:p>
        </w:tc>
        <w:tc>
          <w:tcPr>
            <w:tcW w:w="1307" w:type="dxa"/>
          </w:tcPr>
          <w:p w14:paraId="24ADF832" w14:textId="77777777" w:rsidR="00E50D2F" w:rsidRPr="00936320" w:rsidRDefault="00E50D2F" w:rsidP="004651B5">
            <w:pPr>
              <w:pStyle w:val="TableText"/>
            </w:pPr>
            <w:r w:rsidRPr="00936320">
              <w:t>170,000</w:t>
            </w:r>
          </w:p>
        </w:tc>
        <w:tc>
          <w:tcPr>
            <w:tcW w:w="1307" w:type="dxa"/>
          </w:tcPr>
          <w:p w14:paraId="41174B97" w14:textId="77777777" w:rsidR="00E50D2F" w:rsidRPr="00936320" w:rsidRDefault="00E50D2F" w:rsidP="004651B5">
            <w:pPr>
              <w:pStyle w:val="TableText"/>
            </w:pPr>
            <w:r w:rsidRPr="00936320">
              <w:t>50,000</w:t>
            </w:r>
          </w:p>
        </w:tc>
        <w:tc>
          <w:tcPr>
            <w:tcW w:w="1426" w:type="dxa"/>
          </w:tcPr>
          <w:p w14:paraId="35BBA6E3" w14:textId="77777777" w:rsidR="00E50D2F" w:rsidRPr="00936320" w:rsidRDefault="00E50D2F" w:rsidP="004651B5">
            <w:pPr>
              <w:pStyle w:val="TableText"/>
            </w:pPr>
            <w:r w:rsidRPr="00936320">
              <w:t>0</w:t>
            </w:r>
          </w:p>
        </w:tc>
      </w:tr>
      <w:tr w:rsidR="00E50D2F" w:rsidRPr="00936320" w14:paraId="00877A0D" w14:textId="77777777" w:rsidTr="00FB4E11">
        <w:trPr>
          <w:cnfStyle w:val="000000100000" w:firstRow="0" w:lastRow="0" w:firstColumn="0" w:lastColumn="0" w:oddVBand="0" w:evenVBand="0" w:oddHBand="1" w:evenHBand="0" w:firstRowFirstColumn="0" w:firstRowLastColumn="0" w:lastRowFirstColumn="0" w:lastRowLastColumn="0"/>
        </w:trPr>
        <w:tc>
          <w:tcPr>
            <w:tcW w:w="540" w:type="dxa"/>
          </w:tcPr>
          <w:p w14:paraId="0515F114" w14:textId="77777777" w:rsidR="00E50D2F" w:rsidRPr="00936320" w:rsidRDefault="00E50D2F" w:rsidP="004651B5">
            <w:pPr>
              <w:pStyle w:val="TableText"/>
            </w:pPr>
            <w:r w:rsidRPr="00936320">
              <w:t>2</w:t>
            </w:r>
          </w:p>
        </w:tc>
        <w:tc>
          <w:tcPr>
            <w:tcW w:w="4510" w:type="dxa"/>
          </w:tcPr>
          <w:p w14:paraId="35CE4955" w14:textId="77777777" w:rsidR="00E50D2F" w:rsidRPr="00936320" w:rsidRDefault="00E50D2F" w:rsidP="004651B5">
            <w:pPr>
              <w:pStyle w:val="TableText"/>
            </w:pPr>
            <w:r w:rsidRPr="00936320">
              <w:t xml:space="preserve">Collection payment for 80,000: </w:t>
            </w:r>
            <w:r w:rsidRPr="00936320">
              <w:br/>
              <w:t>drawdown made but no reservation.</w:t>
            </w:r>
          </w:p>
        </w:tc>
        <w:tc>
          <w:tcPr>
            <w:tcW w:w="1307" w:type="dxa"/>
          </w:tcPr>
          <w:p w14:paraId="45E01D24" w14:textId="77777777" w:rsidR="00E50D2F" w:rsidRPr="00936320" w:rsidRDefault="00E50D2F" w:rsidP="004651B5">
            <w:pPr>
              <w:pStyle w:val="TableText"/>
            </w:pPr>
            <w:r w:rsidRPr="00936320">
              <w:t>90,000</w:t>
            </w:r>
          </w:p>
        </w:tc>
        <w:tc>
          <w:tcPr>
            <w:tcW w:w="1307" w:type="dxa"/>
          </w:tcPr>
          <w:p w14:paraId="41CAD10F" w14:textId="77777777" w:rsidR="00E50D2F" w:rsidRPr="00936320" w:rsidRDefault="00E50D2F" w:rsidP="004651B5">
            <w:pPr>
              <w:pStyle w:val="TableText"/>
            </w:pPr>
            <w:r w:rsidRPr="00936320">
              <w:t>50,000</w:t>
            </w:r>
          </w:p>
        </w:tc>
        <w:tc>
          <w:tcPr>
            <w:tcW w:w="1426" w:type="dxa"/>
          </w:tcPr>
          <w:p w14:paraId="1CC30445" w14:textId="77777777" w:rsidR="00E50D2F" w:rsidRPr="00936320" w:rsidRDefault="00E50D2F" w:rsidP="004651B5">
            <w:pPr>
              <w:pStyle w:val="TableText"/>
            </w:pPr>
            <w:r w:rsidRPr="00936320">
              <w:t>80,000</w:t>
            </w:r>
          </w:p>
        </w:tc>
      </w:tr>
      <w:tr w:rsidR="00E50D2F" w:rsidRPr="00936320" w14:paraId="71D53993" w14:textId="77777777" w:rsidTr="00FB4E11">
        <w:trPr>
          <w:cnfStyle w:val="000000010000" w:firstRow="0" w:lastRow="0" w:firstColumn="0" w:lastColumn="0" w:oddVBand="0" w:evenVBand="0" w:oddHBand="0" w:evenHBand="1" w:firstRowFirstColumn="0" w:firstRowLastColumn="0" w:lastRowFirstColumn="0" w:lastRowLastColumn="0"/>
        </w:trPr>
        <w:tc>
          <w:tcPr>
            <w:tcW w:w="540" w:type="dxa"/>
          </w:tcPr>
          <w:p w14:paraId="6861F3ED" w14:textId="77777777" w:rsidR="00E50D2F" w:rsidRPr="00936320" w:rsidRDefault="00E50D2F" w:rsidP="004651B5">
            <w:pPr>
              <w:pStyle w:val="TableText"/>
            </w:pPr>
            <w:r w:rsidRPr="00936320">
              <w:t>3</w:t>
            </w:r>
          </w:p>
        </w:tc>
        <w:tc>
          <w:tcPr>
            <w:tcW w:w="4510" w:type="dxa"/>
          </w:tcPr>
          <w:p w14:paraId="10D7B593" w14:textId="77777777" w:rsidR="00E50D2F" w:rsidRPr="00936320" w:rsidRDefault="00E50D2F" w:rsidP="004651B5">
            <w:pPr>
              <w:pStyle w:val="TableText"/>
            </w:pPr>
            <w:r w:rsidRPr="00936320">
              <w:t xml:space="preserve">LC claim for 20,000: </w:t>
            </w:r>
            <w:r w:rsidRPr="00936320">
              <w:br/>
              <w:t>drawdown is made and the reservation is reduced</w:t>
            </w:r>
          </w:p>
        </w:tc>
        <w:tc>
          <w:tcPr>
            <w:tcW w:w="1307" w:type="dxa"/>
          </w:tcPr>
          <w:p w14:paraId="3E5D8B9D" w14:textId="77777777" w:rsidR="00E50D2F" w:rsidRPr="00936320" w:rsidRDefault="00E50D2F" w:rsidP="004651B5">
            <w:pPr>
              <w:pStyle w:val="TableText"/>
            </w:pPr>
            <w:r w:rsidRPr="00936320">
              <w:t>90,000</w:t>
            </w:r>
          </w:p>
        </w:tc>
        <w:tc>
          <w:tcPr>
            <w:tcW w:w="1307" w:type="dxa"/>
          </w:tcPr>
          <w:p w14:paraId="25C1DD41" w14:textId="77777777" w:rsidR="00E50D2F" w:rsidRPr="00936320" w:rsidRDefault="00E50D2F" w:rsidP="004651B5">
            <w:pPr>
              <w:pStyle w:val="TableText"/>
            </w:pPr>
            <w:r w:rsidRPr="00936320">
              <w:t>30,000</w:t>
            </w:r>
          </w:p>
        </w:tc>
        <w:tc>
          <w:tcPr>
            <w:tcW w:w="1426" w:type="dxa"/>
          </w:tcPr>
          <w:p w14:paraId="1951CA93" w14:textId="77777777" w:rsidR="00E50D2F" w:rsidRPr="00936320" w:rsidRDefault="00E50D2F" w:rsidP="004651B5">
            <w:pPr>
              <w:pStyle w:val="TableText"/>
            </w:pPr>
            <w:r w:rsidRPr="00936320">
              <w:t>100,000</w:t>
            </w:r>
          </w:p>
        </w:tc>
      </w:tr>
      <w:tr w:rsidR="00E50D2F" w:rsidRPr="00936320" w14:paraId="68AAFCBE" w14:textId="77777777" w:rsidTr="00FB4E11">
        <w:trPr>
          <w:cnfStyle w:val="000000100000" w:firstRow="0" w:lastRow="0" w:firstColumn="0" w:lastColumn="0" w:oddVBand="0" w:evenVBand="0" w:oddHBand="1" w:evenHBand="0" w:firstRowFirstColumn="0" w:firstRowLastColumn="0" w:lastRowFirstColumn="0" w:lastRowLastColumn="0"/>
        </w:trPr>
        <w:tc>
          <w:tcPr>
            <w:tcW w:w="540" w:type="dxa"/>
          </w:tcPr>
          <w:p w14:paraId="1C0EA3E1" w14:textId="77777777" w:rsidR="00E50D2F" w:rsidRPr="00936320" w:rsidRDefault="00E50D2F" w:rsidP="004651B5">
            <w:pPr>
              <w:pStyle w:val="TableText"/>
            </w:pPr>
            <w:r w:rsidRPr="00936320">
              <w:t>4</w:t>
            </w:r>
          </w:p>
        </w:tc>
        <w:tc>
          <w:tcPr>
            <w:tcW w:w="4510" w:type="dxa"/>
          </w:tcPr>
          <w:p w14:paraId="78B1C2BB" w14:textId="77777777" w:rsidR="00E50D2F" w:rsidRPr="00936320" w:rsidRDefault="00E50D2F" w:rsidP="004651B5">
            <w:pPr>
              <w:pStyle w:val="TableText"/>
            </w:pPr>
            <w:r w:rsidRPr="00936320">
              <w:t>LC final claim for 20,000:</w:t>
            </w:r>
            <w:r w:rsidRPr="00936320">
              <w:br/>
              <w:t>drawdown is made and the reserve of 10,000 reinstated.</w:t>
            </w:r>
          </w:p>
        </w:tc>
        <w:tc>
          <w:tcPr>
            <w:tcW w:w="1307" w:type="dxa"/>
          </w:tcPr>
          <w:p w14:paraId="56887186" w14:textId="77777777" w:rsidR="00E50D2F" w:rsidRPr="00936320" w:rsidRDefault="00E50D2F" w:rsidP="004651B5">
            <w:pPr>
              <w:pStyle w:val="TableText"/>
            </w:pPr>
            <w:r w:rsidRPr="00936320">
              <w:t>100,000</w:t>
            </w:r>
          </w:p>
        </w:tc>
        <w:tc>
          <w:tcPr>
            <w:tcW w:w="1307" w:type="dxa"/>
          </w:tcPr>
          <w:p w14:paraId="4B78099B" w14:textId="77777777" w:rsidR="00E50D2F" w:rsidRPr="00936320" w:rsidRDefault="00E50D2F" w:rsidP="004651B5">
            <w:pPr>
              <w:pStyle w:val="TableText"/>
            </w:pPr>
            <w:r w:rsidRPr="00936320">
              <w:t>0</w:t>
            </w:r>
          </w:p>
        </w:tc>
        <w:tc>
          <w:tcPr>
            <w:tcW w:w="1426" w:type="dxa"/>
          </w:tcPr>
          <w:p w14:paraId="571556AD" w14:textId="77777777" w:rsidR="00E50D2F" w:rsidRPr="00936320" w:rsidRDefault="00E50D2F" w:rsidP="004651B5">
            <w:pPr>
              <w:pStyle w:val="TableText"/>
            </w:pPr>
            <w:r w:rsidRPr="00936320">
              <w:t>120,000</w:t>
            </w:r>
          </w:p>
        </w:tc>
      </w:tr>
      <w:bookmarkEnd w:id="15"/>
      <w:bookmarkEnd w:id="16"/>
      <w:bookmarkEnd w:id="17"/>
      <w:bookmarkEnd w:id="18"/>
      <w:bookmarkEnd w:id="19"/>
      <w:bookmarkEnd w:id="20"/>
    </w:tbl>
    <w:p w14:paraId="4CD1EAAF" w14:textId="01382812" w:rsidR="002B7289" w:rsidRPr="00936320" w:rsidRDefault="002B7289" w:rsidP="00FB4E11">
      <w:pPr>
        <w:pStyle w:val="BodyText"/>
      </w:pPr>
    </w:p>
    <w:sectPr w:rsidR="002B7289" w:rsidRPr="00936320" w:rsidSect="00CD49FA">
      <w:headerReference w:type="default" r:id="rId41"/>
      <w:footerReference w:type="default" r:id="rId42"/>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19"/>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20"/>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rgValue="AgBDAG8AZABlAFMAbgBpAHAAcABlAHQAIAAxAA==" wne:acdName="acd19" wne:fciIndexBasedOn="0065"/>
    <wne:acd wne:argValue="AgBBAGIAbwB1AHQAVABpAHQAbABlAA=="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C977" w14:textId="77777777" w:rsidR="00D0103E" w:rsidRDefault="00D0103E" w:rsidP="00BD57E7">
      <w:pPr>
        <w:spacing w:after="0"/>
      </w:pPr>
      <w:r>
        <w:separator/>
      </w:r>
    </w:p>
    <w:p w14:paraId="7EF7ABF9" w14:textId="77777777" w:rsidR="00D0103E" w:rsidRDefault="00D0103E"/>
  </w:endnote>
  <w:endnote w:type="continuationSeparator" w:id="0">
    <w:p w14:paraId="13FB8CF8" w14:textId="77777777" w:rsidR="00D0103E" w:rsidRDefault="00D0103E" w:rsidP="00BD57E7">
      <w:pPr>
        <w:spacing w:after="0"/>
      </w:pPr>
      <w:r>
        <w:continuationSeparator/>
      </w:r>
    </w:p>
    <w:p w14:paraId="345BB9DF" w14:textId="77777777" w:rsidR="00D0103E" w:rsidRDefault="00D01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A6D4" w14:textId="77777777" w:rsidR="00C27ABB" w:rsidRPr="00CD49FA" w:rsidRDefault="00C27ABB" w:rsidP="00CD4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DBD4" w14:textId="77777777" w:rsidR="00D0103E" w:rsidRDefault="00D0103E" w:rsidP="00BD57E7">
      <w:pPr>
        <w:spacing w:after="0"/>
      </w:pPr>
      <w:r>
        <w:separator/>
      </w:r>
    </w:p>
    <w:p w14:paraId="72263E43" w14:textId="77777777" w:rsidR="00D0103E" w:rsidRDefault="00D0103E"/>
  </w:footnote>
  <w:footnote w:type="continuationSeparator" w:id="0">
    <w:p w14:paraId="794AD2F3" w14:textId="77777777" w:rsidR="00D0103E" w:rsidRDefault="00D0103E" w:rsidP="00BD57E7">
      <w:pPr>
        <w:spacing w:after="0"/>
      </w:pPr>
      <w:r>
        <w:continuationSeparator/>
      </w:r>
    </w:p>
    <w:p w14:paraId="468BB527" w14:textId="77777777" w:rsidR="00D0103E" w:rsidRDefault="00D01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F5D7" w14:textId="77777777" w:rsidR="00C27ABB" w:rsidRPr="00CD49FA" w:rsidRDefault="00C27ABB" w:rsidP="00CD4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EA5CC1"/>
    <w:multiLevelType w:val="hybridMultilevel"/>
    <w:tmpl w:val="3D928466"/>
    <w:lvl w:ilvl="0" w:tplc="AB148ABC">
      <w:start w:val="1"/>
      <w:numFmt w:val="decimal"/>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160631">
    <w:abstractNumId w:val="35"/>
  </w:num>
  <w:num w:numId="2" w16cid:durableId="102921822">
    <w:abstractNumId w:val="17"/>
  </w:num>
  <w:num w:numId="3" w16cid:durableId="330178687">
    <w:abstractNumId w:val="12"/>
  </w:num>
  <w:num w:numId="4" w16cid:durableId="822088240">
    <w:abstractNumId w:val="25"/>
  </w:num>
  <w:num w:numId="5" w16cid:durableId="1834569481">
    <w:abstractNumId w:val="22"/>
  </w:num>
  <w:num w:numId="6" w16cid:durableId="1000550227">
    <w:abstractNumId w:val="29"/>
  </w:num>
  <w:num w:numId="7" w16cid:durableId="2098093542">
    <w:abstractNumId w:val="20"/>
  </w:num>
  <w:num w:numId="8" w16cid:durableId="611594095">
    <w:abstractNumId w:val="10"/>
  </w:num>
  <w:num w:numId="9" w16cid:durableId="892693329">
    <w:abstractNumId w:val="19"/>
  </w:num>
  <w:num w:numId="10" w16cid:durableId="1047687033">
    <w:abstractNumId w:val="16"/>
  </w:num>
  <w:num w:numId="11" w16cid:durableId="1292401261">
    <w:abstractNumId w:val="31"/>
  </w:num>
  <w:num w:numId="12" w16cid:durableId="978994576">
    <w:abstractNumId w:val="23"/>
  </w:num>
  <w:num w:numId="13" w16cid:durableId="1734890712">
    <w:abstractNumId w:val="34"/>
  </w:num>
  <w:num w:numId="14" w16cid:durableId="740173509">
    <w:abstractNumId w:val="33"/>
  </w:num>
  <w:num w:numId="15" w16cid:durableId="1385522601">
    <w:abstractNumId w:val="30"/>
  </w:num>
  <w:num w:numId="16" w16cid:durableId="2028212275">
    <w:abstractNumId w:val="24"/>
  </w:num>
  <w:num w:numId="17" w16cid:durableId="228812707">
    <w:abstractNumId w:val="2"/>
  </w:num>
  <w:num w:numId="18" w16cid:durableId="1195998713">
    <w:abstractNumId w:val="9"/>
  </w:num>
  <w:num w:numId="19" w16cid:durableId="2107075835">
    <w:abstractNumId w:val="7"/>
  </w:num>
  <w:num w:numId="20" w16cid:durableId="1501193961">
    <w:abstractNumId w:val="6"/>
  </w:num>
  <w:num w:numId="21" w16cid:durableId="531235781">
    <w:abstractNumId w:val="5"/>
  </w:num>
  <w:num w:numId="22" w16cid:durableId="1714958431">
    <w:abstractNumId w:val="4"/>
  </w:num>
  <w:num w:numId="23" w16cid:durableId="1802722318">
    <w:abstractNumId w:val="8"/>
  </w:num>
  <w:num w:numId="24" w16cid:durableId="1931816912">
    <w:abstractNumId w:val="3"/>
  </w:num>
  <w:num w:numId="25" w16cid:durableId="1764715515">
    <w:abstractNumId w:val="1"/>
  </w:num>
  <w:num w:numId="26" w16cid:durableId="1670988519">
    <w:abstractNumId w:val="0"/>
  </w:num>
  <w:num w:numId="27" w16cid:durableId="219287199">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192304029">
    <w:abstractNumId w:val="11"/>
  </w:num>
  <w:num w:numId="29" w16cid:durableId="577447499">
    <w:abstractNumId w:val="26"/>
  </w:num>
  <w:num w:numId="30" w16cid:durableId="1806965854">
    <w:abstractNumId w:val="18"/>
  </w:num>
  <w:num w:numId="31" w16cid:durableId="1417363075">
    <w:abstractNumId w:val="13"/>
  </w:num>
  <w:num w:numId="32" w16cid:durableId="1600484578">
    <w:abstractNumId w:val="32"/>
  </w:num>
  <w:num w:numId="33" w16cid:durableId="566188996">
    <w:abstractNumId w:val="14"/>
  </w:num>
  <w:num w:numId="34" w16cid:durableId="1368021335">
    <w:abstractNumId w:val="28"/>
  </w:num>
  <w:num w:numId="35" w16cid:durableId="1139499860">
    <w:abstractNumId w:val="21"/>
  </w:num>
  <w:num w:numId="36" w16cid:durableId="2017613342">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7" w16cid:durableId="1031958991">
    <w:abstractNumId w:val="27"/>
  </w:num>
  <w:num w:numId="38" w16cid:durableId="812869009">
    <w:abstractNumId w:val="15"/>
  </w:num>
  <w:num w:numId="39" w16cid:durableId="744030986">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112D"/>
    <w:rsid w:val="00001F46"/>
    <w:rsid w:val="00004D7A"/>
    <w:rsid w:val="00004D8F"/>
    <w:rsid w:val="000067FF"/>
    <w:rsid w:val="00013513"/>
    <w:rsid w:val="000144B2"/>
    <w:rsid w:val="00030126"/>
    <w:rsid w:val="0003110C"/>
    <w:rsid w:val="00031AA8"/>
    <w:rsid w:val="000364DB"/>
    <w:rsid w:val="000373F5"/>
    <w:rsid w:val="00047B33"/>
    <w:rsid w:val="00050EE6"/>
    <w:rsid w:val="000668CC"/>
    <w:rsid w:val="00066A9E"/>
    <w:rsid w:val="00067016"/>
    <w:rsid w:val="00071865"/>
    <w:rsid w:val="00073E18"/>
    <w:rsid w:val="0009120E"/>
    <w:rsid w:val="000925CF"/>
    <w:rsid w:val="00095926"/>
    <w:rsid w:val="0009626E"/>
    <w:rsid w:val="000A15CC"/>
    <w:rsid w:val="000B036A"/>
    <w:rsid w:val="000B15E8"/>
    <w:rsid w:val="000B2776"/>
    <w:rsid w:val="000B6F90"/>
    <w:rsid w:val="000B7A09"/>
    <w:rsid w:val="000C0083"/>
    <w:rsid w:val="000C0E66"/>
    <w:rsid w:val="000C16EF"/>
    <w:rsid w:val="000C2892"/>
    <w:rsid w:val="000C3D26"/>
    <w:rsid w:val="000C75B5"/>
    <w:rsid w:val="000D6FAD"/>
    <w:rsid w:val="000D7CAE"/>
    <w:rsid w:val="000E1D34"/>
    <w:rsid w:val="000E6975"/>
    <w:rsid w:val="000E7C4A"/>
    <w:rsid w:val="000F1443"/>
    <w:rsid w:val="000F1B09"/>
    <w:rsid w:val="000F5308"/>
    <w:rsid w:val="000F5BE4"/>
    <w:rsid w:val="001022D6"/>
    <w:rsid w:val="001075DF"/>
    <w:rsid w:val="00113170"/>
    <w:rsid w:val="00115080"/>
    <w:rsid w:val="00116F58"/>
    <w:rsid w:val="00120A35"/>
    <w:rsid w:val="001216FC"/>
    <w:rsid w:val="00121C58"/>
    <w:rsid w:val="00127AED"/>
    <w:rsid w:val="00130038"/>
    <w:rsid w:val="00130EA3"/>
    <w:rsid w:val="00131425"/>
    <w:rsid w:val="00131B31"/>
    <w:rsid w:val="001363CA"/>
    <w:rsid w:val="001422C5"/>
    <w:rsid w:val="00142F62"/>
    <w:rsid w:val="00144575"/>
    <w:rsid w:val="001463BB"/>
    <w:rsid w:val="00151D32"/>
    <w:rsid w:val="00155E44"/>
    <w:rsid w:val="00156B39"/>
    <w:rsid w:val="00161315"/>
    <w:rsid w:val="001619BC"/>
    <w:rsid w:val="001622A1"/>
    <w:rsid w:val="00163E0E"/>
    <w:rsid w:val="0016576E"/>
    <w:rsid w:val="00166F4D"/>
    <w:rsid w:val="00177178"/>
    <w:rsid w:val="00182300"/>
    <w:rsid w:val="00182A2A"/>
    <w:rsid w:val="001852B7"/>
    <w:rsid w:val="00190321"/>
    <w:rsid w:val="00192187"/>
    <w:rsid w:val="001955E4"/>
    <w:rsid w:val="00195F3D"/>
    <w:rsid w:val="001A58B1"/>
    <w:rsid w:val="001A67DA"/>
    <w:rsid w:val="001B0B80"/>
    <w:rsid w:val="001B3A90"/>
    <w:rsid w:val="001B632A"/>
    <w:rsid w:val="001C072F"/>
    <w:rsid w:val="001C1AA8"/>
    <w:rsid w:val="001C1D1D"/>
    <w:rsid w:val="001C2F58"/>
    <w:rsid w:val="001C3A27"/>
    <w:rsid w:val="001C47FF"/>
    <w:rsid w:val="001C6A59"/>
    <w:rsid w:val="001C7A08"/>
    <w:rsid w:val="001C7C78"/>
    <w:rsid w:val="001D0949"/>
    <w:rsid w:val="001D112C"/>
    <w:rsid w:val="001D2833"/>
    <w:rsid w:val="001D51FE"/>
    <w:rsid w:val="001D5665"/>
    <w:rsid w:val="001D57B6"/>
    <w:rsid w:val="001D7EA5"/>
    <w:rsid w:val="001E17C1"/>
    <w:rsid w:val="001E1957"/>
    <w:rsid w:val="001E1E52"/>
    <w:rsid w:val="001E2888"/>
    <w:rsid w:val="001E4CCA"/>
    <w:rsid w:val="001E52F3"/>
    <w:rsid w:val="001E795E"/>
    <w:rsid w:val="001F0052"/>
    <w:rsid w:val="001F363F"/>
    <w:rsid w:val="001F3B55"/>
    <w:rsid w:val="001F4509"/>
    <w:rsid w:val="001F5A70"/>
    <w:rsid w:val="001F5B2B"/>
    <w:rsid w:val="002007A6"/>
    <w:rsid w:val="00201C32"/>
    <w:rsid w:val="002024CA"/>
    <w:rsid w:val="0020394D"/>
    <w:rsid w:val="0020605E"/>
    <w:rsid w:val="0021220A"/>
    <w:rsid w:val="00213B0F"/>
    <w:rsid w:val="00217591"/>
    <w:rsid w:val="002245AA"/>
    <w:rsid w:val="0023237C"/>
    <w:rsid w:val="00234A84"/>
    <w:rsid w:val="00236EDF"/>
    <w:rsid w:val="00242AB4"/>
    <w:rsid w:val="002503F4"/>
    <w:rsid w:val="0025180D"/>
    <w:rsid w:val="00254B19"/>
    <w:rsid w:val="002569FE"/>
    <w:rsid w:val="00256F78"/>
    <w:rsid w:val="00263B7D"/>
    <w:rsid w:val="002734A6"/>
    <w:rsid w:val="00276CED"/>
    <w:rsid w:val="00280637"/>
    <w:rsid w:val="00286307"/>
    <w:rsid w:val="00293792"/>
    <w:rsid w:val="00293E90"/>
    <w:rsid w:val="0029639D"/>
    <w:rsid w:val="0029651F"/>
    <w:rsid w:val="002A7A3B"/>
    <w:rsid w:val="002B1D14"/>
    <w:rsid w:val="002B4ABB"/>
    <w:rsid w:val="002B6E6D"/>
    <w:rsid w:val="002B7289"/>
    <w:rsid w:val="002B7314"/>
    <w:rsid w:val="002C1471"/>
    <w:rsid w:val="002C1A21"/>
    <w:rsid w:val="002C6742"/>
    <w:rsid w:val="002C6B60"/>
    <w:rsid w:val="002D03C5"/>
    <w:rsid w:val="002D03F9"/>
    <w:rsid w:val="002D2A74"/>
    <w:rsid w:val="002D662B"/>
    <w:rsid w:val="002E5636"/>
    <w:rsid w:val="002F0979"/>
    <w:rsid w:val="002F0AA7"/>
    <w:rsid w:val="002F36D8"/>
    <w:rsid w:val="002F3A94"/>
    <w:rsid w:val="002F657C"/>
    <w:rsid w:val="002F6698"/>
    <w:rsid w:val="00314D82"/>
    <w:rsid w:val="00321BA6"/>
    <w:rsid w:val="00333CFE"/>
    <w:rsid w:val="0033412C"/>
    <w:rsid w:val="00337ED2"/>
    <w:rsid w:val="00341DD7"/>
    <w:rsid w:val="0034357D"/>
    <w:rsid w:val="00345E11"/>
    <w:rsid w:val="0035217E"/>
    <w:rsid w:val="00355407"/>
    <w:rsid w:val="00364674"/>
    <w:rsid w:val="003669A4"/>
    <w:rsid w:val="00367041"/>
    <w:rsid w:val="0037096B"/>
    <w:rsid w:val="00374878"/>
    <w:rsid w:val="00385E34"/>
    <w:rsid w:val="003864D4"/>
    <w:rsid w:val="0039360F"/>
    <w:rsid w:val="003950C8"/>
    <w:rsid w:val="003A189A"/>
    <w:rsid w:val="003A450F"/>
    <w:rsid w:val="003A70C4"/>
    <w:rsid w:val="003B03F5"/>
    <w:rsid w:val="003B085C"/>
    <w:rsid w:val="003B5627"/>
    <w:rsid w:val="003B6F50"/>
    <w:rsid w:val="003C0DA1"/>
    <w:rsid w:val="003C1864"/>
    <w:rsid w:val="003C4F84"/>
    <w:rsid w:val="003C5DD1"/>
    <w:rsid w:val="003D4C4A"/>
    <w:rsid w:val="003D581A"/>
    <w:rsid w:val="003F120B"/>
    <w:rsid w:val="003F2BA1"/>
    <w:rsid w:val="003F3F49"/>
    <w:rsid w:val="003F443C"/>
    <w:rsid w:val="0040216D"/>
    <w:rsid w:val="00405A2F"/>
    <w:rsid w:val="004065A6"/>
    <w:rsid w:val="00407594"/>
    <w:rsid w:val="004116AC"/>
    <w:rsid w:val="004128C0"/>
    <w:rsid w:val="00415A19"/>
    <w:rsid w:val="0041705D"/>
    <w:rsid w:val="00422E30"/>
    <w:rsid w:val="00427B24"/>
    <w:rsid w:val="004315D0"/>
    <w:rsid w:val="00436194"/>
    <w:rsid w:val="00436DAC"/>
    <w:rsid w:val="00457875"/>
    <w:rsid w:val="004646AB"/>
    <w:rsid w:val="00464AE7"/>
    <w:rsid w:val="00464BC8"/>
    <w:rsid w:val="004651B5"/>
    <w:rsid w:val="004651C1"/>
    <w:rsid w:val="00467282"/>
    <w:rsid w:val="00474525"/>
    <w:rsid w:val="004767DE"/>
    <w:rsid w:val="00480FCE"/>
    <w:rsid w:val="00484988"/>
    <w:rsid w:val="004860C6"/>
    <w:rsid w:val="00486740"/>
    <w:rsid w:val="00486902"/>
    <w:rsid w:val="00490853"/>
    <w:rsid w:val="00491FF6"/>
    <w:rsid w:val="00492144"/>
    <w:rsid w:val="0049260C"/>
    <w:rsid w:val="0049568F"/>
    <w:rsid w:val="004A05D1"/>
    <w:rsid w:val="004A0789"/>
    <w:rsid w:val="004A22E5"/>
    <w:rsid w:val="004A2AF7"/>
    <w:rsid w:val="004B3BFE"/>
    <w:rsid w:val="004B6AE6"/>
    <w:rsid w:val="004B72DD"/>
    <w:rsid w:val="004C1A7E"/>
    <w:rsid w:val="004C396D"/>
    <w:rsid w:val="004C521E"/>
    <w:rsid w:val="004D481B"/>
    <w:rsid w:val="004D74F9"/>
    <w:rsid w:val="004E55AF"/>
    <w:rsid w:val="004F28FD"/>
    <w:rsid w:val="004F6875"/>
    <w:rsid w:val="005020EC"/>
    <w:rsid w:val="0050425B"/>
    <w:rsid w:val="00506C3E"/>
    <w:rsid w:val="00517F12"/>
    <w:rsid w:val="00527751"/>
    <w:rsid w:val="00533F0B"/>
    <w:rsid w:val="00536D99"/>
    <w:rsid w:val="00540A04"/>
    <w:rsid w:val="00543E8D"/>
    <w:rsid w:val="0054482B"/>
    <w:rsid w:val="00545E25"/>
    <w:rsid w:val="005507B3"/>
    <w:rsid w:val="005551C7"/>
    <w:rsid w:val="00557526"/>
    <w:rsid w:val="00564B2E"/>
    <w:rsid w:val="00567CEA"/>
    <w:rsid w:val="00570D51"/>
    <w:rsid w:val="005755D9"/>
    <w:rsid w:val="00577024"/>
    <w:rsid w:val="00582BF5"/>
    <w:rsid w:val="0058720E"/>
    <w:rsid w:val="00587488"/>
    <w:rsid w:val="00597BD5"/>
    <w:rsid w:val="005A5586"/>
    <w:rsid w:val="005A60C8"/>
    <w:rsid w:val="005B0927"/>
    <w:rsid w:val="005B23F8"/>
    <w:rsid w:val="005B2420"/>
    <w:rsid w:val="005B6F99"/>
    <w:rsid w:val="005C65DD"/>
    <w:rsid w:val="005D0293"/>
    <w:rsid w:val="005D6F89"/>
    <w:rsid w:val="005F4C04"/>
    <w:rsid w:val="006014C7"/>
    <w:rsid w:val="00601B15"/>
    <w:rsid w:val="006059A1"/>
    <w:rsid w:val="00612635"/>
    <w:rsid w:val="00616F6A"/>
    <w:rsid w:val="00617B8E"/>
    <w:rsid w:val="00617F1D"/>
    <w:rsid w:val="006243EA"/>
    <w:rsid w:val="00630F87"/>
    <w:rsid w:val="00631534"/>
    <w:rsid w:val="00634A80"/>
    <w:rsid w:val="00634B72"/>
    <w:rsid w:val="006370C5"/>
    <w:rsid w:val="006404A1"/>
    <w:rsid w:val="00650E9B"/>
    <w:rsid w:val="00653B1C"/>
    <w:rsid w:val="00653DEF"/>
    <w:rsid w:val="00665707"/>
    <w:rsid w:val="0067049F"/>
    <w:rsid w:val="00673E0E"/>
    <w:rsid w:val="00675B01"/>
    <w:rsid w:val="00675E7B"/>
    <w:rsid w:val="00681AE1"/>
    <w:rsid w:val="00681D5B"/>
    <w:rsid w:val="0068466F"/>
    <w:rsid w:val="00692741"/>
    <w:rsid w:val="0069395A"/>
    <w:rsid w:val="00694D56"/>
    <w:rsid w:val="006955C4"/>
    <w:rsid w:val="006A29DE"/>
    <w:rsid w:val="006A60DA"/>
    <w:rsid w:val="006A6726"/>
    <w:rsid w:val="006B0743"/>
    <w:rsid w:val="006C0243"/>
    <w:rsid w:val="006C071C"/>
    <w:rsid w:val="006C397F"/>
    <w:rsid w:val="006C45A0"/>
    <w:rsid w:val="006C46D3"/>
    <w:rsid w:val="006C5F58"/>
    <w:rsid w:val="006D2DCD"/>
    <w:rsid w:val="006E565D"/>
    <w:rsid w:val="006E5958"/>
    <w:rsid w:val="006F27FA"/>
    <w:rsid w:val="006F454F"/>
    <w:rsid w:val="006F504E"/>
    <w:rsid w:val="006F64D0"/>
    <w:rsid w:val="006F6F12"/>
    <w:rsid w:val="00700D62"/>
    <w:rsid w:val="0070429B"/>
    <w:rsid w:val="007047FC"/>
    <w:rsid w:val="00712861"/>
    <w:rsid w:val="0072780E"/>
    <w:rsid w:val="00731463"/>
    <w:rsid w:val="0073214C"/>
    <w:rsid w:val="00732C34"/>
    <w:rsid w:val="0073620A"/>
    <w:rsid w:val="00743448"/>
    <w:rsid w:val="0074404A"/>
    <w:rsid w:val="00746300"/>
    <w:rsid w:val="007531D6"/>
    <w:rsid w:val="00753398"/>
    <w:rsid w:val="00754AEF"/>
    <w:rsid w:val="007575F6"/>
    <w:rsid w:val="0076291F"/>
    <w:rsid w:val="00764F36"/>
    <w:rsid w:val="00767FE4"/>
    <w:rsid w:val="00774081"/>
    <w:rsid w:val="007748D0"/>
    <w:rsid w:val="007845F0"/>
    <w:rsid w:val="00791893"/>
    <w:rsid w:val="007920EC"/>
    <w:rsid w:val="00794BC8"/>
    <w:rsid w:val="0079661F"/>
    <w:rsid w:val="007A09D8"/>
    <w:rsid w:val="007A41CE"/>
    <w:rsid w:val="007B0912"/>
    <w:rsid w:val="007B0FA4"/>
    <w:rsid w:val="007B3ADE"/>
    <w:rsid w:val="007B6451"/>
    <w:rsid w:val="007B7DE3"/>
    <w:rsid w:val="007C5784"/>
    <w:rsid w:val="007C584A"/>
    <w:rsid w:val="007D21FF"/>
    <w:rsid w:val="007D22D7"/>
    <w:rsid w:val="007D36BF"/>
    <w:rsid w:val="007E095D"/>
    <w:rsid w:val="007E2FB8"/>
    <w:rsid w:val="007E5D03"/>
    <w:rsid w:val="007E5F01"/>
    <w:rsid w:val="007F1E09"/>
    <w:rsid w:val="007F5638"/>
    <w:rsid w:val="007F7F85"/>
    <w:rsid w:val="008027D8"/>
    <w:rsid w:val="00802B00"/>
    <w:rsid w:val="00805034"/>
    <w:rsid w:val="0080568C"/>
    <w:rsid w:val="00806F64"/>
    <w:rsid w:val="008146A8"/>
    <w:rsid w:val="00824971"/>
    <w:rsid w:val="00824F02"/>
    <w:rsid w:val="00825959"/>
    <w:rsid w:val="00826775"/>
    <w:rsid w:val="00827CA7"/>
    <w:rsid w:val="00830B4F"/>
    <w:rsid w:val="00834C35"/>
    <w:rsid w:val="008362C7"/>
    <w:rsid w:val="00840EC7"/>
    <w:rsid w:val="00842F0D"/>
    <w:rsid w:val="008448B4"/>
    <w:rsid w:val="00851F7A"/>
    <w:rsid w:val="00862573"/>
    <w:rsid w:val="0086723A"/>
    <w:rsid w:val="00872C92"/>
    <w:rsid w:val="00873ADF"/>
    <w:rsid w:val="00874A36"/>
    <w:rsid w:val="00874BBB"/>
    <w:rsid w:val="008754E1"/>
    <w:rsid w:val="00875956"/>
    <w:rsid w:val="00880847"/>
    <w:rsid w:val="00880CD9"/>
    <w:rsid w:val="008812C4"/>
    <w:rsid w:val="00882163"/>
    <w:rsid w:val="0089214B"/>
    <w:rsid w:val="00892286"/>
    <w:rsid w:val="00895563"/>
    <w:rsid w:val="00896EA8"/>
    <w:rsid w:val="008A1CA0"/>
    <w:rsid w:val="008A4431"/>
    <w:rsid w:val="008A4B98"/>
    <w:rsid w:val="008A6461"/>
    <w:rsid w:val="008B1B0F"/>
    <w:rsid w:val="008B1FC0"/>
    <w:rsid w:val="008B289A"/>
    <w:rsid w:val="008B5F5A"/>
    <w:rsid w:val="008C1FA0"/>
    <w:rsid w:val="008D3608"/>
    <w:rsid w:val="008D6C78"/>
    <w:rsid w:val="008D7A74"/>
    <w:rsid w:val="008E12CF"/>
    <w:rsid w:val="008E4184"/>
    <w:rsid w:val="008E4A08"/>
    <w:rsid w:val="008F1757"/>
    <w:rsid w:val="008F1BAE"/>
    <w:rsid w:val="008F2DDA"/>
    <w:rsid w:val="008F70CE"/>
    <w:rsid w:val="008F7BC7"/>
    <w:rsid w:val="00901C50"/>
    <w:rsid w:val="00905840"/>
    <w:rsid w:val="00907517"/>
    <w:rsid w:val="00910944"/>
    <w:rsid w:val="00921502"/>
    <w:rsid w:val="009235B3"/>
    <w:rsid w:val="00924401"/>
    <w:rsid w:val="00932AB6"/>
    <w:rsid w:val="009334A6"/>
    <w:rsid w:val="00935A48"/>
    <w:rsid w:val="00936320"/>
    <w:rsid w:val="00945030"/>
    <w:rsid w:val="00950D1A"/>
    <w:rsid w:val="0095275D"/>
    <w:rsid w:val="00952B4D"/>
    <w:rsid w:val="009557FE"/>
    <w:rsid w:val="00961882"/>
    <w:rsid w:val="00962AF6"/>
    <w:rsid w:val="0096369A"/>
    <w:rsid w:val="00965405"/>
    <w:rsid w:val="00966A0C"/>
    <w:rsid w:val="00971BB0"/>
    <w:rsid w:val="00974072"/>
    <w:rsid w:val="00985469"/>
    <w:rsid w:val="0098648E"/>
    <w:rsid w:val="009873B9"/>
    <w:rsid w:val="009912F6"/>
    <w:rsid w:val="009B074E"/>
    <w:rsid w:val="009B2B57"/>
    <w:rsid w:val="009B3333"/>
    <w:rsid w:val="009B7315"/>
    <w:rsid w:val="009C0617"/>
    <w:rsid w:val="009C171D"/>
    <w:rsid w:val="009C27A3"/>
    <w:rsid w:val="009C6172"/>
    <w:rsid w:val="009D0480"/>
    <w:rsid w:val="009D0CE8"/>
    <w:rsid w:val="009D32D6"/>
    <w:rsid w:val="009D5845"/>
    <w:rsid w:val="009D60DC"/>
    <w:rsid w:val="009D6911"/>
    <w:rsid w:val="009E7190"/>
    <w:rsid w:val="009F082E"/>
    <w:rsid w:val="009F1024"/>
    <w:rsid w:val="00A043AA"/>
    <w:rsid w:val="00A045F2"/>
    <w:rsid w:val="00A11DFB"/>
    <w:rsid w:val="00A17963"/>
    <w:rsid w:val="00A23025"/>
    <w:rsid w:val="00A2438B"/>
    <w:rsid w:val="00A413D9"/>
    <w:rsid w:val="00A45C41"/>
    <w:rsid w:val="00A63E35"/>
    <w:rsid w:val="00A677AB"/>
    <w:rsid w:val="00A703D4"/>
    <w:rsid w:val="00A72192"/>
    <w:rsid w:val="00A72BFF"/>
    <w:rsid w:val="00A814EE"/>
    <w:rsid w:val="00A87246"/>
    <w:rsid w:val="00A90334"/>
    <w:rsid w:val="00A91160"/>
    <w:rsid w:val="00A9182A"/>
    <w:rsid w:val="00A935F0"/>
    <w:rsid w:val="00A93E81"/>
    <w:rsid w:val="00A97AF3"/>
    <w:rsid w:val="00AA0F96"/>
    <w:rsid w:val="00AA46A9"/>
    <w:rsid w:val="00AA488C"/>
    <w:rsid w:val="00AB05EB"/>
    <w:rsid w:val="00AB3997"/>
    <w:rsid w:val="00AB72A7"/>
    <w:rsid w:val="00AB7DE6"/>
    <w:rsid w:val="00AC1378"/>
    <w:rsid w:val="00AC4D20"/>
    <w:rsid w:val="00AC64B8"/>
    <w:rsid w:val="00AD13C4"/>
    <w:rsid w:val="00AD3D9E"/>
    <w:rsid w:val="00AE1636"/>
    <w:rsid w:val="00AE4203"/>
    <w:rsid w:val="00AE43ED"/>
    <w:rsid w:val="00AF1A1A"/>
    <w:rsid w:val="00AF2D22"/>
    <w:rsid w:val="00AF4857"/>
    <w:rsid w:val="00AF4D58"/>
    <w:rsid w:val="00B00417"/>
    <w:rsid w:val="00B109BA"/>
    <w:rsid w:val="00B15F6F"/>
    <w:rsid w:val="00B173FC"/>
    <w:rsid w:val="00B20425"/>
    <w:rsid w:val="00B246B0"/>
    <w:rsid w:val="00B25A26"/>
    <w:rsid w:val="00B30C84"/>
    <w:rsid w:val="00B3649E"/>
    <w:rsid w:val="00B40B22"/>
    <w:rsid w:val="00B4177E"/>
    <w:rsid w:val="00B4320B"/>
    <w:rsid w:val="00B46CD5"/>
    <w:rsid w:val="00B5146E"/>
    <w:rsid w:val="00B5417B"/>
    <w:rsid w:val="00B5433C"/>
    <w:rsid w:val="00B55087"/>
    <w:rsid w:val="00B55677"/>
    <w:rsid w:val="00B55DA9"/>
    <w:rsid w:val="00B56D22"/>
    <w:rsid w:val="00B57434"/>
    <w:rsid w:val="00B6255C"/>
    <w:rsid w:val="00B63ACC"/>
    <w:rsid w:val="00B67650"/>
    <w:rsid w:val="00B67C3D"/>
    <w:rsid w:val="00B7251F"/>
    <w:rsid w:val="00B74599"/>
    <w:rsid w:val="00B76BE4"/>
    <w:rsid w:val="00B802E1"/>
    <w:rsid w:val="00B83088"/>
    <w:rsid w:val="00B85B65"/>
    <w:rsid w:val="00B86660"/>
    <w:rsid w:val="00B86A8E"/>
    <w:rsid w:val="00B8707C"/>
    <w:rsid w:val="00B9007D"/>
    <w:rsid w:val="00B97689"/>
    <w:rsid w:val="00B97B52"/>
    <w:rsid w:val="00BA186B"/>
    <w:rsid w:val="00BA642F"/>
    <w:rsid w:val="00BA7900"/>
    <w:rsid w:val="00BB4849"/>
    <w:rsid w:val="00BD2985"/>
    <w:rsid w:val="00BD39A0"/>
    <w:rsid w:val="00BD4F83"/>
    <w:rsid w:val="00BD4FE8"/>
    <w:rsid w:val="00BD57E7"/>
    <w:rsid w:val="00BD71FD"/>
    <w:rsid w:val="00BD7895"/>
    <w:rsid w:val="00BE1A0B"/>
    <w:rsid w:val="00BE60C2"/>
    <w:rsid w:val="00BE6559"/>
    <w:rsid w:val="00BE67AA"/>
    <w:rsid w:val="00BE6BDF"/>
    <w:rsid w:val="00BF538D"/>
    <w:rsid w:val="00C104AC"/>
    <w:rsid w:val="00C11FCF"/>
    <w:rsid w:val="00C13FCB"/>
    <w:rsid w:val="00C1481B"/>
    <w:rsid w:val="00C17CCD"/>
    <w:rsid w:val="00C21016"/>
    <w:rsid w:val="00C230C3"/>
    <w:rsid w:val="00C233BA"/>
    <w:rsid w:val="00C23DDD"/>
    <w:rsid w:val="00C27ABB"/>
    <w:rsid w:val="00C27FAE"/>
    <w:rsid w:val="00C308AC"/>
    <w:rsid w:val="00C31358"/>
    <w:rsid w:val="00C330FC"/>
    <w:rsid w:val="00C41343"/>
    <w:rsid w:val="00C43A3F"/>
    <w:rsid w:val="00C44ADA"/>
    <w:rsid w:val="00C46DA5"/>
    <w:rsid w:val="00C501CD"/>
    <w:rsid w:val="00C51537"/>
    <w:rsid w:val="00C54686"/>
    <w:rsid w:val="00C571A1"/>
    <w:rsid w:val="00C57979"/>
    <w:rsid w:val="00C60744"/>
    <w:rsid w:val="00C621A5"/>
    <w:rsid w:val="00C62501"/>
    <w:rsid w:val="00C644A3"/>
    <w:rsid w:val="00C65CD1"/>
    <w:rsid w:val="00C72343"/>
    <w:rsid w:val="00C75DF5"/>
    <w:rsid w:val="00C776F9"/>
    <w:rsid w:val="00C80955"/>
    <w:rsid w:val="00C818A0"/>
    <w:rsid w:val="00CA1F6C"/>
    <w:rsid w:val="00CB18A4"/>
    <w:rsid w:val="00CC0C30"/>
    <w:rsid w:val="00CC1A08"/>
    <w:rsid w:val="00CC5D61"/>
    <w:rsid w:val="00CC76BD"/>
    <w:rsid w:val="00CD0630"/>
    <w:rsid w:val="00CD49FA"/>
    <w:rsid w:val="00CD5FE8"/>
    <w:rsid w:val="00CD7DAB"/>
    <w:rsid w:val="00CE05F8"/>
    <w:rsid w:val="00CE1DE6"/>
    <w:rsid w:val="00CE2C40"/>
    <w:rsid w:val="00CE45E7"/>
    <w:rsid w:val="00CE677A"/>
    <w:rsid w:val="00CE6B46"/>
    <w:rsid w:val="00CE6EB0"/>
    <w:rsid w:val="00CF324D"/>
    <w:rsid w:val="00D003F8"/>
    <w:rsid w:val="00D0103E"/>
    <w:rsid w:val="00D030D6"/>
    <w:rsid w:val="00D04785"/>
    <w:rsid w:val="00D07414"/>
    <w:rsid w:val="00D10687"/>
    <w:rsid w:val="00D1309B"/>
    <w:rsid w:val="00D21B3E"/>
    <w:rsid w:val="00D22576"/>
    <w:rsid w:val="00D26559"/>
    <w:rsid w:val="00D46133"/>
    <w:rsid w:val="00D50F38"/>
    <w:rsid w:val="00D5226C"/>
    <w:rsid w:val="00D5554F"/>
    <w:rsid w:val="00D55C25"/>
    <w:rsid w:val="00D56EF2"/>
    <w:rsid w:val="00D57F27"/>
    <w:rsid w:val="00D6466F"/>
    <w:rsid w:val="00D65AB2"/>
    <w:rsid w:val="00D67102"/>
    <w:rsid w:val="00D740D2"/>
    <w:rsid w:val="00D75CBA"/>
    <w:rsid w:val="00D769B5"/>
    <w:rsid w:val="00D84816"/>
    <w:rsid w:val="00D86412"/>
    <w:rsid w:val="00D939F3"/>
    <w:rsid w:val="00D93F57"/>
    <w:rsid w:val="00D96118"/>
    <w:rsid w:val="00D96432"/>
    <w:rsid w:val="00D96799"/>
    <w:rsid w:val="00DA2ABC"/>
    <w:rsid w:val="00DA2FA6"/>
    <w:rsid w:val="00DA3D45"/>
    <w:rsid w:val="00DA4B40"/>
    <w:rsid w:val="00DB76F2"/>
    <w:rsid w:val="00DC4256"/>
    <w:rsid w:val="00DC4322"/>
    <w:rsid w:val="00DC4729"/>
    <w:rsid w:val="00DC52F7"/>
    <w:rsid w:val="00DC7314"/>
    <w:rsid w:val="00DC73F8"/>
    <w:rsid w:val="00DC75BD"/>
    <w:rsid w:val="00DD52F3"/>
    <w:rsid w:val="00DD5862"/>
    <w:rsid w:val="00DE0A05"/>
    <w:rsid w:val="00DE2F2B"/>
    <w:rsid w:val="00DE3C47"/>
    <w:rsid w:val="00DF003B"/>
    <w:rsid w:val="00DF373D"/>
    <w:rsid w:val="00E03250"/>
    <w:rsid w:val="00E0624B"/>
    <w:rsid w:val="00E15E06"/>
    <w:rsid w:val="00E240B0"/>
    <w:rsid w:val="00E27FCD"/>
    <w:rsid w:val="00E42B0F"/>
    <w:rsid w:val="00E453A0"/>
    <w:rsid w:val="00E5066E"/>
    <w:rsid w:val="00E50D2F"/>
    <w:rsid w:val="00E51EDA"/>
    <w:rsid w:val="00E537D4"/>
    <w:rsid w:val="00E53B30"/>
    <w:rsid w:val="00E549CC"/>
    <w:rsid w:val="00E575CC"/>
    <w:rsid w:val="00E579AC"/>
    <w:rsid w:val="00E63E7C"/>
    <w:rsid w:val="00E64769"/>
    <w:rsid w:val="00E65F46"/>
    <w:rsid w:val="00E7476C"/>
    <w:rsid w:val="00E761C4"/>
    <w:rsid w:val="00E77047"/>
    <w:rsid w:val="00E7738F"/>
    <w:rsid w:val="00E775D9"/>
    <w:rsid w:val="00E87BC5"/>
    <w:rsid w:val="00E92751"/>
    <w:rsid w:val="00E93727"/>
    <w:rsid w:val="00E9459A"/>
    <w:rsid w:val="00E96E7F"/>
    <w:rsid w:val="00E97900"/>
    <w:rsid w:val="00EA11C0"/>
    <w:rsid w:val="00EA18AD"/>
    <w:rsid w:val="00EB172C"/>
    <w:rsid w:val="00EB2156"/>
    <w:rsid w:val="00EB2FAE"/>
    <w:rsid w:val="00EB3DC4"/>
    <w:rsid w:val="00EC516F"/>
    <w:rsid w:val="00EE0092"/>
    <w:rsid w:val="00EE37C5"/>
    <w:rsid w:val="00EE5748"/>
    <w:rsid w:val="00EE65A1"/>
    <w:rsid w:val="00EE6619"/>
    <w:rsid w:val="00EF3F0C"/>
    <w:rsid w:val="00F022E7"/>
    <w:rsid w:val="00F027B3"/>
    <w:rsid w:val="00F07DDE"/>
    <w:rsid w:val="00F12A18"/>
    <w:rsid w:val="00F13A90"/>
    <w:rsid w:val="00F14483"/>
    <w:rsid w:val="00F1518D"/>
    <w:rsid w:val="00F17A2E"/>
    <w:rsid w:val="00F21872"/>
    <w:rsid w:val="00F233C6"/>
    <w:rsid w:val="00F321A0"/>
    <w:rsid w:val="00F32522"/>
    <w:rsid w:val="00F34902"/>
    <w:rsid w:val="00F403BC"/>
    <w:rsid w:val="00F50A7C"/>
    <w:rsid w:val="00F5251C"/>
    <w:rsid w:val="00F54CCD"/>
    <w:rsid w:val="00F5563A"/>
    <w:rsid w:val="00F57FF9"/>
    <w:rsid w:val="00F63D5F"/>
    <w:rsid w:val="00F66174"/>
    <w:rsid w:val="00F850D2"/>
    <w:rsid w:val="00F9188A"/>
    <w:rsid w:val="00F97FB5"/>
    <w:rsid w:val="00FA24C3"/>
    <w:rsid w:val="00FA3CC0"/>
    <w:rsid w:val="00FA41DE"/>
    <w:rsid w:val="00FB0FE7"/>
    <w:rsid w:val="00FB3283"/>
    <w:rsid w:val="00FB4E11"/>
    <w:rsid w:val="00FC368A"/>
    <w:rsid w:val="00FC4177"/>
    <w:rsid w:val="00FD3492"/>
    <w:rsid w:val="00FD59A0"/>
    <w:rsid w:val="00FE054B"/>
    <w:rsid w:val="00FE5B76"/>
    <w:rsid w:val="00FE7AB0"/>
    <w:rsid w:val="00FF6348"/>
    <w:rsid w:val="00FF6FC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90A8"/>
  <w15:docId w15:val="{55F3B552-7F29-4D66-8DCA-0C52B862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6F2"/>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DB76F2"/>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DB76F2"/>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DB76F2"/>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DB76F2"/>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DB76F2"/>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DB76F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B76F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76F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76F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qFormat/>
    <w:rsid w:val="00DB76F2"/>
  </w:style>
  <w:style w:type="character" w:customStyle="1" w:styleId="Heading1Char">
    <w:name w:val="Heading 1 Char"/>
    <w:basedOn w:val="DefaultParagraphFont"/>
    <w:link w:val="Heading1"/>
    <w:uiPriority w:val="9"/>
    <w:rsid w:val="00DB76F2"/>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DB76F2"/>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DB76F2"/>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DB76F2"/>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DB76F2"/>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DB76F2"/>
    <w:rPr>
      <w:rFonts w:asciiTheme="majorHAnsi" w:eastAsiaTheme="majorEastAsia" w:hAnsiTheme="majorHAnsi" w:cstheme="majorBidi"/>
      <w:color w:val="243F60" w:themeColor="accent1" w:themeShade="7F"/>
      <w:sz w:val="20"/>
      <w:lang w:val="en-US"/>
    </w:rPr>
  </w:style>
  <w:style w:type="character" w:customStyle="1" w:styleId="Heading7Char">
    <w:name w:val="Heading 7 Char"/>
    <w:basedOn w:val="DefaultParagraphFont"/>
    <w:link w:val="Heading7"/>
    <w:uiPriority w:val="9"/>
    <w:semiHidden/>
    <w:rsid w:val="00DB76F2"/>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DB76F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B76F2"/>
    <w:rPr>
      <w:rFonts w:asciiTheme="majorHAnsi" w:eastAsiaTheme="majorEastAsia" w:hAnsiTheme="majorHAnsi" w:cstheme="majorBidi"/>
      <w:i/>
      <w:iCs/>
      <w:color w:val="272727" w:themeColor="text1" w:themeTint="D8"/>
      <w:sz w:val="21"/>
      <w:szCs w:val="21"/>
      <w:lang w:val="en-US"/>
    </w:rPr>
  </w:style>
  <w:style w:type="paragraph" w:styleId="Footer">
    <w:name w:val="footer"/>
    <w:aliases w:val="Misys Footer"/>
    <w:basedOn w:val="Normal"/>
    <w:link w:val="FooterChar"/>
    <w:uiPriority w:val="99"/>
    <w:unhideWhenUsed/>
    <w:qFormat/>
    <w:rsid w:val="00DB76F2"/>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DB76F2"/>
    <w:rPr>
      <w:rFonts w:ascii="Arial" w:hAnsi="Arial"/>
      <w:color w:val="414141"/>
      <w:sz w:val="16"/>
      <w:lang w:val="en-US"/>
    </w:rPr>
  </w:style>
  <w:style w:type="paragraph" w:styleId="BalloonText">
    <w:name w:val="Balloon Text"/>
    <w:basedOn w:val="Normal"/>
    <w:link w:val="BalloonTextChar"/>
    <w:uiPriority w:val="99"/>
    <w:semiHidden/>
    <w:unhideWhenUsed/>
    <w:rsid w:val="00DB76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6F2"/>
    <w:rPr>
      <w:rFonts w:ascii="Tahoma" w:hAnsi="Tahoma" w:cs="Tahoma"/>
      <w:color w:val="414141"/>
      <w:sz w:val="16"/>
      <w:szCs w:val="16"/>
      <w:lang w:val="en-US"/>
    </w:rPr>
  </w:style>
  <w:style w:type="character" w:styleId="Hyperlink">
    <w:name w:val="Hyperlink"/>
    <w:basedOn w:val="DefaultParagraphFont"/>
    <w:uiPriority w:val="99"/>
    <w:unhideWhenUsed/>
    <w:rsid w:val="00DB76F2"/>
    <w:rPr>
      <w:color w:val="C137A2"/>
      <w:u w:val="none"/>
    </w:rPr>
  </w:style>
  <w:style w:type="paragraph" w:customStyle="1" w:styleId="AboutTitle">
    <w:name w:val="AboutTitle"/>
    <w:next w:val="Normal"/>
    <w:qFormat/>
    <w:rsid w:val="00163E0E"/>
    <w:pPr>
      <w:keepNext/>
      <w:pageBreakBefore/>
      <w:spacing w:before="1440" w:after="1200" w:line="240" w:lineRule="auto"/>
    </w:pPr>
    <w:rPr>
      <w:rFonts w:ascii="Arial" w:eastAsiaTheme="majorEastAsia" w:hAnsi="Arial" w:cstheme="majorBidi"/>
      <w:bCs/>
      <w:color w:val="2AB5B2"/>
      <w:spacing w:val="32"/>
      <w:sz w:val="36"/>
      <w:szCs w:val="28"/>
      <w:lang w:val="en-US"/>
    </w:rPr>
  </w:style>
  <w:style w:type="paragraph" w:customStyle="1" w:styleId="CodeSnippet1">
    <w:name w:val="CodeSnippet 1"/>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DB76F2"/>
    <w:pPr>
      <w:pBdr>
        <w:bottom w:val="single" w:sz="4" w:space="6" w:color="A6A6A6" w:themeColor="background1" w:themeShade="A6"/>
      </w:pBdr>
      <w:tabs>
        <w:tab w:val="center" w:pos="4513"/>
        <w:tab w:val="right" w:pos="9026"/>
      </w:tabs>
      <w:spacing w:after="40"/>
    </w:pPr>
    <w:rPr>
      <w:caps/>
      <w:sz w:val="16"/>
    </w:rPr>
  </w:style>
  <w:style w:type="character" w:customStyle="1" w:styleId="HeaderChar">
    <w:name w:val="Header Char"/>
    <w:basedOn w:val="DefaultParagraphFont"/>
    <w:link w:val="Header"/>
    <w:uiPriority w:val="99"/>
    <w:rsid w:val="00DB76F2"/>
    <w:rPr>
      <w:rFonts w:ascii="Arial" w:hAnsi="Arial"/>
      <w:caps/>
      <w:color w:val="414141"/>
      <w:sz w:val="16"/>
      <w:lang w:val="en-US"/>
    </w:rPr>
  </w:style>
  <w:style w:type="table" w:styleId="TableGrid">
    <w:name w:val="Table Grid"/>
    <w:aliases w:val="TableGridHeader"/>
    <w:basedOn w:val="TableNormal"/>
    <w:uiPriority w:val="59"/>
    <w:rsid w:val="00DB76F2"/>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styleId="TOC2">
    <w:name w:val="toc 2"/>
    <w:basedOn w:val="Normal"/>
    <w:next w:val="Normal"/>
    <w:uiPriority w:val="39"/>
    <w:unhideWhenUsed/>
    <w:rsid w:val="00DB76F2"/>
    <w:pPr>
      <w:tabs>
        <w:tab w:val="right" w:leader="dot" w:pos="9016"/>
      </w:tabs>
      <w:spacing w:after="100"/>
    </w:pPr>
    <w:rPr>
      <w:noProof/>
    </w:rPr>
  </w:style>
  <w:style w:type="paragraph" w:styleId="TOC1">
    <w:name w:val="toc 1"/>
    <w:basedOn w:val="Normal"/>
    <w:next w:val="Normal"/>
    <w:uiPriority w:val="39"/>
    <w:unhideWhenUsed/>
    <w:rsid w:val="00DB76F2"/>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DB76F2"/>
    <w:pPr>
      <w:tabs>
        <w:tab w:val="right" w:leader="dot" w:pos="9016"/>
      </w:tabs>
      <w:ind w:left="360"/>
    </w:pPr>
    <w:rPr>
      <w:noProof/>
      <w:sz w:val="18"/>
    </w:rPr>
  </w:style>
  <w:style w:type="table" w:customStyle="1" w:styleId="TableGridNoHeader">
    <w:name w:val="TableGridNoHeader"/>
    <w:basedOn w:val="TableNormal"/>
    <w:uiPriority w:val="99"/>
    <w:rsid w:val="00DB76F2"/>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DB76F2"/>
    <w:rPr>
      <w:color w:val="800080" w:themeColor="followedHyperlink"/>
      <w:u w:val="single"/>
    </w:rPr>
  </w:style>
  <w:style w:type="paragraph" w:customStyle="1" w:styleId="RunningHeaderTitle">
    <w:name w:val="RunningHeaderTitle"/>
    <w:basedOn w:val="Normal"/>
    <w:qFormat/>
    <w:rsid w:val="00FB4E11"/>
    <w:pPr>
      <w:pBdr>
        <w:bottom w:val="single" w:sz="8" w:space="3" w:color="BFBFBF"/>
      </w:pBdr>
      <w:spacing w:before="60" w:after="60"/>
      <w:contextualSpacing/>
    </w:pPr>
    <w:rPr>
      <w:i/>
      <w:sz w:val="16"/>
    </w:rPr>
  </w:style>
  <w:style w:type="character" w:styleId="PlaceholderText">
    <w:name w:val="Placeholder Text"/>
    <w:basedOn w:val="DefaultParagraphFont"/>
    <w:uiPriority w:val="99"/>
    <w:semiHidden/>
    <w:rsid w:val="00DB76F2"/>
    <w:rPr>
      <w:color w:val="808080"/>
    </w:rPr>
  </w:style>
  <w:style w:type="paragraph" w:styleId="ListBullet">
    <w:name w:val="List Bullet"/>
    <w:basedOn w:val="Normal"/>
    <w:uiPriority w:val="99"/>
    <w:semiHidden/>
    <w:unhideWhenUsed/>
    <w:rsid w:val="00DB76F2"/>
    <w:pPr>
      <w:numPr>
        <w:numId w:val="18"/>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Text">
    <w:name w:val="TableText"/>
    <w:basedOn w:val="BodyText"/>
    <w:qFormat/>
    <w:rsid w:val="00DB76F2"/>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0"/>
    <w:uiPriority w:val="99"/>
    <w:semiHidden/>
    <w:unhideWhenUsed/>
    <w:rsid w:val="00DB76F2"/>
  </w:style>
  <w:style w:type="character" w:customStyle="1" w:styleId="BodyTextChar0">
    <w:name w:val="Body Text Char"/>
    <w:basedOn w:val="DefaultParagraphFont"/>
    <w:link w:val="BodyText0"/>
    <w:uiPriority w:val="99"/>
    <w:semiHidden/>
    <w:rsid w:val="00DB76F2"/>
    <w:rPr>
      <w:rFonts w:ascii="Arial" w:hAnsi="Arial"/>
      <w:color w:val="414141"/>
      <w:sz w:val="20"/>
      <w:lang w:val="en-US"/>
    </w:rPr>
  </w:style>
  <w:style w:type="paragraph" w:customStyle="1" w:styleId="TableHeading0">
    <w:name w:val="Table Heading"/>
    <w:basedOn w:val="BodyText0"/>
    <w:semiHidden/>
    <w:qFormat/>
    <w:rsid w:val="00E50D2F"/>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E50D2F"/>
    <w:pPr>
      <w:spacing w:after="0"/>
    </w:pPr>
  </w:style>
  <w:style w:type="character" w:customStyle="1" w:styleId="NoSpaceBodyTextChar">
    <w:name w:val="No Space Body Text Char"/>
    <w:basedOn w:val="BodyTextChar0"/>
    <w:link w:val="NoSpaceBodyText"/>
    <w:semiHidden/>
    <w:rsid w:val="00F403BC"/>
    <w:rPr>
      <w:rFonts w:ascii="Arial" w:eastAsia="Times New Roman" w:hAnsi="Arial" w:cs="Arial"/>
      <w:color w:val="414141"/>
      <w:sz w:val="20"/>
      <w:szCs w:val="18"/>
      <w:lang w:val="en-US"/>
    </w:rPr>
  </w:style>
  <w:style w:type="paragraph" w:customStyle="1" w:styleId="TableText0">
    <w:name w:val="Table Text"/>
    <w:basedOn w:val="BodyText0"/>
    <w:semiHidden/>
    <w:qFormat/>
    <w:rsid w:val="00E50D2F"/>
    <w:pPr>
      <w:spacing w:before="40" w:after="40"/>
    </w:pPr>
    <w:rPr>
      <w:sz w:val="18"/>
    </w:rPr>
  </w:style>
  <w:style w:type="paragraph" w:customStyle="1" w:styleId="BulletHyphen">
    <w:name w:val="Bullet Hyphen"/>
    <w:basedOn w:val="ListBullet"/>
    <w:semiHidden/>
    <w:qFormat/>
    <w:rsid w:val="00E50D2F"/>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qFormat/>
    <w:rsid w:val="00E50D2F"/>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DB76F2"/>
    <w:rPr>
      <w:rFonts w:ascii="Arial" w:hAnsi="Arial"/>
      <w:i/>
      <w:sz w:val="20"/>
    </w:rPr>
  </w:style>
  <w:style w:type="character" w:customStyle="1" w:styleId="Monospace">
    <w:name w:val="Monospace"/>
    <w:semiHidden/>
    <w:rsid w:val="00E50D2F"/>
    <w:rPr>
      <w:rFonts w:ascii="Courier New" w:hAnsi="Courier New" w:cs="Courier New"/>
    </w:rPr>
  </w:style>
  <w:style w:type="paragraph" w:customStyle="1" w:styleId="Note">
    <w:name w:val="Note"/>
    <w:basedOn w:val="Normal"/>
    <w:next w:val="Normal"/>
    <w:semiHidden/>
    <w:qFormat/>
    <w:rsid w:val="00E50D2F"/>
    <w:pPr>
      <w:tabs>
        <w:tab w:val="left" w:pos="500"/>
      </w:tabs>
      <w:spacing w:before="240" w:after="240"/>
    </w:pPr>
    <w:rPr>
      <w:rFonts w:eastAsia="Times New Roman" w:cs="Arial"/>
      <w:color w:val="000000" w:themeColor="text1"/>
      <w:szCs w:val="18"/>
    </w:rPr>
  </w:style>
  <w:style w:type="paragraph" w:customStyle="1" w:styleId="CellNote">
    <w:name w:val="CellNote"/>
    <w:basedOn w:val="Note"/>
    <w:semiHidden/>
    <w:qFormat/>
    <w:rsid w:val="00E50D2F"/>
  </w:style>
  <w:style w:type="paragraph" w:customStyle="1" w:styleId="12BeforeBodyText">
    <w:name w:val="12 Before Body Text"/>
    <w:basedOn w:val="BodyText0"/>
    <w:semiHidden/>
    <w:qFormat/>
    <w:rsid w:val="00E50D2F"/>
    <w:pPr>
      <w:spacing w:before="240" w:after="0"/>
    </w:pPr>
  </w:style>
  <w:style w:type="paragraph" w:customStyle="1" w:styleId="CellBullet">
    <w:name w:val="CellBullet"/>
    <w:basedOn w:val="Bullet"/>
    <w:next w:val="Bullet"/>
    <w:semiHidden/>
    <w:qFormat/>
    <w:rsid w:val="00E50D2F"/>
    <w:pPr>
      <w:tabs>
        <w:tab w:val="clear" w:pos="720"/>
      </w:tabs>
      <w:spacing w:before="60" w:after="60"/>
      <w:ind w:left="360"/>
    </w:pPr>
  </w:style>
  <w:style w:type="paragraph" w:customStyle="1" w:styleId="CodeSnippet">
    <w:name w:val="CodeSnippet"/>
    <w:basedOn w:val="Normal"/>
    <w:qFormat/>
    <w:rsid w:val="00DB76F2"/>
    <w:pPr>
      <w:spacing w:before="60" w:after="60"/>
    </w:pPr>
    <w:rPr>
      <w:rFonts w:ascii="Courier New" w:hAnsi="Courier New"/>
      <w:sz w:val="18"/>
    </w:rPr>
  </w:style>
  <w:style w:type="table" w:styleId="TableSubtle1">
    <w:name w:val="Table Subtle 1"/>
    <w:basedOn w:val="TableNormal"/>
    <w:semiHidden/>
    <w:rsid w:val="00E50D2F"/>
    <w:pPr>
      <w:spacing w:after="0" w:line="264" w:lineRule="atLeast"/>
    </w:pPr>
    <w:rPr>
      <w:rFonts w:ascii="Arial" w:eastAsia="Times New Roman" w:hAnsi="Arial"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pyright">
    <w:name w:val="Copyright"/>
    <w:basedOn w:val="Heading2"/>
    <w:semiHidden/>
    <w:rsid w:val="00F403BC"/>
    <w:pPr>
      <w:spacing w:before="200" w:after="100"/>
    </w:pPr>
    <w:rPr>
      <w:bCs w:val="0"/>
      <w:noProof/>
    </w:rPr>
  </w:style>
  <w:style w:type="paragraph" w:customStyle="1" w:styleId="PrefaceHeader">
    <w:name w:val="PrefaceHeader"/>
    <w:basedOn w:val="Heading2"/>
    <w:uiPriority w:val="99"/>
    <w:qFormat/>
    <w:rsid w:val="002F36D8"/>
    <w:rPr>
      <w:rFonts w:eastAsia="Times New Roman"/>
    </w:rPr>
  </w:style>
  <w:style w:type="paragraph" w:styleId="TOCHeading">
    <w:name w:val="TOC Heading"/>
    <w:basedOn w:val="Heading1"/>
    <w:next w:val="Normal"/>
    <w:uiPriority w:val="39"/>
    <w:semiHidden/>
    <w:unhideWhenUsed/>
    <w:qFormat/>
    <w:rsid w:val="00DB76F2"/>
    <w:pPr>
      <w:pageBreakBefore w:val="0"/>
      <w:spacing w:before="240" w:after="0"/>
      <w:outlineLvl w:val="9"/>
    </w:pPr>
    <w:rPr>
      <w:rFonts w:asciiTheme="majorHAnsi" w:hAnsiTheme="majorHAnsi"/>
      <w:bCs w:val="0"/>
      <w:color w:val="365F91" w:themeColor="accent1" w:themeShade="BF"/>
      <w:szCs w:val="32"/>
    </w:rPr>
  </w:style>
  <w:style w:type="paragraph" w:customStyle="1" w:styleId="CopyRightHeader">
    <w:name w:val="CopyRightHeader"/>
    <w:basedOn w:val="Normal"/>
    <w:qFormat/>
    <w:rsid w:val="00DB76F2"/>
    <w:pPr>
      <w:spacing w:before="240" w:after="360"/>
    </w:pPr>
    <w:rPr>
      <w:sz w:val="28"/>
    </w:rPr>
  </w:style>
  <w:style w:type="paragraph" w:customStyle="1" w:styleId="CopyRightText">
    <w:name w:val="CopyRightText"/>
    <w:basedOn w:val="Normal"/>
    <w:qFormat/>
    <w:rsid w:val="00DB76F2"/>
    <w:pPr>
      <w:spacing w:before="120"/>
    </w:pPr>
    <w:rPr>
      <w:sz w:val="18"/>
    </w:rPr>
  </w:style>
  <w:style w:type="paragraph" w:styleId="TOC4">
    <w:name w:val="toc 4"/>
    <w:basedOn w:val="Normal"/>
    <w:next w:val="Normal"/>
    <w:uiPriority w:val="39"/>
    <w:unhideWhenUsed/>
    <w:rsid w:val="00DB76F2"/>
    <w:pPr>
      <w:tabs>
        <w:tab w:val="right" w:leader="dot" w:pos="9016"/>
      </w:tabs>
      <w:ind w:left="720"/>
    </w:pPr>
    <w:rPr>
      <w:noProof/>
      <w:sz w:val="16"/>
    </w:rPr>
  </w:style>
  <w:style w:type="paragraph" w:customStyle="1" w:styleId="TOCHeader">
    <w:name w:val="TOCHeader"/>
    <w:basedOn w:val="Normal"/>
    <w:qFormat/>
    <w:rsid w:val="00DB76F2"/>
    <w:pPr>
      <w:spacing w:before="240" w:after="600"/>
    </w:pPr>
    <w:rPr>
      <w:caps/>
      <w:color w:val="C137A2"/>
      <w:sz w:val="36"/>
    </w:rPr>
  </w:style>
  <w:style w:type="paragraph" w:customStyle="1" w:styleId="CPDocTitle">
    <w:name w:val="CPDocTitle"/>
    <w:basedOn w:val="BodyText"/>
    <w:qFormat/>
    <w:rsid w:val="00DB76F2"/>
    <w:pPr>
      <w:ind w:left="1440" w:right="1440"/>
    </w:pPr>
    <w:rPr>
      <w:sz w:val="18"/>
    </w:rPr>
  </w:style>
  <w:style w:type="paragraph" w:customStyle="1" w:styleId="CPDocSubTitle">
    <w:name w:val="CPDocSubTitle"/>
    <w:basedOn w:val="Normal"/>
    <w:qFormat/>
    <w:rsid w:val="00DB76F2"/>
    <w:pPr>
      <w:spacing w:before="480" w:after="360"/>
      <w:ind w:left="1440" w:right="1440"/>
    </w:pPr>
    <w:rPr>
      <w:b/>
      <w:sz w:val="52"/>
    </w:rPr>
  </w:style>
  <w:style w:type="paragraph" w:customStyle="1" w:styleId="BodyTextIndent1">
    <w:name w:val="BodyTextIndent1"/>
    <w:basedOn w:val="BodyText"/>
    <w:qFormat/>
    <w:rsid w:val="00DB76F2"/>
    <w:pPr>
      <w:ind w:left="360"/>
    </w:pPr>
  </w:style>
  <w:style w:type="paragraph" w:customStyle="1" w:styleId="BodyTextIndent2">
    <w:name w:val="BodyTextIndent2"/>
    <w:basedOn w:val="BodyTextIndent1"/>
    <w:qFormat/>
    <w:rsid w:val="00DB76F2"/>
    <w:pPr>
      <w:ind w:left="720"/>
    </w:pPr>
  </w:style>
  <w:style w:type="paragraph" w:customStyle="1" w:styleId="BodyTextIndent3">
    <w:name w:val="BodyTextIndent3"/>
    <w:basedOn w:val="BodyTextIndent1"/>
    <w:qFormat/>
    <w:rsid w:val="00DB76F2"/>
    <w:pPr>
      <w:ind w:left="1080"/>
    </w:pPr>
  </w:style>
  <w:style w:type="paragraph" w:customStyle="1" w:styleId="BulletLevel1">
    <w:name w:val="BulletLevel1"/>
    <w:basedOn w:val="BodyText"/>
    <w:qFormat/>
    <w:rsid w:val="00DB76F2"/>
    <w:pPr>
      <w:numPr>
        <w:numId w:val="1"/>
      </w:numPr>
      <w:tabs>
        <w:tab w:val="left" w:pos="360"/>
      </w:tabs>
      <w:spacing w:before="60" w:after="80"/>
      <w:ind w:left="360"/>
    </w:pPr>
  </w:style>
  <w:style w:type="paragraph" w:customStyle="1" w:styleId="BulletLevel2">
    <w:name w:val="BulletLevel2"/>
    <w:basedOn w:val="BulletLevel1"/>
    <w:qFormat/>
    <w:rsid w:val="00DB76F2"/>
    <w:pPr>
      <w:numPr>
        <w:numId w:val="2"/>
      </w:numPr>
      <w:tabs>
        <w:tab w:val="clear" w:pos="360"/>
        <w:tab w:val="left" w:pos="720"/>
      </w:tabs>
      <w:ind w:left="720"/>
    </w:pPr>
  </w:style>
  <w:style w:type="paragraph" w:customStyle="1" w:styleId="BulletLevel3">
    <w:name w:val="BulletLevel3"/>
    <w:basedOn w:val="BulletLevel1"/>
    <w:qFormat/>
    <w:rsid w:val="00DB76F2"/>
    <w:pPr>
      <w:numPr>
        <w:numId w:val="3"/>
      </w:numPr>
      <w:tabs>
        <w:tab w:val="clear" w:pos="360"/>
        <w:tab w:val="left" w:pos="1080"/>
      </w:tabs>
      <w:ind w:left="1080"/>
    </w:pPr>
  </w:style>
  <w:style w:type="paragraph" w:customStyle="1" w:styleId="NumBulletLevel1">
    <w:name w:val="NumBulletLevel1"/>
    <w:basedOn w:val="BodyText"/>
    <w:qFormat/>
    <w:rsid w:val="00DB76F2"/>
    <w:pPr>
      <w:numPr>
        <w:numId w:val="4"/>
      </w:numPr>
      <w:tabs>
        <w:tab w:val="left" w:pos="360"/>
      </w:tabs>
      <w:spacing w:before="60" w:after="80"/>
      <w:ind w:left="360"/>
    </w:pPr>
  </w:style>
  <w:style w:type="paragraph" w:customStyle="1" w:styleId="NumBulletLevel2">
    <w:name w:val="NumBulletLevel2"/>
    <w:basedOn w:val="NumBulletLevel1"/>
    <w:qFormat/>
    <w:rsid w:val="00DB76F2"/>
    <w:pPr>
      <w:numPr>
        <w:numId w:val="5"/>
      </w:numPr>
      <w:tabs>
        <w:tab w:val="clear" w:pos="360"/>
        <w:tab w:val="left" w:pos="720"/>
      </w:tabs>
      <w:ind w:left="720"/>
    </w:pPr>
  </w:style>
  <w:style w:type="paragraph" w:customStyle="1" w:styleId="NumBulletLevel3">
    <w:name w:val="NumBulletLevel3"/>
    <w:basedOn w:val="NumBulletLevel1"/>
    <w:qFormat/>
    <w:rsid w:val="00DB76F2"/>
    <w:pPr>
      <w:numPr>
        <w:numId w:val="6"/>
      </w:numPr>
      <w:tabs>
        <w:tab w:val="clear" w:pos="360"/>
        <w:tab w:val="left" w:pos="1080"/>
      </w:tabs>
      <w:ind w:left="1080"/>
    </w:pPr>
  </w:style>
  <w:style w:type="paragraph" w:customStyle="1" w:styleId="ChapterTitle">
    <w:name w:val="ChapterTitle"/>
    <w:basedOn w:val="Heading1"/>
    <w:next w:val="BodyText"/>
    <w:qFormat/>
    <w:rsid w:val="00C621A5"/>
    <w:pPr>
      <w:spacing w:before="1440" w:after="1200"/>
    </w:pPr>
    <w:rPr>
      <w:bCs w:val="0"/>
      <w:spacing w:val="32"/>
      <w:sz w:val="36"/>
    </w:rPr>
  </w:style>
  <w:style w:type="paragraph" w:customStyle="1" w:styleId="XML1">
    <w:name w:val="XML1"/>
    <w:basedOn w:val="BodyText"/>
    <w:qFormat/>
    <w:rsid w:val="00DB76F2"/>
    <w:pPr>
      <w:spacing w:before="60" w:after="60"/>
    </w:pPr>
    <w:rPr>
      <w:rFonts w:ascii="Courier New" w:hAnsi="Courier New"/>
      <w:color w:val="0000CC"/>
      <w:sz w:val="18"/>
    </w:rPr>
  </w:style>
  <w:style w:type="character" w:customStyle="1" w:styleId="CodeInLine">
    <w:name w:val="CodeInLine"/>
    <w:basedOn w:val="DefaultParagraphFont"/>
    <w:uiPriority w:val="1"/>
    <w:qFormat/>
    <w:rsid w:val="00DB76F2"/>
    <w:rPr>
      <w:rFonts w:ascii="Courier New" w:hAnsi="Courier New"/>
      <w:sz w:val="18"/>
    </w:rPr>
  </w:style>
  <w:style w:type="character" w:customStyle="1" w:styleId="FileNameInLine">
    <w:name w:val="FileNameInLine"/>
    <w:basedOn w:val="DefaultParagraphFont"/>
    <w:uiPriority w:val="1"/>
    <w:qFormat/>
    <w:rsid w:val="00DB76F2"/>
    <w:rPr>
      <w:rFonts w:ascii="Courier New" w:hAnsi="Courier New"/>
      <w:color w:val="943634" w:themeColor="accent2" w:themeShade="BF"/>
      <w:sz w:val="18"/>
    </w:rPr>
  </w:style>
  <w:style w:type="character" w:customStyle="1" w:styleId="XMLValue">
    <w:name w:val="XMLValue"/>
    <w:basedOn w:val="DefaultParagraphFont"/>
    <w:uiPriority w:val="1"/>
    <w:qFormat/>
    <w:rsid w:val="00DB76F2"/>
    <w:rPr>
      <w:rFonts w:ascii="Courier New" w:hAnsi="Courier New"/>
      <w:color w:val="008000"/>
      <w:sz w:val="18"/>
    </w:rPr>
  </w:style>
  <w:style w:type="character" w:customStyle="1" w:styleId="TableTextBold">
    <w:name w:val="TableTextBold"/>
    <w:basedOn w:val="DefaultParagraphFont"/>
    <w:uiPriority w:val="1"/>
    <w:qFormat/>
    <w:rsid w:val="00DB76F2"/>
    <w:rPr>
      <w:rFonts w:ascii="Arial" w:hAnsi="Arial"/>
      <w:b/>
      <w:sz w:val="18"/>
    </w:rPr>
  </w:style>
  <w:style w:type="paragraph" w:customStyle="1" w:styleId="TableHead">
    <w:name w:val="TableHead"/>
    <w:basedOn w:val="BodyText"/>
    <w:qFormat/>
    <w:rsid w:val="00DB76F2"/>
    <w:pPr>
      <w:spacing w:before="60" w:after="80"/>
    </w:pPr>
    <w:rPr>
      <w:color w:val="FFFFFF" w:themeColor="background1"/>
      <w:sz w:val="18"/>
    </w:rPr>
  </w:style>
  <w:style w:type="paragraph" w:customStyle="1" w:styleId="TableTextIndent1">
    <w:name w:val="TableTextIndent1"/>
    <w:basedOn w:val="BodyText"/>
    <w:qFormat/>
    <w:rsid w:val="00DB76F2"/>
    <w:pPr>
      <w:spacing w:before="60" w:after="80"/>
      <w:ind w:left="360"/>
    </w:pPr>
    <w:rPr>
      <w:sz w:val="18"/>
    </w:rPr>
  </w:style>
  <w:style w:type="paragraph" w:customStyle="1" w:styleId="TableTextIndent2">
    <w:name w:val="TableTextIndent2"/>
    <w:basedOn w:val="TableText"/>
    <w:rsid w:val="00DB76F2"/>
    <w:pPr>
      <w:ind w:left="720"/>
    </w:pPr>
  </w:style>
  <w:style w:type="paragraph" w:customStyle="1" w:styleId="TableBullet1">
    <w:name w:val="TableBullet1"/>
    <w:basedOn w:val="TableText"/>
    <w:qFormat/>
    <w:rsid w:val="00DB76F2"/>
    <w:pPr>
      <w:numPr>
        <w:numId w:val="7"/>
      </w:numPr>
      <w:tabs>
        <w:tab w:val="left" w:pos="360"/>
      </w:tabs>
      <w:ind w:left="360"/>
    </w:pPr>
  </w:style>
  <w:style w:type="paragraph" w:customStyle="1" w:styleId="TableBullet2">
    <w:name w:val="TableBullet2"/>
    <w:basedOn w:val="TableBullet1"/>
    <w:qFormat/>
    <w:rsid w:val="00DB76F2"/>
    <w:pPr>
      <w:numPr>
        <w:numId w:val="8"/>
      </w:numPr>
      <w:tabs>
        <w:tab w:val="clear" w:pos="360"/>
        <w:tab w:val="left" w:pos="720"/>
      </w:tabs>
    </w:pPr>
  </w:style>
  <w:style w:type="paragraph" w:customStyle="1" w:styleId="TableNumBullet1">
    <w:name w:val="TableNumBullet1"/>
    <w:basedOn w:val="TableBullet1"/>
    <w:qFormat/>
    <w:rsid w:val="00DB76F2"/>
    <w:pPr>
      <w:numPr>
        <w:numId w:val="9"/>
      </w:numPr>
      <w:ind w:left="360"/>
    </w:pPr>
  </w:style>
  <w:style w:type="paragraph" w:customStyle="1" w:styleId="TableNumBullet2">
    <w:name w:val="TableNumBullet2"/>
    <w:basedOn w:val="TableNumBullet1"/>
    <w:rsid w:val="00DB76F2"/>
    <w:pPr>
      <w:numPr>
        <w:numId w:val="10"/>
      </w:numPr>
      <w:tabs>
        <w:tab w:val="clear" w:pos="360"/>
        <w:tab w:val="left" w:pos="720"/>
      </w:tabs>
    </w:pPr>
  </w:style>
  <w:style w:type="paragraph" w:customStyle="1" w:styleId="TableCaption">
    <w:name w:val="TableCaption"/>
    <w:basedOn w:val="BodyText"/>
    <w:qFormat/>
    <w:rsid w:val="00DB76F2"/>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DB76F2"/>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DB76F2"/>
    <w:rPr>
      <w:rFonts w:ascii="Courier New" w:hAnsi="Courier New"/>
      <w:i/>
      <w:sz w:val="18"/>
    </w:rPr>
  </w:style>
  <w:style w:type="paragraph" w:customStyle="1" w:styleId="VersionReleaseNumber">
    <w:name w:val="VersionReleaseNumber"/>
    <w:basedOn w:val="BodyText"/>
    <w:qFormat/>
    <w:rsid w:val="00DB76F2"/>
    <w:pPr>
      <w:spacing w:before="360"/>
    </w:pPr>
    <w:rPr>
      <w:sz w:val="24"/>
    </w:rPr>
  </w:style>
  <w:style w:type="character" w:customStyle="1" w:styleId="Bold">
    <w:name w:val="Bold"/>
    <w:basedOn w:val="DefaultParagraphFont"/>
    <w:uiPriority w:val="1"/>
    <w:qFormat/>
    <w:rsid w:val="00DB76F2"/>
    <w:rPr>
      <w:rFonts w:ascii="Arial" w:hAnsi="Arial"/>
      <w:b/>
      <w:color w:val="414141"/>
      <w:sz w:val="20"/>
    </w:rPr>
  </w:style>
  <w:style w:type="paragraph" w:customStyle="1" w:styleId="CodeSnippetLevel1">
    <w:name w:val="CodeSnippetLevel1"/>
    <w:basedOn w:val="CodeSnippet"/>
    <w:qFormat/>
    <w:rsid w:val="00DB76F2"/>
    <w:pPr>
      <w:ind w:left="360"/>
    </w:pPr>
  </w:style>
  <w:style w:type="paragraph" w:customStyle="1" w:styleId="CodeSnippetLevel2">
    <w:name w:val="CodeSnippetLevel2"/>
    <w:basedOn w:val="CodeSnippetLevel1"/>
    <w:qFormat/>
    <w:rsid w:val="00DB76F2"/>
    <w:pPr>
      <w:ind w:left="720"/>
    </w:pPr>
  </w:style>
  <w:style w:type="paragraph" w:customStyle="1" w:styleId="XML2">
    <w:name w:val="XML2"/>
    <w:basedOn w:val="XML1"/>
    <w:qFormat/>
    <w:rsid w:val="00DB76F2"/>
    <w:pPr>
      <w:ind w:left="360"/>
    </w:pPr>
  </w:style>
  <w:style w:type="paragraph" w:customStyle="1" w:styleId="XML3">
    <w:name w:val="XML3"/>
    <w:basedOn w:val="XML2"/>
    <w:qFormat/>
    <w:rsid w:val="00DB76F2"/>
    <w:pPr>
      <w:ind w:left="720"/>
    </w:pPr>
  </w:style>
  <w:style w:type="paragraph" w:customStyle="1" w:styleId="BodyTextFirstIndent1">
    <w:name w:val="BodyTextFirstIndent1"/>
    <w:basedOn w:val="BodyText"/>
    <w:next w:val="BodyText"/>
    <w:qFormat/>
    <w:rsid w:val="00DB76F2"/>
    <w:pPr>
      <w:spacing w:before="240"/>
      <w:ind w:left="360"/>
    </w:pPr>
  </w:style>
  <w:style w:type="paragraph" w:customStyle="1" w:styleId="ItalicCenter">
    <w:name w:val="ItalicCenter"/>
    <w:basedOn w:val="BodyText"/>
    <w:qFormat/>
    <w:rsid w:val="00DB76F2"/>
    <w:pPr>
      <w:jc w:val="center"/>
    </w:pPr>
    <w:rPr>
      <w:i/>
    </w:rPr>
  </w:style>
  <w:style w:type="character" w:customStyle="1" w:styleId="TableXML">
    <w:name w:val="TableXML"/>
    <w:basedOn w:val="DefaultParagraphFont"/>
    <w:uiPriority w:val="1"/>
    <w:qFormat/>
    <w:rsid w:val="00DB76F2"/>
    <w:rPr>
      <w:rFonts w:ascii="Courier New" w:hAnsi="Courier New"/>
      <w:color w:val="0033CC"/>
      <w:sz w:val="16"/>
    </w:rPr>
  </w:style>
  <w:style w:type="character" w:customStyle="1" w:styleId="TableTextItalic">
    <w:name w:val="TableTextItalic"/>
    <w:basedOn w:val="DefaultParagraphFont"/>
    <w:uiPriority w:val="1"/>
    <w:qFormat/>
    <w:rsid w:val="00DB76F2"/>
    <w:rPr>
      <w:i/>
    </w:rPr>
  </w:style>
  <w:style w:type="character" w:customStyle="1" w:styleId="TableFileName">
    <w:name w:val="TableFileName"/>
    <w:basedOn w:val="DefaultParagraphFont"/>
    <w:uiPriority w:val="1"/>
    <w:qFormat/>
    <w:rsid w:val="00DB76F2"/>
    <w:rPr>
      <w:rFonts w:ascii="Courier New" w:hAnsi="Courier New"/>
      <w:color w:val="943634" w:themeColor="accent2" w:themeShade="BF"/>
      <w:sz w:val="16"/>
    </w:rPr>
  </w:style>
  <w:style w:type="character" w:customStyle="1" w:styleId="TableCode">
    <w:name w:val="TableCode"/>
    <w:basedOn w:val="DefaultParagraphFont"/>
    <w:uiPriority w:val="1"/>
    <w:qFormat/>
    <w:rsid w:val="00DB76F2"/>
    <w:rPr>
      <w:rFonts w:ascii="Courier New" w:hAnsi="Courier New"/>
      <w:sz w:val="16"/>
    </w:rPr>
  </w:style>
  <w:style w:type="character" w:customStyle="1" w:styleId="TableFolderPath">
    <w:name w:val="TableFolderPath"/>
    <w:basedOn w:val="DefaultParagraphFont"/>
    <w:uiPriority w:val="1"/>
    <w:qFormat/>
    <w:rsid w:val="00DB76F2"/>
    <w:rPr>
      <w:rFonts w:ascii="Courier New" w:hAnsi="Courier New"/>
      <w:i/>
      <w:sz w:val="16"/>
    </w:rPr>
  </w:style>
  <w:style w:type="paragraph" w:customStyle="1" w:styleId="BodyTextFirstIndent2">
    <w:name w:val="BodyTextFirstIndent2"/>
    <w:basedOn w:val="BodyTextFirstIndent1"/>
    <w:next w:val="BodyText"/>
    <w:qFormat/>
    <w:rsid w:val="00DB76F2"/>
    <w:pPr>
      <w:ind w:left="720"/>
    </w:pPr>
  </w:style>
  <w:style w:type="paragraph" w:customStyle="1" w:styleId="BodyTextFirstIndent3">
    <w:name w:val="BodyTextFirstIndent3"/>
    <w:basedOn w:val="BodyTextFirstIndent1"/>
    <w:next w:val="BodyText"/>
    <w:qFormat/>
    <w:rsid w:val="00DB76F2"/>
    <w:pPr>
      <w:ind w:left="1080"/>
    </w:pPr>
  </w:style>
  <w:style w:type="paragraph" w:customStyle="1" w:styleId="Heading2TopOfPage">
    <w:name w:val="Heading 2_TopOfPage"/>
    <w:basedOn w:val="Heading2"/>
    <w:qFormat/>
    <w:rsid w:val="00DB76F2"/>
    <w:pPr>
      <w:pageBreakBefore/>
    </w:pPr>
  </w:style>
  <w:style w:type="paragraph" w:customStyle="1" w:styleId="Heading3TopOfPage">
    <w:name w:val="Heading 3_TopOfPage"/>
    <w:basedOn w:val="Heading3"/>
    <w:qFormat/>
    <w:rsid w:val="00DB76F2"/>
    <w:pPr>
      <w:pageBreakBefore/>
    </w:pPr>
  </w:style>
  <w:style w:type="paragraph" w:customStyle="1" w:styleId="Note1">
    <w:name w:val="Note1"/>
    <w:basedOn w:val="BodyText"/>
    <w:qFormat/>
    <w:rsid w:val="00DB76F2"/>
    <w:pPr>
      <w:numPr>
        <w:numId w:val="27"/>
      </w:numPr>
      <w:pBdr>
        <w:top w:val="single" w:sz="8" w:space="6" w:color="CB42AB"/>
        <w:bottom w:val="single" w:sz="8" w:space="6" w:color="CB42AB"/>
      </w:pBdr>
    </w:pPr>
  </w:style>
  <w:style w:type="paragraph" w:customStyle="1" w:styleId="Note2">
    <w:name w:val="Note2"/>
    <w:basedOn w:val="Note1"/>
    <w:qFormat/>
    <w:rsid w:val="00DB76F2"/>
    <w:pPr>
      <w:spacing w:before="120"/>
      <w:ind w:left="1080"/>
    </w:pPr>
  </w:style>
  <w:style w:type="paragraph" w:customStyle="1" w:styleId="Note3">
    <w:name w:val="Note3"/>
    <w:basedOn w:val="Note2"/>
    <w:qFormat/>
    <w:rsid w:val="00DB76F2"/>
    <w:pPr>
      <w:ind w:left="1440"/>
    </w:pPr>
  </w:style>
  <w:style w:type="paragraph" w:customStyle="1" w:styleId="TableNote">
    <w:name w:val="TableNote"/>
    <w:basedOn w:val="TableText"/>
    <w:next w:val="TableText"/>
    <w:qFormat/>
    <w:rsid w:val="00DB76F2"/>
    <w:pPr>
      <w:numPr>
        <w:numId w:val="13"/>
      </w:numPr>
      <w:spacing w:before="120" w:after="120"/>
    </w:pPr>
  </w:style>
  <w:style w:type="character" w:customStyle="1" w:styleId="HeaderItalic">
    <w:name w:val="HeaderItalic"/>
    <w:basedOn w:val="DefaultParagraphFont"/>
    <w:uiPriority w:val="1"/>
    <w:qFormat/>
    <w:rsid w:val="00DB76F2"/>
    <w:rPr>
      <w:i/>
    </w:rPr>
  </w:style>
  <w:style w:type="paragraph" w:customStyle="1" w:styleId="TableTextIndent3">
    <w:name w:val="TableTextIndent3"/>
    <w:basedOn w:val="TableTextIndent2"/>
    <w:qFormat/>
    <w:rsid w:val="00DB76F2"/>
    <w:pPr>
      <w:ind w:left="1080"/>
    </w:pPr>
  </w:style>
  <w:style w:type="paragraph" w:customStyle="1" w:styleId="TableBullet3">
    <w:name w:val="TableBullet3"/>
    <w:basedOn w:val="TableBullet2"/>
    <w:qFormat/>
    <w:rsid w:val="00DB76F2"/>
    <w:pPr>
      <w:numPr>
        <w:numId w:val="14"/>
      </w:numPr>
      <w:ind w:left="1080"/>
    </w:pPr>
  </w:style>
  <w:style w:type="paragraph" w:customStyle="1" w:styleId="TableNumBullet3">
    <w:name w:val="TableNumBullet3"/>
    <w:basedOn w:val="TableNumBullet2"/>
    <w:qFormat/>
    <w:rsid w:val="00DB76F2"/>
    <w:pPr>
      <w:numPr>
        <w:numId w:val="15"/>
      </w:numPr>
      <w:tabs>
        <w:tab w:val="clear" w:pos="720"/>
        <w:tab w:val="left" w:pos="1080"/>
      </w:tabs>
      <w:ind w:left="1080"/>
    </w:pPr>
  </w:style>
  <w:style w:type="paragraph" w:customStyle="1" w:styleId="BodyTextFirst">
    <w:name w:val="BodyTextFirst"/>
    <w:basedOn w:val="BodyText"/>
    <w:next w:val="BodyText"/>
    <w:qFormat/>
    <w:rsid w:val="00DB76F2"/>
    <w:pPr>
      <w:spacing w:before="240"/>
    </w:pPr>
  </w:style>
  <w:style w:type="paragraph" w:customStyle="1" w:styleId="ChapterTitleInHeader">
    <w:name w:val="ChapterTitleInHeader"/>
    <w:basedOn w:val="BodyText"/>
    <w:qFormat/>
    <w:rsid w:val="00DB76F2"/>
    <w:pPr>
      <w:pBdr>
        <w:bottom w:val="single" w:sz="8" w:space="10" w:color="A6A6A6" w:themeColor="background1" w:themeShade="A6"/>
      </w:pBdr>
    </w:pPr>
    <w:rPr>
      <w:i/>
      <w:sz w:val="16"/>
    </w:rPr>
  </w:style>
  <w:style w:type="paragraph" w:customStyle="1" w:styleId="DocumentCode">
    <w:name w:val="DocumentCode"/>
    <w:basedOn w:val="VersionReleaseNumber"/>
    <w:qFormat/>
    <w:rsid w:val="00DB76F2"/>
    <w:pPr>
      <w:ind w:left="1440"/>
    </w:pPr>
    <w:rPr>
      <w:sz w:val="18"/>
    </w:rPr>
  </w:style>
  <w:style w:type="character" w:customStyle="1" w:styleId="XMLID">
    <w:name w:val="XMLID"/>
    <w:basedOn w:val="DefaultParagraphFont"/>
    <w:uiPriority w:val="1"/>
    <w:qFormat/>
    <w:rsid w:val="00DB76F2"/>
    <w:rPr>
      <w:rFonts w:ascii="Courier New" w:hAnsi="Courier New"/>
      <w:color w:val="943634" w:themeColor="accent2" w:themeShade="BF"/>
      <w:sz w:val="18"/>
    </w:rPr>
  </w:style>
  <w:style w:type="paragraph" w:customStyle="1" w:styleId="Figure">
    <w:name w:val="Figure"/>
    <w:basedOn w:val="BodyText"/>
    <w:qFormat/>
    <w:rsid w:val="00DB76F2"/>
    <w:pPr>
      <w:spacing w:after="360"/>
      <w:jc w:val="center"/>
    </w:pPr>
    <w:rPr>
      <w:b/>
    </w:rPr>
  </w:style>
  <w:style w:type="character" w:customStyle="1" w:styleId="XMLComment">
    <w:name w:val="XMLComment"/>
    <w:basedOn w:val="DefaultParagraphFont"/>
    <w:uiPriority w:val="1"/>
    <w:qFormat/>
    <w:rsid w:val="00DB76F2"/>
    <w:rPr>
      <w:rFonts w:ascii="Courier New" w:hAnsi="Courier New"/>
      <w:color w:val="6E6E6E"/>
      <w:sz w:val="18"/>
    </w:rPr>
  </w:style>
  <w:style w:type="character" w:styleId="UnresolvedMention">
    <w:name w:val="Unresolved Mention"/>
    <w:basedOn w:val="DefaultParagraphFont"/>
    <w:uiPriority w:val="99"/>
    <w:semiHidden/>
    <w:unhideWhenUsed/>
    <w:rsid w:val="00DB76F2"/>
    <w:rPr>
      <w:color w:val="808080"/>
      <w:shd w:val="clear" w:color="auto" w:fill="E6E6E6"/>
    </w:rPr>
  </w:style>
  <w:style w:type="paragraph" w:styleId="Bibliography">
    <w:name w:val="Bibliography"/>
    <w:basedOn w:val="Normal"/>
    <w:next w:val="Normal"/>
    <w:uiPriority w:val="37"/>
    <w:semiHidden/>
    <w:unhideWhenUsed/>
    <w:rsid w:val="00DB76F2"/>
  </w:style>
  <w:style w:type="paragraph" w:styleId="BlockText">
    <w:name w:val="Block Text"/>
    <w:basedOn w:val="Normal"/>
    <w:uiPriority w:val="99"/>
    <w:semiHidden/>
    <w:unhideWhenUsed/>
    <w:rsid w:val="00DB76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DB76F2"/>
    <w:pPr>
      <w:spacing w:line="480" w:lineRule="auto"/>
    </w:pPr>
  </w:style>
  <w:style w:type="character" w:customStyle="1" w:styleId="BodyText2Char">
    <w:name w:val="Body Text 2 Char"/>
    <w:basedOn w:val="DefaultParagraphFont"/>
    <w:link w:val="BodyText2"/>
    <w:uiPriority w:val="99"/>
    <w:semiHidden/>
    <w:rsid w:val="00DB76F2"/>
    <w:rPr>
      <w:rFonts w:ascii="Arial" w:hAnsi="Arial"/>
      <w:color w:val="414141"/>
      <w:sz w:val="20"/>
      <w:lang w:val="en-US"/>
    </w:rPr>
  </w:style>
  <w:style w:type="paragraph" w:styleId="BodyText3">
    <w:name w:val="Body Text 3"/>
    <w:basedOn w:val="Normal"/>
    <w:link w:val="BodyText3Char"/>
    <w:uiPriority w:val="99"/>
    <w:semiHidden/>
    <w:unhideWhenUsed/>
    <w:rsid w:val="00DB76F2"/>
    <w:rPr>
      <w:sz w:val="16"/>
      <w:szCs w:val="16"/>
    </w:rPr>
  </w:style>
  <w:style w:type="character" w:customStyle="1" w:styleId="BodyText3Char">
    <w:name w:val="Body Text 3 Char"/>
    <w:basedOn w:val="DefaultParagraphFont"/>
    <w:link w:val="BodyText3"/>
    <w:uiPriority w:val="99"/>
    <w:semiHidden/>
    <w:rsid w:val="00DB76F2"/>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DB76F2"/>
    <w:pPr>
      <w:ind w:firstLine="360"/>
    </w:pPr>
  </w:style>
  <w:style w:type="character" w:customStyle="1" w:styleId="BodyTextFirstIndentChar">
    <w:name w:val="Body Text First Indent Char"/>
    <w:basedOn w:val="BodyTextChar0"/>
    <w:link w:val="BodyTextFirstIndent"/>
    <w:uiPriority w:val="99"/>
    <w:semiHidden/>
    <w:rsid w:val="00DB76F2"/>
    <w:rPr>
      <w:rFonts w:ascii="Arial" w:hAnsi="Arial"/>
      <w:color w:val="414141"/>
      <w:sz w:val="20"/>
      <w:lang w:val="en-US"/>
    </w:rPr>
  </w:style>
  <w:style w:type="paragraph" w:styleId="BodyTextIndent">
    <w:name w:val="Body Text Indent"/>
    <w:basedOn w:val="Normal"/>
    <w:link w:val="BodyTextIndentChar"/>
    <w:uiPriority w:val="99"/>
    <w:semiHidden/>
    <w:unhideWhenUsed/>
    <w:rsid w:val="00DB76F2"/>
    <w:pPr>
      <w:ind w:left="360"/>
    </w:pPr>
  </w:style>
  <w:style w:type="character" w:customStyle="1" w:styleId="BodyTextIndentChar">
    <w:name w:val="Body Text Indent Char"/>
    <w:basedOn w:val="DefaultParagraphFont"/>
    <w:link w:val="BodyTextIndent"/>
    <w:uiPriority w:val="99"/>
    <w:semiHidden/>
    <w:rsid w:val="00DB76F2"/>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DB76F2"/>
    <w:pPr>
      <w:ind w:firstLine="360"/>
    </w:pPr>
  </w:style>
  <w:style w:type="character" w:customStyle="1" w:styleId="BodyTextFirstIndent2Char">
    <w:name w:val="Body Text First Indent 2 Char"/>
    <w:basedOn w:val="BodyTextIndentChar"/>
    <w:link w:val="BodyTextFirstIndent20"/>
    <w:uiPriority w:val="99"/>
    <w:semiHidden/>
    <w:rsid w:val="00DB76F2"/>
    <w:rPr>
      <w:rFonts w:ascii="Arial" w:hAnsi="Arial"/>
      <w:color w:val="414141"/>
      <w:sz w:val="20"/>
      <w:lang w:val="en-US"/>
    </w:rPr>
  </w:style>
  <w:style w:type="paragraph" w:styleId="BodyTextIndent20">
    <w:name w:val="Body Text Indent 2"/>
    <w:basedOn w:val="Normal"/>
    <w:link w:val="BodyTextIndent2Char"/>
    <w:uiPriority w:val="99"/>
    <w:semiHidden/>
    <w:unhideWhenUsed/>
    <w:rsid w:val="00DB76F2"/>
    <w:pPr>
      <w:spacing w:line="480" w:lineRule="auto"/>
      <w:ind w:left="360"/>
    </w:pPr>
  </w:style>
  <w:style w:type="character" w:customStyle="1" w:styleId="BodyTextIndent2Char">
    <w:name w:val="Body Text Indent 2 Char"/>
    <w:basedOn w:val="DefaultParagraphFont"/>
    <w:link w:val="BodyTextIndent20"/>
    <w:uiPriority w:val="99"/>
    <w:semiHidden/>
    <w:rsid w:val="00DB76F2"/>
    <w:rPr>
      <w:rFonts w:ascii="Arial" w:hAnsi="Arial"/>
      <w:color w:val="414141"/>
      <w:sz w:val="20"/>
      <w:lang w:val="en-US"/>
    </w:rPr>
  </w:style>
  <w:style w:type="paragraph" w:styleId="BodyTextIndent30">
    <w:name w:val="Body Text Indent 3"/>
    <w:basedOn w:val="Normal"/>
    <w:link w:val="BodyTextIndent3Char"/>
    <w:uiPriority w:val="99"/>
    <w:semiHidden/>
    <w:unhideWhenUsed/>
    <w:rsid w:val="00DB76F2"/>
    <w:pPr>
      <w:ind w:left="360"/>
    </w:pPr>
    <w:rPr>
      <w:sz w:val="16"/>
      <w:szCs w:val="16"/>
    </w:rPr>
  </w:style>
  <w:style w:type="character" w:customStyle="1" w:styleId="BodyTextIndent3Char">
    <w:name w:val="Body Text Indent 3 Char"/>
    <w:basedOn w:val="DefaultParagraphFont"/>
    <w:link w:val="BodyTextIndent30"/>
    <w:uiPriority w:val="99"/>
    <w:semiHidden/>
    <w:rsid w:val="00DB76F2"/>
    <w:rPr>
      <w:rFonts w:ascii="Arial" w:hAnsi="Arial"/>
      <w:color w:val="414141"/>
      <w:sz w:val="16"/>
      <w:szCs w:val="16"/>
      <w:lang w:val="en-US"/>
    </w:rPr>
  </w:style>
  <w:style w:type="paragraph" w:styleId="Caption">
    <w:name w:val="caption"/>
    <w:basedOn w:val="Normal"/>
    <w:next w:val="Normal"/>
    <w:uiPriority w:val="35"/>
    <w:semiHidden/>
    <w:unhideWhenUsed/>
    <w:qFormat/>
    <w:rsid w:val="00DB76F2"/>
    <w:pPr>
      <w:spacing w:after="200"/>
    </w:pPr>
    <w:rPr>
      <w:i/>
      <w:iCs/>
      <w:color w:val="1F497D" w:themeColor="text2"/>
      <w:sz w:val="18"/>
      <w:szCs w:val="18"/>
    </w:rPr>
  </w:style>
  <w:style w:type="paragraph" w:styleId="Closing">
    <w:name w:val="Closing"/>
    <w:basedOn w:val="Normal"/>
    <w:link w:val="ClosingChar"/>
    <w:uiPriority w:val="99"/>
    <w:semiHidden/>
    <w:unhideWhenUsed/>
    <w:rsid w:val="00DB76F2"/>
    <w:pPr>
      <w:spacing w:after="0"/>
      <w:ind w:left="4320"/>
    </w:pPr>
  </w:style>
  <w:style w:type="character" w:customStyle="1" w:styleId="ClosingChar">
    <w:name w:val="Closing Char"/>
    <w:basedOn w:val="DefaultParagraphFont"/>
    <w:link w:val="Closing"/>
    <w:uiPriority w:val="99"/>
    <w:semiHidden/>
    <w:rsid w:val="00DB76F2"/>
    <w:rPr>
      <w:rFonts w:ascii="Arial" w:hAnsi="Arial"/>
      <w:color w:val="414141"/>
      <w:sz w:val="20"/>
      <w:lang w:val="en-US"/>
    </w:rPr>
  </w:style>
  <w:style w:type="paragraph" w:styleId="CommentText">
    <w:name w:val="annotation text"/>
    <w:basedOn w:val="Normal"/>
    <w:link w:val="CommentTextChar"/>
    <w:uiPriority w:val="99"/>
    <w:semiHidden/>
    <w:unhideWhenUsed/>
    <w:rsid w:val="00DB76F2"/>
    <w:rPr>
      <w:szCs w:val="20"/>
    </w:rPr>
  </w:style>
  <w:style w:type="character" w:customStyle="1" w:styleId="CommentTextChar">
    <w:name w:val="Comment Text Char"/>
    <w:basedOn w:val="DefaultParagraphFont"/>
    <w:link w:val="CommentText"/>
    <w:uiPriority w:val="99"/>
    <w:semiHidden/>
    <w:rsid w:val="00DB76F2"/>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DB76F2"/>
    <w:rPr>
      <w:b/>
      <w:bCs/>
    </w:rPr>
  </w:style>
  <w:style w:type="character" w:customStyle="1" w:styleId="CommentSubjectChar">
    <w:name w:val="Comment Subject Char"/>
    <w:basedOn w:val="CommentTextChar"/>
    <w:link w:val="CommentSubject"/>
    <w:uiPriority w:val="99"/>
    <w:semiHidden/>
    <w:rsid w:val="00DB76F2"/>
    <w:rPr>
      <w:rFonts w:ascii="Arial" w:hAnsi="Arial"/>
      <w:b/>
      <w:bCs/>
      <w:color w:val="414141"/>
      <w:sz w:val="20"/>
      <w:szCs w:val="20"/>
      <w:lang w:val="en-US"/>
    </w:rPr>
  </w:style>
  <w:style w:type="paragraph" w:styleId="Date">
    <w:name w:val="Date"/>
    <w:basedOn w:val="Normal"/>
    <w:next w:val="Normal"/>
    <w:link w:val="DateChar"/>
    <w:uiPriority w:val="99"/>
    <w:semiHidden/>
    <w:unhideWhenUsed/>
    <w:rsid w:val="00DB76F2"/>
  </w:style>
  <w:style w:type="character" w:customStyle="1" w:styleId="DateChar">
    <w:name w:val="Date Char"/>
    <w:basedOn w:val="DefaultParagraphFont"/>
    <w:link w:val="Date"/>
    <w:uiPriority w:val="99"/>
    <w:semiHidden/>
    <w:rsid w:val="00DB76F2"/>
    <w:rPr>
      <w:rFonts w:ascii="Arial" w:hAnsi="Arial"/>
      <w:color w:val="414141"/>
      <w:sz w:val="20"/>
      <w:lang w:val="en-US"/>
    </w:rPr>
  </w:style>
  <w:style w:type="paragraph" w:styleId="DocumentMap">
    <w:name w:val="Document Map"/>
    <w:basedOn w:val="Normal"/>
    <w:link w:val="DocumentMapChar"/>
    <w:uiPriority w:val="99"/>
    <w:semiHidden/>
    <w:unhideWhenUsed/>
    <w:rsid w:val="00DB76F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B76F2"/>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DB76F2"/>
    <w:pPr>
      <w:spacing w:after="0"/>
    </w:pPr>
  </w:style>
  <w:style w:type="character" w:customStyle="1" w:styleId="E-mailSignatureChar">
    <w:name w:val="E-mail Signature Char"/>
    <w:basedOn w:val="DefaultParagraphFont"/>
    <w:link w:val="E-mailSignature"/>
    <w:uiPriority w:val="99"/>
    <w:semiHidden/>
    <w:rsid w:val="00DB76F2"/>
    <w:rPr>
      <w:rFonts w:ascii="Arial" w:hAnsi="Arial"/>
      <w:color w:val="414141"/>
      <w:sz w:val="20"/>
      <w:lang w:val="en-US"/>
    </w:rPr>
  </w:style>
  <w:style w:type="paragraph" w:styleId="EndnoteText">
    <w:name w:val="endnote text"/>
    <w:basedOn w:val="Normal"/>
    <w:link w:val="EndnoteTextChar"/>
    <w:uiPriority w:val="99"/>
    <w:semiHidden/>
    <w:unhideWhenUsed/>
    <w:rsid w:val="00DB76F2"/>
    <w:pPr>
      <w:spacing w:after="0"/>
    </w:pPr>
    <w:rPr>
      <w:szCs w:val="20"/>
    </w:rPr>
  </w:style>
  <w:style w:type="character" w:customStyle="1" w:styleId="EndnoteTextChar">
    <w:name w:val="Endnote Text Char"/>
    <w:basedOn w:val="DefaultParagraphFont"/>
    <w:link w:val="EndnoteText"/>
    <w:uiPriority w:val="99"/>
    <w:semiHidden/>
    <w:rsid w:val="00DB76F2"/>
    <w:rPr>
      <w:rFonts w:ascii="Arial" w:hAnsi="Arial"/>
      <w:color w:val="414141"/>
      <w:sz w:val="20"/>
      <w:szCs w:val="20"/>
      <w:lang w:val="en-US"/>
    </w:rPr>
  </w:style>
  <w:style w:type="paragraph" w:styleId="EnvelopeAddress">
    <w:name w:val="envelope address"/>
    <w:basedOn w:val="Normal"/>
    <w:uiPriority w:val="99"/>
    <w:semiHidden/>
    <w:unhideWhenUsed/>
    <w:rsid w:val="00DB76F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B76F2"/>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B76F2"/>
    <w:pPr>
      <w:spacing w:after="0"/>
    </w:pPr>
    <w:rPr>
      <w:szCs w:val="20"/>
    </w:rPr>
  </w:style>
  <w:style w:type="character" w:customStyle="1" w:styleId="FootnoteTextChar">
    <w:name w:val="Footnote Text Char"/>
    <w:basedOn w:val="DefaultParagraphFont"/>
    <w:link w:val="FootnoteText"/>
    <w:uiPriority w:val="99"/>
    <w:semiHidden/>
    <w:rsid w:val="00DB76F2"/>
    <w:rPr>
      <w:rFonts w:ascii="Arial" w:hAnsi="Arial"/>
      <w:color w:val="414141"/>
      <w:sz w:val="20"/>
      <w:szCs w:val="20"/>
      <w:lang w:val="en-US"/>
    </w:rPr>
  </w:style>
  <w:style w:type="paragraph" w:styleId="HTMLAddress">
    <w:name w:val="HTML Address"/>
    <w:basedOn w:val="Normal"/>
    <w:link w:val="HTMLAddressChar"/>
    <w:uiPriority w:val="99"/>
    <w:semiHidden/>
    <w:unhideWhenUsed/>
    <w:rsid w:val="00DB76F2"/>
    <w:pPr>
      <w:spacing w:after="0"/>
    </w:pPr>
    <w:rPr>
      <w:i/>
      <w:iCs/>
    </w:rPr>
  </w:style>
  <w:style w:type="character" w:customStyle="1" w:styleId="HTMLAddressChar">
    <w:name w:val="HTML Address Char"/>
    <w:basedOn w:val="DefaultParagraphFont"/>
    <w:link w:val="HTMLAddress"/>
    <w:uiPriority w:val="99"/>
    <w:semiHidden/>
    <w:rsid w:val="00DB76F2"/>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DB76F2"/>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DB76F2"/>
    <w:rPr>
      <w:rFonts w:ascii="Consolas" w:hAnsi="Consolas"/>
      <w:color w:val="414141"/>
      <w:sz w:val="20"/>
      <w:szCs w:val="20"/>
      <w:lang w:val="en-US"/>
    </w:rPr>
  </w:style>
  <w:style w:type="paragraph" w:styleId="Index1">
    <w:name w:val="index 1"/>
    <w:basedOn w:val="Normal"/>
    <w:next w:val="Normal"/>
    <w:uiPriority w:val="99"/>
    <w:semiHidden/>
    <w:unhideWhenUsed/>
    <w:rsid w:val="00DB76F2"/>
    <w:pPr>
      <w:spacing w:after="0"/>
      <w:ind w:left="200" w:hanging="200"/>
    </w:pPr>
  </w:style>
  <w:style w:type="paragraph" w:styleId="Index2">
    <w:name w:val="index 2"/>
    <w:basedOn w:val="Normal"/>
    <w:next w:val="Normal"/>
    <w:uiPriority w:val="99"/>
    <w:semiHidden/>
    <w:unhideWhenUsed/>
    <w:rsid w:val="00DB76F2"/>
    <w:pPr>
      <w:spacing w:after="0"/>
      <w:ind w:left="400" w:hanging="200"/>
    </w:pPr>
  </w:style>
  <w:style w:type="paragraph" w:styleId="Index3">
    <w:name w:val="index 3"/>
    <w:basedOn w:val="Normal"/>
    <w:next w:val="Normal"/>
    <w:uiPriority w:val="99"/>
    <w:semiHidden/>
    <w:unhideWhenUsed/>
    <w:rsid w:val="00DB76F2"/>
    <w:pPr>
      <w:spacing w:after="0"/>
      <w:ind w:left="600" w:hanging="200"/>
    </w:pPr>
  </w:style>
  <w:style w:type="paragraph" w:styleId="Index4">
    <w:name w:val="index 4"/>
    <w:basedOn w:val="Normal"/>
    <w:next w:val="Normal"/>
    <w:uiPriority w:val="99"/>
    <w:semiHidden/>
    <w:unhideWhenUsed/>
    <w:rsid w:val="00DB76F2"/>
    <w:pPr>
      <w:spacing w:after="0"/>
      <w:ind w:left="800" w:hanging="200"/>
    </w:pPr>
  </w:style>
  <w:style w:type="paragraph" w:styleId="Index5">
    <w:name w:val="index 5"/>
    <w:basedOn w:val="Normal"/>
    <w:next w:val="Normal"/>
    <w:uiPriority w:val="99"/>
    <w:semiHidden/>
    <w:unhideWhenUsed/>
    <w:rsid w:val="00DB76F2"/>
    <w:pPr>
      <w:spacing w:after="0"/>
      <w:ind w:left="1000" w:hanging="200"/>
    </w:pPr>
  </w:style>
  <w:style w:type="paragraph" w:styleId="Index6">
    <w:name w:val="index 6"/>
    <w:basedOn w:val="Normal"/>
    <w:next w:val="Normal"/>
    <w:uiPriority w:val="99"/>
    <w:semiHidden/>
    <w:unhideWhenUsed/>
    <w:rsid w:val="00DB76F2"/>
    <w:pPr>
      <w:spacing w:after="0"/>
      <w:ind w:left="1200" w:hanging="200"/>
    </w:pPr>
  </w:style>
  <w:style w:type="paragraph" w:styleId="Index7">
    <w:name w:val="index 7"/>
    <w:basedOn w:val="Normal"/>
    <w:next w:val="Normal"/>
    <w:uiPriority w:val="99"/>
    <w:semiHidden/>
    <w:unhideWhenUsed/>
    <w:rsid w:val="00DB76F2"/>
    <w:pPr>
      <w:spacing w:after="0"/>
      <w:ind w:left="1400" w:hanging="200"/>
    </w:pPr>
  </w:style>
  <w:style w:type="paragraph" w:styleId="Index8">
    <w:name w:val="index 8"/>
    <w:basedOn w:val="Normal"/>
    <w:next w:val="Normal"/>
    <w:uiPriority w:val="99"/>
    <w:semiHidden/>
    <w:unhideWhenUsed/>
    <w:rsid w:val="00DB76F2"/>
    <w:pPr>
      <w:spacing w:after="0"/>
      <w:ind w:left="1600" w:hanging="200"/>
    </w:pPr>
  </w:style>
  <w:style w:type="paragraph" w:styleId="Index9">
    <w:name w:val="index 9"/>
    <w:basedOn w:val="Normal"/>
    <w:next w:val="Normal"/>
    <w:uiPriority w:val="99"/>
    <w:semiHidden/>
    <w:unhideWhenUsed/>
    <w:rsid w:val="00DB76F2"/>
    <w:pPr>
      <w:spacing w:after="0"/>
      <w:ind w:left="1800" w:hanging="200"/>
    </w:pPr>
  </w:style>
  <w:style w:type="paragraph" w:styleId="IndexHeading">
    <w:name w:val="index heading"/>
    <w:basedOn w:val="Normal"/>
    <w:next w:val="Index1"/>
    <w:uiPriority w:val="99"/>
    <w:semiHidden/>
    <w:unhideWhenUsed/>
    <w:rsid w:val="00DB76F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B76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B76F2"/>
    <w:rPr>
      <w:rFonts w:ascii="Arial" w:hAnsi="Arial"/>
      <w:i/>
      <w:iCs/>
      <w:color w:val="4F81BD" w:themeColor="accent1"/>
      <w:sz w:val="20"/>
      <w:lang w:val="en-US"/>
    </w:rPr>
  </w:style>
  <w:style w:type="paragraph" w:styleId="List">
    <w:name w:val="List"/>
    <w:basedOn w:val="Normal"/>
    <w:uiPriority w:val="99"/>
    <w:semiHidden/>
    <w:unhideWhenUsed/>
    <w:rsid w:val="00DB76F2"/>
    <w:pPr>
      <w:ind w:left="360" w:hanging="360"/>
      <w:contextualSpacing/>
    </w:pPr>
  </w:style>
  <w:style w:type="paragraph" w:styleId="List2">
    <w:name w:val="List 2"/>
    <w:basedOn w:val="Normal"/>
    <w:uiPriority w:val="99"/>
    <w:semiHidden/>
    <w:unhideWhenUsed/>
    <w:rsid w:val="00DB76F2"/>
    <w:pPr>
      <w:ind w:left="720" w:hanging="360"/>
      <w:contextualSpacing/>
    </w:pPr>
  </w:style>
  <w:style w:type="paragraph" w:styleId="List3">
    <w:name w:val="List 3"/>
    <w:basedOn w:val="Normal"/>
    <w:uiPriority w:val="99"/>
    <w:semiHidden/>
    <w:unhideWhenUsed/>
    <w:rsid w:val="00DB76F2"/>
    <w:pPr>
      <w:ind w:left="1080" w:hanging="360"/>
      <w:contextualSpacing/>
    </w:pPr>
  </w:style>
  <w:style w:type="paragraph" w:styleId="List4">
    <w:name w:val="List 4"/>
    <w:basedOn w:val="Normal"/>
    <w:uiPriority w:val="99"/>
    <w:semiHidden/>
    <w:unhideWhenUsed/>
    <w:rsid w:val="00DB76F2"/>
    <w:pPr>
      <w:ind w:left="1440" w:hanging="360"/>
      <w:contextualSpacing/>
    </w:pPr>
  </w:style>
  <w:style w:type="paragraph" w:styleId="List5">
    <w:name w:val="List 5"/>
    <w:basedOn w:val="Normal"/>
    <w:uiPriority w:val="99"/>
    <w:semiHidden/>
    <w:unhideWhenUsed/>
    <w:rsid w:val="00DB76F2"/>
    <w:pPr>
      <w:ind w:left="1800" w:hanging="360"/>
      <w:contextualSpacing/>
    </w:pPr>
  </w:style>
  <w:style w:type="paragraph" w:styleId="ListBullet2">
    <w:name w:val="List Bullet 2"/>
    <w:basedOn w:val="Normal"/>
    <w:uiPriority w:val="99"/>
    <w:semiHidden/>
    <w:unhideWhenUsed/>
    <w:rsid w:val="00DB76F2"/>
    <w:pPr>
      <w:numPr>
        <w:numId w:val="19"/>
      </w:numPr>
      <w:contextualSpacing/>
    </w:pPr>
  </w:style>
  <w:style w:type="paragraph" w:styleId="ListBullet3">
    <w:name w:val="List Bullet 3"/>
    <w:basedOn w:val="Normal"/>
    <w:uiPriority w:val="99"/>
    <w:semiHidden/>
    <w:unhideWhenUsed/>
    <w:rsid w:val="00DB76F2"/>
    <w:pPr>
      <w:numPr>
        <w:numId w:val="20"/>
      </w:numPr>
      <w:contextualSpacing/>
    </w:pPr>
  </w:style>
  <w:style w:type="paragraph" w:styleId="ListBullet4">
    <w:name w:val="List Bullet 4"/>
    <w:basedOn w:val="Normal"/>
    <w:uiPriority w:val="99"/>
    <w:semiHidden/>
    <w:unhideWhenUsed/>
    <w:rsid w:val="00DB76F2"/>
    <w:pPr>
      <w:numPr>
        <w:numId w:val="21"/>
      </w:numPr>
      <w:contextualSpacing/>
    </w:pPr>
  </w:style>
  <w:style w:type="paragraph" w:styleId="ListBullet5">
    <w:name w:val="List Bullet 5"/>
    <w:basedOn w:val="Normal"/>
    <w:uiPriority w:val="99"/>
    <w:semiHidden/>
    <w:unhideWhenUsed/>
    <w:rsid w:val="00DB76F2"/>
    <w:pPr>
      <w:numPr>
        <w:numId w:val="22"/>
      </w:numPr>
      <w:contextualSpacing/>
    </w:pPr>
  </w:style>
  <w:style w:type="paragraph" w:styleId="ListContinue">
    <w:name w:val="List Continue"/>
    <w:basedOn w:val="Normal"/>
    <w:uiPriority w:val="99"/>
    <w:semiHidden/>
    <w:unhideWhenUsed/>
    <w:rsid w:val="00DB76F2"/>
    <w:pPr>
      <w:ind w:left="360"/>
      <w:contextualSpacing/>
    </w:pPr>
  </w:style>
  <w:style w:type="paragraph" w:styleId="ListContinue2">
    <w:name w:val="List Continue 2"/>
    <w:basedOn w:val="Normal"/>
    <w:uiPriority w:val="99"/>
    <w:semiHidden/>
    <w:unhideWhenUsed/>
    <w:rsid w:val="00DB76F2"/>
    <w:pPr>
      <w:ind w:left="720"/>
      <w:contextualSpacing/>
    </w:pPr>
  </w:style>
  <w:style w:type="paragraph" w:styleId="ListContinue3">
    <w:name w:val="List Continue 3"/>
    <w:basedOn w:val="Normal"/>
    <w:uiPriority w:val="99"/>
    <w:semiHidden/>
    <w:unhideWhenUsed/>
    <w:rsid w:val="00DB76F2"/>
    <w:pPr>
      <w:ind w:left="1080"/>
      <w:contextualSpacing/>
    </w:pPr>
  </w:style>
  <w:style w:type="paragraph" w:styleId="ListContinue4">
    <w:name w:val="List Continue 4"/>
    <w:basedOn w:val="Normal"/>
    <w:uiPriority w:val="99"/>
    <w:semiHidden/>
    <w:unhideWhenUsed/>
    <w:rsid w:val="00DB76F2"/>
    <w:pPr>
      <w:ind w:left="1440"/>
      <w:contextualSpacing/>
    </w:pPr>
  </w:style>
  <w:style w:type="paragraph" w:styleId="ListContinue5">
    <w:name w:val="List Continue 5"/>
    <w:basedOn w:val="Normal"/>
    <w:uiPriority w:val="99"/>
    <w:semiHidden/>
    <w:unhideWhenUsed/>
    <w:rsid w:val="00DB76F2"/>
    <w:pPr>
      <w:ind w:left="1800"/>
      <w:contextualSpacing/>
    </w:pPr>
  </w:style>
  <w:style w:type="paragraph" w:styleId="ListNumber">
    <w:name w:val="List Number"/>
    <w:basedOn w:val="Normal"/>
    <w:uiPriority w:val="99"/>
    <w:semiHidden/>
    <w:unhideWhenUsed/>
    <w:rsid w:val="00DB76F2"/>
    <w:pPr>
      <w:numPr>
        <w:numId w:val="23"/>
      </w:numPr>
      <w:contextualSpacing/>
    </w:pPr>
  </w:style>
  <w:style w:type="paragraph" w:styleId="ListNumber2">
    <w:name w:val="List Number 2"/>
    <w:basedOn w:val="Normal"/>
    <w:uiPriority w:val="99"/>
    <w:semiHidden/>
    <w:unhideWhenUsed/>
    <w:rsid w:val="00DB76F2"/>
    <w:pPr>
      <w:numPr>
        <w:numId w:val="24"/>
      </w:numPr>
      <w:contextualSpacing/>
    </w:pPr>
  </w:style>
  <w:style w:type="paragraph" w:styleId="ListNumber3">
    <w:name w:val="List Number 3"/>
    <w:basedOn w:val="Normal"/>
    <w:uiPriority w:val="99"/>
    <w:semiHidden/>
    <w:unhideWhenUsed/>
    <w:rsid w:val="00DB76F2"/>
    <w:pPr>
      <w:numPr>
        <w:numId w:val="17"/>
      </w:numPr>
      <w:contextualSpacing/>
    </w:pPr>
  </w:style>
  <w:style w:type="paragraph" w:styleId="ListNumber4">
    <w:name w:val="List Number 4"/>
    <w:basedOn w:val="Normal"/>
    <w:uiPriority w:val="99"/>
    <w:semiHidden/>
    <w:unhideWhenUsed/>
    <w:rsid w:val="00DB76F2"/>
    <w:pPr>
      <w:numPr>
        <w:numId w:val="25"/>
      </w:numPr>
      <w:contextualSpacing/>
    </w:pPr>
  </w:style>
  <w:style w:type="paragraph" w:styleId="ListNumber5">
    <w:name w:val="List Number 5"/>
    <w:basedOn w:val="Normal"/>
    <w:uiPriority w:val="99"/>
    <w:semiHidden/>
    <w:unhideWhenUsed/>
    <w:rsid w:val="00DB76F2"/>
    <w:pPr>
      <w:numPr>
        <w:numId w:val="26"/>
      </w:numPr>
      <w:contextualSpacing/>
    </w:pPr>
  </w:style>
  <w:style w:type="paragraph" w:styleId="ListParagraph">
    <w:name w:val="List Paragraph"/>
    <w:basedOn w:val="Normal"/>
    <w:uiPriority w:val="34"/>
    <w:qFormat/>
    <w:rsid w:val="00DB76F2"/>
    <w:pPr>
      <w:ind w:left="720"/>
      <w:contextualSpacing/>
    </w:pPr>
  </w:style>
  <w:style w:type="paragraph" w:styleId="MacroText">
    <w:name w:val="macro"/>
    <w:link w:val="MacroTextChar"/>
    <w:uiPriority w:val="99"/>
    <w:semiHidden/>
    <w:unhideWhenUsed/>
    <w:rsid w:val="00DB76F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DB76F2"/>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DB76F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B76F2"/>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DB76F2"/>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DB76F2"/>
    <w:rPr>
      <w:rFonts w:ascii="Times New Roman" w:hAnsi="Times New Roman" w:cs="Times New Roman"/>
      <w:sz w:val="24"/>
      <w:szCs w:val="24"/>
    </w:rPr>
  </w:style>
  <w:style w:type="paragraph" w:styleId="NormalIndent">
    <w:name w:val="Normal Indent"/>
    <w:basedOn w:val="Normal"/>
    <w:uiPriority w:val="99"/>
    <w:semiHidden/>
    <w:unhideWhenUsed/>
    <w:rsid w:val="00DB76F2"/>
    <w:pPr>
      <w:ind w:left="720"/>
    </w:pPr>
  </w:style>
  <w:style w:type="paragraph" w:styleId="NoteHeading">
    <w:name w:val="Note Heading"/>
    <w:basedOn w:val="Normal"/>
    <w:next w:val="Normal"/>
    <w:link w:val="NoteHeadingChar"/>
    <w:uiPriority w:val="99"/>
    <w:semiHidden/>
    <w:unhideWhenUsed/>
    <w:rsid w:val="00DB76F2"/>
    <w:pPr>
      <w:spacing w:after="0"/>
    </w:pPr>
  </w:style>
  <w:style w:type="character" w:customStyle="1" w:styleId="NoteHeadingChar">
    <w:name w:val="Note Heading Char"/>
    <w:basedOn w:val="DefaultParagraphFont"/>
    <w:link w:val="NoteHeading"/>
    <w:uiPriority w:val="99"/>
    <w:semiHidden/>
    <w:rsid w:val="00DB76F2"/>
    <w:rPr>
      <w:rFonts w:ascii="Arial" w:hAnsi="Arial"/>
      <w:color w:val="414141"/>
      <w:sz w:val="20"/>
      <w:lang w:val="en-US"/>
    </w:rPr>
  </w:style>
  <w:style w:type="paragraph" w:styleId="PlainText">
    <w:name w:val="Plain Text"/>
    <w:basedOn w:val="Normal"/>
    <w:link w:val="PlainTextChar"/>
    <w:uiPriority w:val="99"/>
    <w:semiHidden/>
    <w:unhideWhenUsed/>
    <w:rsid w:val="00DB76F2"/>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DB76F2"/>
    <w:rPr>
      <w:rFonts w:ascii="Consolas" w:hAnsi="Consolas"/>
      <w:color w:val="414141"/>
      <w:sz w:val="21"/>
      <w:szCs w:val="21"/>
      <w:lang w:val="en-US"/>
    </w:rPr>
  </w:style>
  <w:style w:type="paragraph" w:styleId="Quote">
    <w:name w:val="Quote"/>
    <w:basedOn w:val="Normal"/>
    <w:next w:val="Normal"/>
    <w:link w:val="QuoteChar"/>
    <w:uiPriority w:val="29"/>
    <w:qFormat/>
    <w:rsid w:val="00DB76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B76F2"/>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DB76F2"/>
  </w:style>
  <w:style w:type="character" w:customStyle="1" w:styleId="SalutationChar">
    <w:name w:val="Salutation Char"/>
    <w:basedOn w:val="DefaultParagraphFont"/>
    <w:link w:val="Salutation"/>
    <w:uiPriority w:val="99"/>
    <w:semiHidden/>
    <w:rsid w:val="00DB76F2"/>
    <w:rPr>
      <w:rFonts w:ascii="Arial" w:hAnsi="Arial"/>
      <w:color w:val="414141"/>
      <w:sz w:val="20"/>
      <w:lang w:val="en-US"/>
    </w:rPr>
  </w:style>
  <w:style w:type="paragraph" w:styleId="Signature">
    <w:name w:val="Signature"/>
    <w:basedOn w:val="Normal"/>
    <w:link w:val="SignatureChar"/>
    <w:uiPriority w:val="99"/>
    <w:semiHidden/>
    <w:unhideWhenUsed/>
    <w:rsid w:val="00DB76F2"/>
    <w:pPr>
      <w:spacing w:after="0"/>
      <w:ind w:left="4320"/>
    </w:pPr>
  </w:style>
  <w:style w:type="character" w:customStyle="1" w:styleId="SignatureChar">
    <w:name w:val="Signature Char"/>
    <w:basedOn w:val="DefaultParagraphFont"/>
    <w:link w:val="Signature"/>
    <w:uiPriority w:val="99"/>
    <w:semiHidden/>
    <w:rsid w:val="00DB76F2"/>
    <w:rPr>
      <w:rFonts w:ascii="Arial" w:hAnsi="Arial"/>
      <w:color w:val="414141"/>
      <w:sz w:val="20"/>
      <w:lang w:val="en-US"/>
    </w:rPr>
  </w:style>
  <w:style w:type="paragraph" w:styleId="Subtitle">
    <w:name w:val="Subtitle"/>
    <w:basedOn w:val="Normal"/>
    <w:next w:val="Normal"/>
    <w:link w:val="SubtitleChar"/>
    <w:uiPriority w:val="11"/>
    <w:unhideWhenUsed/>
    <w:qFormat/>
    <w:rsid w:val="00DB76F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B76F2"/>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DB76F2"/>
    <w:pPr>
      <w:spacing w:after="0"/>
      <w:ind w:left="200" w:hanging="200"/>
    </w:pPr>
  </w:style>
  <w:style w:type="paragraph" w:styleId="TableofFigures">
    <w:name w:val="table of figures"/>
    <w:basedOn w:val="Normal"/>
    <w:next w:val="Normal"/>
    <w:uiPriority w:val="99"/>
    <w:semiHidden/>
    <w:unhideWhenUsed/>
    <w:rsid w:val="00DB76F2"/>
    <w:pPr>
      <w:spacing w:after="0"/>
    </w:pPr>
  </w:style>
  <w:style w:type="paragraph" w:styleId="Title">
    <w:name w:val="Title"/>
    <w:basedOn w:val="Normal"/>
    <w:next w:val="Normal"/>
    <w:link w:val="TitleChar"/>
    <w:uiPriority w:val="10"/>
    <w:qFormat/>
    <w:rsid w:val="00DB76F2"/>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76F2"/>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DB76F2"/>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semiHidden/>
    <w:unhideWhenUsed/>
    <w:rsid w:val="00DB76F2"/>
    <w:pPr>
      <w:spacing w:after="100"/>
      <w:ind w:left="800"/>
    </w:pPr>
  </w:style>
  <w:style w:type="paragraph" w:styleId="TOC6">
    <w:name w:val="toc 6"/>
    <w:basedOn w:val="Normal"/>
    <w:next w:val="Normal"/>
    <w:uiPriority w:val="39"/>
    <w:semiHidden/>
    <w:unhideWhenUsed/>
    <w:rsid w:val="00DB76F2"/>
    <w:pPr>
      <w:spacing w:after="100"/>
      <w:ind w:left="1000"/>
    </w:pPr>
  </w:style>
  <w:style w:type="paragraph" w:styleId="TOC7">
    <w:name w:val="toc 7"/>
    <w:basedOn w:val="Normal"/>
    <w:next w:val="Normal"/>
    <w:uiPriority w:val="39"/>
    <w:semiHidden/>
    <w:unhideWhenUsed/>
    <w:rsid w:val="00DB76F2"/>
    <w:pPr>
      <w:spacing w:after="100"/>
      <w:ind w:left="1200"/>
    </w:pPr>
  </w:style>
  <w:style w:type="paragraph" w:styleId="TOC8">
    <w:name w:val="toc 8"/>
    <w:basedOn w:val="Normal"/>
    <w:next w:val="Normal"/>
    <w:uiPriority w:val="39"/>
    <w:semiHidden/>
    <w:unhideWhenUsed/>
    <w:rsid w:val="00DB76F2"/>
    <w:pPr>
      <w:spacing w:after="100"/>
      <w:ind w:left="1400"/>
    </w:pPr>
  </w:style>
  <w:style w:type="paragraph" w:styleId="TOC9">
    <w:name w:val="toc 9"/>
    <w:basedOn w:val="Normal"/>
    <w:next w:val="Normal"/>
    <w:uiPriority w:val="39"/>
    <w:semiHidden/>
    <w:unhideWhenUsed/>
    <w:rsid w:val="00DB76F2"/>
    <w:pPr>
      <w:spacing w:after="100"/>
      <w:ind w:left="1600"/>
    </w:pPr>
  </w:style>
  <w:style w:type="character" w:customStyle="1" w:styleId="OldPN">
    <w:name w:val="OldPN"/>
    <w:basedOn w:val="DefaultParagraphFont"/>
    <w:uiPriority w:val="1"/>
    <w:qFormat/>
    <w:rsid w:val="00DB76F2"/>
    <w:rPr>
      <w:rFonts w:ascii="Arial" w:hAnsi="Arial"/>
      <w:b/>
      <w:i/>
      <w:sz w:val="28"/>
    </w:rPr>
  </w:style>
  <w:style w:type="paragraph" w:customStyle="1" w:styleId="ProductName">
    <w:name w:val="Product Name"/>
    <w:qFormat/>
    <w:rsid w:val="00DB76F2"/>
    <w:pPr>
      <w:tabs>
        <w:tab w:val="right" w:pos="6480"/>
      </w:tabs>
      <w:spacing w:after="120" w:line="240" w:lineRule="auto"/>
      <w:ind w:left="446" w:right="3989"/>
    </w:pPr>
    <w:rPr>
      <w:rFonts w:ascii="Arial" w:hAnsi="Arial"/>
      <w:color w:val="414141"/>
      <w:sz w:val="24"/>
      <w:szCs w:val="32"/>
      <w:lang w:val="en-US"/>
    </w:rPr>
  </w:style>
  <w:style w:type="paragraph" w:customStyle="1" w:styleId="FinastraCoverTitle">
    <w:name w:val="Finastra Cover Title"/>
    <w:autoRedefine/>
    <w:qFormat/>
    <w:rsid w:val="00C621A5"/>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C621A5"/>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BA7900"/>
    <w:pPr>
      <w:framePr w:hSpace="187" w:wrap="around" w:vAnchor="page" w:hAnchor="page" w:x="802" w:y="2734"/>
      <w:tabs>
        <w:tab w:val="left" w:pos="4020"/>
      </w:tabs>
      <w:spacing w:after="0" w:line="240" w:lineRule="auto"/>
    </w:pPr>
    <w:rPr>
      <w:rFonts w:eastAsiaTheme="minorEastAsia"/>
      <w:color w:val="FFFFFF" w:themeColor="background1"/>
      <w:sz w:val="24"/>
      <w:szCs w:val="24"/>
      <w:lang w:val="en-GB"/>
    </w:rPr>
  </w:style>
  <w:style w:type="character" w:customStyle="1" w:styleId="NoSpacingChar">
    <w:name w:val="No Spacing Char"/>
    <w:basedOn w:val="DefaultParagraphFont"/>
    <w:link w:val="NoSpacing"/>
    <w:uiPriority w:val="1"/>
    <w:rsid w:val="00C621A5"/>
    <w:rPr>
      <w:rFonts w:ascii="Arial" w:hAnsi="Arial"/>
      <w:color w:val="414141"/>
      <w:sz w:val="20"/>
      <w:lang w:val="en-US"/>
    </w:rPr>
  </w:style>
  <w:style w:type="character" w:customStyle="1" w:styleId="BodyTextChar">
    <w:name w:val="BodyText Char"/>
    <w:basedOn w:val="DefaultParagraphFont"/>
    <w:link w:val="BodyText"/>
    <w:rsid w:val="00C621A5"/>
    <w:rPr>
      <w:rFonts w:ascii="Arial" w:hAnsi="Arial"/>
      <w:color w:val="414141"/>
      <w:sz w:val="20"/>
      <w:lang w:val="en-US"/>
    </w:rPr>
  </w:style>
  <w:style w:type="paragraph" w:customStyle="1" w:styleId="FinastraTextBody">
    <w:name w:val="Finastra Text: Body"/>
    <w:basedOn w:val="BodyText0"/>
    <w:qFormat/>
    <w:rsid w:val="00CD49FA"/>
    <w:pPr>
      <w:tabs>
        <w:tab w:val="left" w:pos="3680"/>
      </w:tabs>
      <w:spacing w:after="0"/>
    </w:pPr>
    <w:rPr>
      <w:rFonts w:cstheme="majorHAnsi"/>
      <w:noProof/>
      <w:color w:val="FFFFFF" w:themeColor="background1"/>
      <w:sz w:val="16"/>
      <w:szCs w:val="20"/>
    </w:rPr>
  </w:style>
  <w:style w:type="paragraph" w:customStyle="1" w:styleId="Backcoverfooter">
    <w:name w:val="Back cover footer"/>
    <w:basedOn w:val="Normal"/>
    <w:uiPriority w:val="16"/>
    <w:qFormat/>
    <w:rsid w:val="009D32D6"/>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 w:type="paragraph" w:styleId="Revision">
    <w:name w:val="Revision"/>
    <w:hidden/>
    <w:uiPriority w:val="99"/>
    <w:semiHidden/>
    <w:rsid w:val="00BE6BDF"/>
    <w:pPr>
      <w:spacing w:after="0" w:line="240" w:lineRule="auto"/>
    </w:pPr>
    <w:rPr>
      <w:rFonts w:ascii="Arial" w:hAnsi="Arial"/>
      <w:color w:val="414141"/>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microsoft.com/office/2007/relationships/hdphoto" Target="media/hdphoto1.wdp"/><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FFB09-9066-4B4E-923E-F1A5184399BA}">
  <ds:schemaRefs>
    <ds:schemaRef ds:uri="http://purl.org/dc/dcmitype/"/>
    <ds:schemaRef ds:uri="http://www.w3.org/XML/1998/namespace"/>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a5357f7f-fcfd-4e78-8650-1861af5c3f44"/>
    <ds:schemaRef ds:uri="http://schemas.microsoft.com/office/2006/metadata/properties"/>
  </ds:schemaRefs>
</ds:datastoreItem>
</file>

<file path=customXml/itemProps2.xml><?xml version="1.0" encoding="utf-8"?>
<ds:datastoreItem xmlns:ds="http://schemas.openxmlformats.org/officeDocument/2006/customXml" ds:itemID="{2073333D-DD67-4A9A-885B-8510BB9139C2}">
  <ds:schemaRefs>
    <ds:schemaRef ds:uri="http://schemas.openxmlformats.org/officeDocument/2006/bibliography"/>
  </ds:schemaRefs>
</ds:datastoreItem>
</file>

<file path=customXml/itemProps3.xml><?xml version="1.0" encoding="utf-8"?>
<ds:datastoreItem xmlns:ds="http://schemas.openxmlformats.org/officeDocument/2006/customXml" ds:itemID="{52B93425-5BA3-44FE-BDAA-684247BC467B}">
  <ds:schemaRefs>
    <ds:schemaRef ds:uri="http://schemas.microsoft.com/sharepoint/v3/contenttype/forms"/>
  </ds:schemaRefs>
</ds:datastoreItem>
</file>

<file path=customXml/itemProps4.xml><?xml version="1.0" encoding="utf-8"?>
<ds:datastoreItem xmlns:ds="http://schemas.openxmlformats.org/officeDocument/2006/customXml" ds:itemID="{514BA2EE-6948-48AB-AE10-80D7699DA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b9b90da-3fe1-457a-b340-f1b67e1024fb}" enabled="0" method="" siteId="{0b9b90da-3fe1-457a-b340-f1b67e1024fb}" removed="1"/>
</clbl:labelList>
</file>

<file path=docProps/app.xml><?xml version="1.0" encoding="utf-8"?>
<Properties xmlns="http://schemas.openxmlformats.org/officeDocument/2006/extended-properties" xmlns:vt="http://schemas.openxmlformats.org/officeDocument/2006/docPropsVTypes">
  <Template>Finastra_UM_A4</Template>
  <TotalTime>5</TotalTime>
  <Pages>31</Pages>
  <Words>8636</Words>
  <Characters>49230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Licenses User Guide</vt:lpstr>
    </vt:vector>
  </TitlesOfParts>
  <Company>Finastra</Company>
  <LinksUpToDate>false</LinksUpToDate>
  <CharactersWithSpaces>57751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Licenses User Guide</dc:title>
  <dc:creator>Finastra Technical Publications</dc:creator>
  <cp:lastModifiedBy>Dutta, Lupamudra</cp:lastModifiedBy>
  <cp:revision>7</cp:revision>
  <cp:lastPrinted>2017-03-25T10:23:00Z</cp:lastPrinted>
  <dcterms:created xsi:type="dcterms:W3CDTF">2024-05-15T06:04:00Z</dcterms:created>
  <dcterms:modified xsi:type="dcterms:W3CDTF">2024-05-27T09:50:00Z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Licenses User Guide - Trade Innovation 2.10</vt:lpwstr>
  </property>
  <property fmtid="{D5CDD505-2E9C-101B-9397-08002B2CF9AE}" pid="4" name="ReleaseDate">
    <vt:lpwstr>May 2024</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DocumentVersion">
    <vt:lpwstr>Version 2.0</vt:lpwstr>
  </property>
  <property fmtid="{D5CDD505-2E9C-101B-9397-08002B2CF9AE}" pid="8" name="ProductVersion">
    <vt:lpwstr>2.10</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y fmtid="{D5CDD505-2E9C-101B-9397-08002B2CF9AE}" pid="12" name="MediaServiceImageTags">
    <vt:lpwstr/>
  </property>
</Properties>
</file>