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sz w:val="16"/>
          <w:szCs w:val="16"/>
        </w:rPr>
        <w:t xml:space="preserve"/>
      </w:r>
    </w:p>
    <w:p>
      <w:pPr>
        <w:shd w:fill="1F4E79" w:val="clear"/>
        <w:spacing w:after="60" w:before="100"/>
        <w:jc w:val="center"/>
      </w:pPr>
      <w:r>
        <w:rPr>
          <w:rFonts w:ascii="Arial" w:cs="Arial" w:eastAsia="Arial" w:hAnsi="Arial"/>
          <w:b/>
          <w:bCs/>
          <w:color w:val="FFFFFF"/>
          <w:sz w:val="44"/>
          <w:szCs w:val="44"/>
        </w:rPr>
        <w:t xml:space="preserve">TELECOM CUSTOMER CHURN ANALYSIS</w:t>
      </w:r>
    </w:p>
    <w:p>
      <w:pPr>
        <w:shd w:fill="1F4E79" w:val="clear"/>
        <w:spacing w:after="40" w:before="0"/>
        <w:jc w:val="center"/>
      </w:pPr>
      <w:r>
        <w:rPr>
          <w:rFonts w:ascii="Arial" w:cs="Arial" w:eastAsia="Arial" w:hAnsi="Arial"/>
          <w:i/>
          <w:iCs/>
          <w:color w:val="D6E4F0"/>
          <w:sz w:val="24"/>
          <w:szCs w:val="24"/>
        </w:rPr>
        <w:t xml:space="preserve">Executive Summary  —  Exploratory Data Analysis</w:t>
      </w:r>
    </w:p>
    <w:p>
      <w:pPr>
        <w:shd w:fill="1F4E79" w:val="clear"/>
        <w:spacing w:after="0" w:before="0"/>
        <w:jc w:val="center"/>
      </w:pPr>
      <w:r>
        <w:rPr>
          <w:rFonts w:ascii="Arial" w:cs="Arial" w:eastAsia="Arial" w:hAnsi="Arial"/>
          <w:color w:val="93B8D4"/>
          <w:sz w:val="18"/>
          <w:szCs w:val="18"/>
        </w:rPr>
        <w:t xml:space="preserve">Dataset: 7,043 customers  |  21 variables  |  Tools: Python, Pandas, Seaborn, Matplotlib</w:t>
      </w:r>
    </w:p>
    <w:p>
      <w:pPr>
        <w:shd w:fill="1F4E79" w:val="clear"/>
        <w:spacing w:after="0" w:before="60"/>
        <w:jc w:val="center"/>
      </w:pPr>
      <w:r>
        <w:rPr>
          <w:rFonts w:ascii="Arial" w:cs="Arial" w:eastAsia="Arial" w:hAnsi="Arial"/>
          <w:sz w:val="16"/>
          <w:szCs w:val="16"/>
        </w:rPr>
        <w:t xml:space="preserve"/>
      </w:r>
    </w:p>
    <w:p>
      <w:pPr>
        <w:spacing w:after="120" w:before="120"/>
      </w:pPr>
      <w:r>
        <w:t xml:space="preserve"/>
      </w:r>
    </w:p>
    <w:p>
      <w:pPr>
        <w:shd w:fill="2E75B6" w:val="clear"/>
        <w:spacing w:after="180" w:before="280"/>
        <w:ind w:left="0"/>
        <w:jc w:val="left"/>
      </w:pPr>
      <w:r>
        <w:rPr>
          <w:rFonts w:ascii="Arial" w:cs="Arial" w:eastAsia="Arial" w:hAnsi="Arial"/>
          <w:b/>
          <w:bCs/>
          <w:color w:val="D6E4F0"/>
          <w:sz w:val="22"/>
          <w:szCs w:val="22"/>
        </w:rPr>
        <w:t xml:space="preserve">  01  </w:t>
      </w:r>
      <w:r>
        <w:rPr>
          <w:rFonts w:ascii="Arial" w:cs="Arial" w:eastAsia="Arial" w:hAnsi="Arial"/>
          <w:b/>
          <w:bCs/>
          <w:color w:val="FFFFFF"/>
          <w:sz w:val="24"/>
          <w:szCs w:val="24"/>
        </w:rPr>
        <w:t xml:space="preserve">OVERVIEW</w:t>
      </w:r>
    </w:p>
    <w:p>
      <w:pPr>
        <w:spacing w:after="60" w:before="60"/>
      </w:pPr>
      <w:r>
        <w:t xml:space="preserve"/>
      </w:r>
    </w:p>
    <w:p>
      <w:pPr>
        <w:spacing w:after="80" w:before="60"/>
      </w:pPr>
      <w:r>
        <w:rPr>
          <w:rFonts w:ascii="Arial" w:cs="Arial" w:eastAsia="Arial" w:hAnsi="Arial"/>
          <w:color w:val="374151"/>
          <w:sz w:val="21"/>
          <w:szCs w:val="21"/>
        </w:rPr>
        <w:t xml:space="preserve">This report presents a comprehensive Exploratory Data Analysis (EDA) of customer churn for a telecom company. The objective is to identify the key factors driving customer attrition so that targeted retention strategies can be developed. The analysis covers demographic attributes, service subscriptions, contract types, and payment behaviours across 7,043 customer records.</w:t>
      </w:r>
    </w:p>
    <w:p>
      <w:pPr>
        <w:spacing w:after="80" w:before="80"/>
      </w:pPr>
      <w:r>
        <w:t xml:space="preserve"/>
      </w:r>
    </w:p>
    <w:p>
      <w:pPr>
        <w:pBdr>
          <w:bottom w:val="single" w:color="0D7377" w:sz="3" w:space="2"/>
        </w:pBdr>
        <w:spacing w:after="100" w:before="200"/>
      </w:pPr>
      <w:r>
        <w:rPr>
          <w:rFonts w:ascii="Arial" w:cs="Arial" w:eastAsia="Arial" w:hAnsi="Arial"/>
          <w:b/>
          <w:bCs/>
          <w:color w:val="0D7377"/>
          <w:sz w:val="22"/>
          <w:szCs w:val="22"/>
        </w:rPr>
        <w:t xml:space="preserve">Dataset At a Glance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6E4F0" w:sz="1"/>
              <w:left w:val="single" w:color="D6E4F0" w:sz="1"/>
              <w:bottom w:val="single" w:color="D6E4F0" w:sz="1"/>
              <w:right w:val="single" w:color="D6E4F0" w:sz="1"/>
            </w:tcBorders>
            <w:shd w:fill="D6E4F0" w:val="clear"/>
            <w:tcMar>
              <w:top w:type="dxa" w:w="120"/>
              <w:left w:type="dxa" w:w="100"/>
              <w:bottom w:type="dxa" w:w="100"/>
              <w:right w:type="dxa" w:w="100"/>
            </w:tcMar>
            <w:vAlign w:val="center"/>
          </w:tcPr>
          <w:p>
            <w:pPr>
              <w:spacing w:after="20" w:before="40"/>
              <w:jc w:val="center"/>
            </w:pPr>
            <w:r>
              <w:rPr>
                <w:rFonts w:ascii="Arial" w:cs="Arial" w:eastAsia="Arial" w:hAnsi="Arial"/>
                <w:b/>
                <w:bCs/>
                <w:color w:val="1F4E79"/>
                <w:sz w:val="44"/>
                <w:szCs w:val="44"/>
              </w:rPr>
              <w:t xml:space="preserve">7,043</w:t>
            </w:r>
          </w:p>
          <w:p>
            <w:pPr>
              <w:spacing w:after="10" w:before="0"/>
              <w:jc w:val="center"/>
            </w:pPr>
            <w:r>
              <w:rPr>
                <w:rFonts w:ascii="Arial" w:cs="Arial" w:eastAsia="Arial" w:hAnsi="Arial"/>
                <w:b/>
                <w:bCs/>
                <w:color w:val="374151"/>
                <w:sz w:val="18"/>
                <w:szCs w:val="18"/>
              </w:rPr>
              <w:t xml:space="preserve">Total Customers</w:t>
            </w:r>
          </w:p>
          <w:p>
            <w:pPr>
              <w:spacing w:after="40" w:before="0"/>
              <w:jc w:val="center"/>
            </w:pPr>
            <w:r>
              <w:rPr>
                <w:rFonts w:ascii="Arial" w:cs="Arial" w:eastAsia="Arial" w:hAnsi="Arial"/>
                <w:i/>
                <w:iCs/>
                <w:color w:val="6B7280"/>
                <w:sz w:val="16"/>
                <w:szCs w:val="16"/>
              </w:rPr>
              <w:t xml:space="preserve">0 duplicates / nulls</w:t>
            </w:r>
          </w:p>
        </w:tc>
        <w:tc>
          <w:tcPr>
            <w:tcW w:type="dxa" w:w="2340"/>
            <w:tcBorders>
              <w:top w:val="single" w:color="FCEAEA" w:sz="1"/>
              <w:left w:val="single" w:color="FCEAEA" w:sz="1"/>
              <w:bottom w:val="single" w:color="FCEAEA" w:sz="1"/>
              <w:right w:val="single" w:color="FCEAEA" w:sz="1"/>
            </w:tcBorders>
            <w:shd w:fill="FCEAEA" w:val="clear"/>
            <w:tcMar>
              <w:top w:type="dxa" w:w="120"/>
              <w:left w:type="dxa" w:w="100"/>
              <w:bottom w:type="dxa" w:w="100"/>
              <w:right w:type="dxa" w:w="100"/>
            </w:tcMar>
            <w:vAlign w:val="center"/>
          </w:tcPr>
          <w:p>
            <w:pPr>
              <w:spacing w:after="20" w:before="40"/>
              <w:jc w:val="center"/>
            </w:pPr>
            <w:r>
              <w:rPr>
                <w:rFonts w:ascii="Arial" w:cs="Arial" w:eastAsia="Arial" w:hAnsi="Arial"/>
                <w:b/>
                <w:bCs/>
                <w:color w:val="C0392B"/>
                <w:sz w:val="44"/>
                <w:szCs w:val="44"/>
              </w:rPr>
              <w:t xml:space="preserve">26.54%</w:t>
            </w:r>
          </w:p>
          <w:p>
            <w:pPr>
              <w:spacing w:after="10" w:before="0"/>
              <w:jc w:val="center"/>
            </w:pPr>
            <w:r>
              <w:rPr>
                <w:rFonts w:ascii="Arial" w:cs="Arial" w:eastAsia="Arial" w:hAnsi="Arial"/>
                <w:b/>
                <w:bCs/>
                <w:color w:val="374151"/>
                <w:sz w:val="18"/>
                <w:szCs w:val="18"/>
              </w:rPr>
              <w:t xml:space="preserve">Overall Churn Rate</w:t>
            </w:r>
          </w:p>
          <w:p>
            <w:pPr>
              <w:spacing w:after="40" w:before="0"/>
              <w:jc w:val="center"/>
            </w:pPr>
            <w:r>
              <w:rPr>
                <w:rFonts w:ascii="Arial" w:cs="Arial" w:eastAsia="Arial" w:hAnsi="Arial"/>
                <w:i/>
                <w:iCs/>
                <w:color w:val="6B7280"/>
                <w:sz w:val="16"/>
                <w:szCs w:val="16"/>
              </w:rPr>
              <w:t xml:space="preserve">1,869 customers lost</w:t>
            </w:r>
          </w:p>
        </w:tc>
        <w:tc>
          <w:tcPr>
            <w:tcW w:type="dxa" w:w="2340"/>
            <w:tcBorders>
              <w:top w:val="single" w:color="D5F0E3" w:sz="1"/>
              <w:left w:val="single" w:color="D5F0E3" w:sz="1"/>
              <w:bottom w:val="single" w:color="D5F0E3" w:sz="1"/>
              <w:right w:val="single" w:color="D5F0E3" w:sz="1"/>
            </w:tcBorders>
            <w:shd w:fill="D5F0E3" w:val="clear"/>
            <w:tcMar>
              <w:top w:type="dxa" w:w="120"/>
              <w:left w:type="dxa" w:w="100"/>
              <w:bottom w:type="dxa" w:w="100"/>
              <w:right w:type="dxa" w:w="100"/>
            </w:tcMar>
            <w:vAlign w:val="center"/>
          </w:tcPr>
          <w:p>
            <w:pPr>
              <w:spacing w:after="20" w:before="40"/>
              <w:jc w:val="center"/>
            </w:pPr>
            <w:r>
              <w:rPr>
                <w:rFonts w:ascii="Arial" w:cs="Arial" w:eastAsia="Arial" w:hAnsi="Arial"/>
                <w:b/>
                <w:bCs/>
                <w:color w:val="1A7A4A"/>
                <w:sz w:val="44"/>
                <w:szCs w:val="44"/>
              </w:rPr>
              <w:t xml:space="preserve">73.46%</w:t>
            </w:r>
          </w:p>
          <w:p>
            <w:pPr>
              <w:spacing w:after="10" w:before="0"/>
              <w:jc w:val="center"/>
            </w:pPr>
            <w:r>
              <w:rPr>
                <w:rFonts w:ascii="Arial" w:cs="Arial" w:eastAsia="Arial" w:hAnsi="Arial"/>
                <w:b/>
                <w:bCs/>
                <w:color w:val="374151"/>
                <w:sz w:val="18"/>
                <w:szCs w:val="18"/>
              </w:rPr>
              <w:t xml:space="preserve">Retention Rate</w:t>
            </w:r>
          </w:p>
          <w:p>
            <w:pPr>
              <w:spacing w:after="40" w:before="0"/>
              <w:jc w:val="center"/>
            </w:pPr>
            <w:r>
              <w:rPr>
                <w:rFonts w:ascii="Arial" w:cs="Arial" w:eastAsia="Arial" w:hAnsi="Arial"/>
                <w:i/>
                <w:iCs/>
                <w:color w:val="6B7280"/>
                <w:sz w:val="16"/>
                <w:szCs w:val="16"/>
              </w:rPr>
              <w:t xml:space="preserve">5,174 customers retained</w:t>
            </w:r>
          </w:p>
        </w:tc>
        <w:tc>
          <w:tcPr>
            <w:tcW w:type="dxa" w:w="2340"/>
            <w:tcBorders>
              <w:top w:val="single" w:color="FEF3CD" w:sz="1"/>
              <w:left w:val="single" w:color="FEF3CD" w:sz="1"/>
              <w:bottom w:val="single" w:color="FEF3CD" w:sz="1"/>
              <w:right w:val="single" w:color="FEF3CD" w:sz="1"/>
            </w:tcBorders>
            <w:shd w:fill="FEF3CD" w:val="clear"/>
            <w:tcMar>
              <w:top w:type="dxa" w:w="120"/>
              <w:left w:type="dxa" w:w="100"/>
              <w:bottom w:type="dxa" w:w="100"/>
              <w:right w:type="dxa" w:w="100"/>
            </w:tcMar>
            <w:vAlign w:val="center"/>
          </w:tcPr>
          <w:p>
            <w:pPr>
              <w:spacing w:after="20" w:before="40"/>
              <w:jc w:val="center"/>
            </w:pPr>
            <w:r>
              <w:rPr>
                <w:rFonts w:ascii="Arial" w:cs="Arial" w:eastAsia="Arial" w:hAnsi="Arial"/>
                <w:b/>
                <w:bCs/>
                <w:color w:val="0D7377"/>
                <w:sz w:val="44"/>
                <w:szCs w:val="44"/>
              </w:rPr>
              <w:t xml:space="preserve">21</w:t>
            </w:r>
          </w:p>
          <w:p>
            <w:pPr>
              <w:spacing w:after="10" w:before="0"/>
              <w:jc w:val="center"/>
            </w:pPr>
            <w:r>
              <w:rPr>
                <w:rFonts w:ascii="Arial" w:cs="Arial" w:eastAsia="Arial" w:hAnsi="Arial"/>
                <w:b/>
                <w:bCs/>
                <w:color w:val="374151"/>
                <w:sz w:val="18"/>
                <w:szCs w:val="18"/>
              </w:rPr>
              <w:t xml:space="preserve">Variables Tracked</w:t>
            </w:r>
          </w:p>
          <w:p>
            <w:pPr>
              <w:spacing w:after="40" w:before="0"/>
              <w:jc w:val="center"/>
            </w:pPr>
            <w:r>
              <w:rPr>
                <w:rFonts w:ascii="Arial" w:cs="Arial" w:eastAsia="Arial" w:hAnsi="Arial"/>
                <w:i/>
                <w:iCs/>
                <w:color w:val="6B7280"/>
                <w:sz w:val="16"/>
                <w:szCs w:val="16"/>
              </w:rPr>
              <w:t xml:space="preserve">Demographics + Services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2E75B6"/>
                <w:sz w:val="20"/>
                <w:szCs w:val="20"/>
              </w:rPr>
              <w:t xml:space="preserve">Key Averages</w:t>
            </w:r>
          </w:p>
          <w:p>
            <w:pPr>
              <w:spacing w:after="40" w:before="50"/>
            </w:pPr>
            <w:r>
              <w:rPr>
                <w:rFonts w:ascii="Arial" w:cs="Arial" w:eastAsia="Arial" w:hAnsi="Arial"/>
                <w:b/>
                <w:bCs/>
                <w:color w:val="374151"/>
                <w:sz w:val="20"/>
                <w:szCs w:val="20"/>
              </w:rPr>
              <w:t xml:space="preserve">Avg. Tenure: </w:t>
            </w:r>
            <w:r>
              <w:rPr>
                <w:rFonts w:ascii="Arial" w:cs="Arial" w:eastAsia="Arial" w:hAnsi="Arial"/>
                <w:color w:val="374151"/>
                <w:sz w:val="20"/>
                <w:szCs w:val="20"/>
              </w:rPr>
              <w:t xml:space="preserve">32.4 months</w:t>
            </w:r>
          </w:p>
          <w:p>
            <w:pPr>
              <w:spacing w:after="40" w:before="40"/>
            </w:pPr>
            <w:r>
              <w:rPr>
                <w:rFonts w:ascii="Arial" w:cs="Arial" w:eastAsia="Arial" w:hAnsi="Arial"/>
                <w:b/>
                <w:bCs/>
                <w:color w:val="374151"/>
                <w:sz w:val="20"/>
                <w:szCs w:val="20"/>
              </w:rPr>
              <w:t xml:space="preserve">Avg. Monthly Charges: </w:t>
            </w:r>
            <w:r>
              <w:rPr>
                <w:rFonts w:ascii="Arial" w:cs="Arial" w:eastAsia="Arial" w:hAnsi="Arial"/>
                <w:color w:val="374151"/>
                <w:sz w:val="20"/>
                <w:szCs w:val="20"/>
              </w:rPr>
              <w:t xml:space="preserve">$64.76</w:t>
            </w:r>
          </w:p>
          <w:p>
            <w:pPr>
              <w:spacing w:after="60" w:before="40"/>
            </w:pPr>
            <w:r>
              <w:rPr>
                <w:rFonts w:ascii="Arial" w:cs="Arial" w:eastAsia="Arial" w:hAnsi="Arial"/>
                <w:b/>
                <w:bCs/>
                <w:color w:val="374151"/>
                <w:sz w:val="20"/>
                <w:szCs w:val="20"/>
              </w:rPr>
              <w:t xml:space="preserve">Avg. Total Charges: </w:t>
            </w:r>
            <w:r>
              <w:rPr>
                <w:rFonts w:ascii="Arial" w:cs="Arial" w:eastAsia="Arial" w:hAnsi="Arial"/>
                <w:color w:val="374151"/>
                <w:sz w:val="20"/>
                <w:szCs w:val="20"/>
              </w:rPr>
              <w:t xml:space="preserve">$2,279.73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2E75B6"/>
                <w:sz w:val="20"/>
                <w:szCs w:val="20"/>
              </w:rPr>
              <w:t xml:space="preserve">Gender Split</w:t>
            </w:r>
          </w:p>
          <w:p>
            <w:pPr>
              <w:spacing w:after="40" w:before="50"/>
            </w:pPr>
            <w:r>
              <w:rPr>
                <w:rFonts w:ascii="Arial" w:cs="Arial" w:eastAsia="Arial" w:hAnsi="Arial"/>
                <w:b/>
                <w:bCs/>
                <w:color w:val="374151"/>
                <w:sz w:val="20"/>
                <w:szCs w:val="20"/>
              </w:rPr>
              <w:t xml:space="preserve">Male: </w:t>
            </w:r>
            <w:r>
              <w:rPr>
                <w:rFonts w:ascii="Arial" w:cs="Arial" w:eastAsia="Arial" w:hAnsi="Arial"/>
                <w:color w:val="374151"/>
                <w:sz w:val="20"/>
                <w:szCs w:val="20"/>
              </w:rPr>
              <w:t xml:space="preserve">49.5% of customers (3,488)</w:t>
            </w:r>
          </w:p>
          <w:p>
            <w:pPr>
              <w:spacing w:after="40" w:before="40"/>
            </w:pPr>
            <w:r>
              <w:rPr>
                <w:rFonts w:ascii="Arial" w:cs="Arial" w:eastAsia="Arial" w:hAnsi="Arial"/>
                <w:b/>
                <w:bCs/>
                <w:color w:val="374151"/>
                <w:sz w:val="20"/>
                <w:szCs w:val="20"/>
              </w:rPr>
              <w:t xml:space="preserve">Female: </w:t>
            </w:r>
            <w:r>
              <w:rPr>
                <w:rFonts w:ascii="Arial" w:cs="Arial" w:eastAsia="Arial" w:hAnsi="Arial"/>
                <w:color w:val="374151"/>
                <w:sz w:val="20"/>
                <w:szCs w:val="20"/>
              </w:rPr>
              <w:t xml:space="preserve">50.5% of customers (3,555)</w:t>
            </w:r>
          </w:p>
          <w:p>
            <w:pPr>
              <w:spacing w:after="60" w:before="40"/>
            </w:pPr>
            <w:r>
              <w:rPr>
                <w:rFonts w:ascii="Arial" w:cs="Arial" w:eastAsia="Arial" w:hAnsi="Arial"/>
                <w:b/>
                <w:bCs/>
                <w:color w:val="374151"/>
                <w:sz w:val="20"/>
                <w:szCs w:val="20"/>
              </w:rPr>
              <w:t xml:space="preserve">Senior Citizens: </w:t>
            </w:r>
            <w:r>
              <w:rPr>
                <w:rFonts w:ascii="Arial" w:cs="Arial" w:eastAsia="Arial" w:hAnsi="Arial"/>
                <w:color w:val="374151"/>
                <w:sz w:val="20"/>
                <w:szCs w:val="20"/>
              </w:rPr>
              <w:t xml:space="preserve">16.2% of total (1,142)</w:t>
            </w:r>
          </w:p>
        </w:tc>
      </w:tr>
    </w:tbl>
    <w:p>
      <w:pPr>
        <w:spacing w:after="100" w:before="100"/>
      </w:pPr>
      <w:r>
        <w:t xml:space="preserve"/>
      </w:r>
    </w:p>
    <w:p>
      <w:pPr>
        <w:pBdr>
          <w:bottom w:val="single" w:color="E2E8F0" w:sz="4" w:space="1"/>
        </w:pBdr>
        <w:spacing w:after="120" w:before="120"/>
      </w:pPr>
      <w:r>
        <w:t xml:space="preserve"/>
      </w:r>
    </w:p>
    <w:p>
      <w:pPr>
        <w:shd w:fill="2E75B6" w:val="clear"/>
        <w:spacing w:after="180" w:before="280"/>
        <w:ind w:left="0"/>
        <w:jc w:val="left"/>
      </w:pPr>
      <w:r>
        <w:rPr>
          <w:rFonts w:ascii="Arial" w:cs="Arial" w:eastAsia="Arial" w:hAnsi="Arial"/>
          <w:b/>
          <w:bCs/>
          <w:color w:val="D6E4F0"/>
          <w:sz w:val="22"/>
          <w:szCs w:val="22"/>
        </w:rPr>
        <w:t xml:space="preserve">  02  </w:t>
      </w:r>
      <w:r>
        <w:rPr>
          <w:rFonts w:ascii="Arial" w:cs="Arial" w:eastAsia="Arial" w:hAnsi="Arial"/>
          <w:b/>
          <w:bCs/>
          <w:color w:val="FFFFFF"/>
          <w:sz w:val="24"/>
          <w:szCs w:val="24"/>
        </w:rPr>
        <w:t xml:space="preserve">DATA PREPARATION</w:t>
      </w:r>
    </w:p>
    <w:p>
      <w:pPr>
        <w:spacing w:after="60" w:before="60"/>
      </w:pPr>
      <w:r>
        <w:t xml:space="preserve"/>
      </w:r>
    </w:p>
    <w:p>
      <w:pPr>
        <w:spacing w:after="80" w:before="60"/>
      </w:pPr>
      <w:r>
        <w:rPr>
          <w:rFonts w:ascii="Arial" w:cs="Arial" w:eastAsia="Arial" w:hAnsi="Arial"/>
          <w:color w:val="374151"/>
          <w:sz w:val="21"/>
          <w:szCs w:val="21"/>
        </w:rPr>
        <w:t xml:space="preserve">The raw dataset was cleaned and transformed using the following steps prior to analysis:</w:t>
      </w:r>
    </w:p>
    <w:p>
      <w:pPr>
        <w:spacing w:after="40" w:before="40"/>
      </w:pPr>
      <w:r>
        <w:t xml:space="preserve"/>
      </w:r>
    </w:p>
    <w:p>
      <w:pPr>
        <w:pStyle w:val="ListParagraph"/>
        <w:numPr>
          <w:ilvl w:val="0"/>
          <w:numId w:val="2"/>
        </w:numPr>
        <w:spacing w:after="60" w:before="60"/>
      </w:pPr>
      <w:r>
        <w:rPr>
          <w:rFonts w:ascii="Arial" w:cs="Arial" w:eastAsia="Arial" w:hAnsi="Arial"/>
          <w:color w:val="374151"/>
          <w:sz w:val="21"/>
          <w:szCs w:val="21"/>
        </w:rPr>
        <w:t xml:space="preserve">TotalCharges had blank values for 11 new customers (tenure = 0, no charges recorded). These were replaced with 0 and the column was cast from object to float64.</w:t>
      </w:r>
    </w:p>
    <w:p>
      <w:pPr>
        <w:pStyle w:val="ListParagraph"/>
        <w:numPr>
          <w:ilvl w:val="0"/>
          <w:numId w:val="2"/>
        </w:numPr>
        <w:spacing w:after="60" w:before="60"/>
      </w:pPr>
      <w:r>
        <w:rPr>
          <w:rFonts w:ascii="Arial" w:cs="Arial" w:eastAsia="Arial" w:hAnsi="Arial"/>
          <w:color w:val="374151"/>
          <w:sz w:val="21"/>
          <w:szCs w:val="21"/>
        </w:rPr>
        <w:t xml:space="preserve">SeniorCitizen was encoded as integers (0/1). This was converted to 'yes'/'no' labels for readability in all charts.</w:t>
      </w:r>
    </w:p>
    <w:p>
      <w:pPr>
        <w:pStyle w:val="ListParagraph"/>
        <w:numPr>
          <w:ilvl w:val="0"/>
          <w:numId w:val="2"/>
        </w:numPr>
        <w:spacing w:after="60" w:before="60"/>
      </w:pPr>
      <w:r>
        <w:rPr>
          <w:rFonts w:ascii="Arial" w:cs="Arial" w:eastAsia="Arial" w:hAnsi="Arial"/>
          <w:color w:val="374151"/>
          <w:sz w:val="21"/>
          <w:szCs w:val="21"/>
        </w:rPr>
        <w:t xml:space="preserve">No null values were found across all 21 columns — data completeness was 100%.</w:t>
      </w:r>
    </w:p>
    <w:p>
      <w:pPr>
        <w:pStyle w:val="ListParagraph"/>
        <w:numPr>
          <w:ilvl w:val="0"/>
          <w:numId w:val="2"/>
        </w:numPr>
        <w:spacing w:after="60" w:before="60"/>
      </w:pPr>
      <w:r>
        <w:rPr>
          <w:rFonts w:ascii="Arial" w:cs="Arial" w:eastAsia="Arial" w:hAnsi="Arial"/>
          <w:color w:val="374151"/>
          <w:sz w:val="21"/>
          <w:szCs w:val="21"/>
        </w:rPr>
        <w:t xml:space="preserve">Zero duplicate customerID entries confirmed a clean, unique customer-level dataset.</w:t>
      </w:r>
    </w:p>
    <w:p>
      <w:pPr>
        <w:spacing w:after="80" w:before="80"/>
      </w:pPr>
      <w:r>
        <w:t xml:space="preserve"/>
      </w:r>
    </w:p>
    <w:p>
      <w:pPr>
        <w:spacing w:after="80" w:before="60"/>
      </w:pPr>
      <w:r>
        <w:rPr>
          <w:rFonts w:ascii="Arial" w:cs="Arial" w:eastAsia="Arial" w:hAnsi="Arial"/>
          <w:color w:val="6B7280"/>
          <w:sz w:val="21"/>
          <w:szCs w:val="21"/>
        </w:rPr>
        <w:t xml:space="preserve">After cleaning, the final dataset consisted of 7,043 rows × 21 columns, with a mix of 4 numeric and 17 categorical/object-type features.</w:t>
      </w:r>
    </w:p>
    <w:p>
      <w:pPr>
        <w:spacing w:after="100" w:before="100"/>
      </w:pPr>
      <w:r>
        <w:t xml:space="preserve"/>
      </w:r>
    </w:p>
    <w:p>
      <w:pPr>
        <w:pBdr>
          <w:bottom w:val="single" w:color="E2E8F0" w:sz="4" w:space="1"/>
        </w:pBdr>
        <w:spacing w:after="120" w:before="120"/>
      </w:pPr>
      <w:r>
        <w:t xml:space="preserve"/>
      </w:r>
    </w:p>
    <w:p>
      <w:pPr>
        <w:shd w:fill="2E75B6" w:val="clear"/>
        <w:spacing w:after="180" w:before="280"/>
        <w:ind w:left="0"/>
        <w:jc w:val="left"/>
      </w:pPr>
      <w:r>
        <w:rPr>
          <w:rFonts w:ascii="Arial" w:cs="Arial" w:eastAsia="Arial" w:hAnsi="Arial"/>
          <w:b/>
          <w:bCs/>
          <w:color w:val="D6E4F0"/>
          <w:sz w:val="22"/>
          <w:szCs w:val="22"/>
        </w:rPr>
        <w:t xml:space="preserve">  03  </w:t>
      </w:r>
      <w:r>
        <w:rPr>
          <w:rFonts w:ascii="Arial" w:cs="Arial" w:eastAsia="Arial" w:hAnsi="Arial"/>
          <w:b/>
          <w:bCs/>
          <w:color w:val="FFFFFF"/>
          <w:sz w:val="24"/>
          <w:szCs w:val="24"/>
        </w:rPr>
        <w:t xml:space="preserve">KEY FINDINGS FROM ANALYSIS</w:t>
      </w:r>
    </w:p>
    <w:p>
      <w:pPr>
        <w:spacing w:after="80" w:before="80"/>
      </w:pPr>
      <w:r>
        <w:t xml:space="preserve"/>
      </w:r>
    </w:p>
    <w:p>
      <w:pPr>
        <w:pBdr>
          <w:bottom w:val="single" w:color="0D7377" w:sz="3" w:space="2"/>
        </w:pBdr>
        <w:spacing w:after="100" w:before="200"/>
      </w:pPr>
      <w:r>
        <w:rPr>
          <w:rFonts w:ascii="Arial" w:cs="Arial" w:eastAsia="Arial" w:hAnsi="Arial"/>
          <w:b/>
          <w:bCs/>
          <w:color w:val="0D7377"/>
          <w:sz w:val="22"/>
          <w:szCs w:val="22"/>
        </w:rPr>
        <w:t xml:space="preserve">3.1  Churn Overview</w:t>
      </w:r>
    </w:p>
    <w:p>
      <w:pPr>
        <w:spacing w:after="60" w:before="60"/>
      </w:pPr>
      <w:r>
        <w:t xml:space="preserve"/>
      </w:r>
    </w:p>
    <w:p>
      <w:pPr>
        <w:spacing w:after="80" w:before="60"/>
      </w:pPr>
      <w:r>
        <w:rPr>
          <w:rFonts w:ascii="Arial" w:cs="Arial" w:eastAsia="Arial" w:hAnsi="Arial"/>
          <w:color w:val="374151"/>
          <w:sz w:val="21"/>
          <w:szCs w:val="21"/>
        </w:rPr>
        <w:t xml:space="preserve">The pie chart and count plot reveal a significant churn problem. Over a quarter of the customer base has already left the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9360"/>
            <w:gridSpan w:val="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Churn Distribution (% of total customers)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bCs/>
                <w:color w:val="374151"/>
                <w:sz w:val="19"/>
                <w:szCs w:val="19"/>
              </w:rPr>
              <w:t xml:space="preserve">Retained (No Churn)</w:t>
            </w:r>
          </w:p>
        </w:tc>
        <w:tc>
          <w:tcPr>
            <w:tcW w:type="dxa" w:w="5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r>
              <w:rPr>
                <w:rFonts w:ascii="Courier New" w:cs="Courier New" w:eastAsia="Courier New" w:hAnsi="Courier New"/>
                <w:color w:val="1A7A4A"/>
                <w:sz w:val="14"/>
                <w:szCs w:val="14"/>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right"/>
            </w:pPr>
            <w:r>
              <w:rPr>
                <w:rFonts w:ascii="Arial" w:cs="Arial" w:eastAsia="Arial" w:hAnsi="Arial"/>
                <w:b/>
                <w:bCs/>
                <w:color w:val="1A7A4A"/>
                <w:sz w:val="20"/>
                <w:szCs w:val="20"/>
              </w:rPr>
              <w:t xml:space="preserve">73.46%</w:t>
            </w:r>
          </w:p>
        </w:tc>
      </w:tr>
      <w:tr>
        <w:tc>
          <w:tcPr>
            <w:tcW w:type="dxa" w:w="2600"/>
            <w:tcBorders>
              <w:top w:val="single" w:color="E2E8F0" w:sz="1"/>
              <w:left w:val="single" w:color="E2E8F0" w:sz="1"/>
              <w:bottom w:val="single" w:color="E2E8F0" w:sz="1"/>
              <w:right w:val="single" w:color="E2E8F0" w:sz="1"/>
            </w:tcBorders>
            <w:shd w:fill="FCEAEA" w:val="clear"/>
            <w:tcMar>
              <w:top w:type="dxa" w:w="80"/>
              <w:left w:type="dxa" w:w="120"/>
              <w:bottom w:type="dxa" w:w="80"/>
              <w:right w:type="dxa" w:w="80"/>
            </w:tcMar>
          </w:tcPr>
          <w:p>
            <w:r>
              <w:rPr>
                <w:rFonts w:ascii="Arial" w:cs="Arial" w:eastAsia="Arial" w:hAnsi="Arial"/>
                <w:b/>
                <w:bCs/>
                <w:color w:val="374151"/>
                <w:sz w:val="19"/>
                <w:szCs w:val="19"/>
              </w:rPr>
              <w:t xml:space="preserve">Churned (Yes)</w:t>
            </w:r>
          </w:p>
        </w:tc>
        <w:tc>
          <w:tcPr>
            <w:tcW w:type="dxa" w:w="556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r>
              <w:rPr>
                <w:rFonts w:ascii="Courier New" w:cs="Courier New" w:eastAsia="Courier New" w:hAnsi="Courier New"/>
                <w:color w:val="C0392B"/>
                <w:sz w:val="14"/>
                <w:szCs w:val="14"/>
              </w:rPr>
              <w:t xml:space="preserve">████████████████░░░░░░░░░░░░░░░░░░░░░░░░░░░░░░░░░░░░░░░░░░░░</w:t>
            </w:r>
          </w:p>
        </w:tc>
        <w:tc>
          <w:tcPr>
            <w:tcW w:type="dxa" w:w="120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pPr>
              <w:jc w:val="right"/>
            </w:pPr>
            <w:r>
              <w:rPr>
                <w:rFonts w:ascii="Arial" w:cs="Arial" w:eastAsia="Arial" w:hAnsi="Arial"/>
                <w:b/>
                <w:bCs/>
                <w:color w:val="C0392B"/>
                <w:sz w:val="20"/>
                <w:szCs w:val="20"/>
              </w:rPr>
              <w:t xml:space="preserve">26.54%</w:t>
            </w:r>
          </w:p>
        </w:tc>
      </w:tr>
    </w:tbl>
    <w:p>
      <w:pPr>
        <w:spacing w:after="80" w:before="80"/>
      </w:pPr>
      <w:r>
        <w:t xml:space="preserve"/>
      </w:r>
    </w:p>
    <w:p>
      <w:pPr>
        <w:pBdr>
          <w:bottom w:val="single" w:color="0D7377" w:sz="3" w:space="2"/>
        </w:pBdr>
        <w:spacing w:after="100" w:before="200"/>
      </w:pPr>
      <w:r>
        <w:rPr>
          <w:rFonts w:ascii="Arial" w:cs="Arial" w:eastAsia="Arial" w:hAnsi="Arial"/>
          <w:b/>
          <w:bCs/>
          <w:color w:val="0D7377"/>
          <w:sz w:val="22"/>
          <w:szCs w:val="22"/>
        </w:rPr>
        <w:t xml:space="preserve">3.2  Gender vs. Churn</w:t>
      </w:r>
    </w:p>
    <w:p>
      <w:pPr>
        <w:spacing w:after="60" w:before="60"/>
      </w:pPr>
      <w:r>
        <w:t xml:space="preserve"/>
      </w:r>
    </w:p>
    <w:p>
      <w:pPr>
        <w:spacing w:after="80" w:before="60"/>
      </w:pPr>
      <w:r>
        <w:rPr>
          <w:rFonts w:ascii="Arial" w:cs="Arial" w:eastAsia="Arial" w:hAnsi="Arial"/>
          <w:color w:val="374151"/>
          <w:sz w:val="21"/>
          <w:szCs w:val="21"/>
        </w:rPr>
        <w:t xml:space="preserve">Gender was analysed as a potential churn driver. The count plot shows nearly identical churn behaviour across both genders: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9360"/>
            <w:gridSpan w:val="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Churn Rate by Gender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bCs/>
                <w:color w:val="374151"/>
                <w:sz w:val="19"/>
                <w:szCs w:val="19"/>
              </w:rPr>
              <w:t xml:space="preserve">Male Churn Rate</w:t>
            </w:r>
          </w:p>
        </w:tc>
        <w:tc>
          <w:tcPr>
            <w:tcW w:type="dxa" w:w="5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r>
              <w:rPr>
                <w:rFonts w:ascii="Courier New" w:cs="Courier New" w:eastAsia="Courier New" w:hAnsi="Courier New"/>
                <w:color w:val="2E75B6"/>
                <w:sz w:val="14"/>
                <w:szCs w:val="14"/>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right"/>
            </w:pPr>
            <w:r>
              <w:rPr>
                <w:rFonts w:ascii="Arial" w:cs="Arial" w:eastAsia="Arial" w:hAnsi="Arial"/>
                <w:b/>
                <w:bCs/>
                <w:color w:val="2E75B6"/>
                <w:sz w:val="20"/>
                <w:szCs w:val="20"/>
              </w:rPr>
              <w:t xml:space="preserve">26.2%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bCs/>
                <w:color w:val="374151"/>
                <w:sz w:val="19"/>
                <w:szCs w:val="19"/>
              </w:rPr>
              <w:t xml:space="preserve">Female Churn Rate</w:t>
            </w:r>
          </w:p>
        </w:tc>
        <w:tc>
          <w:tcPr>
            <w:tcW w:type="dxa" w:w="5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r>
              <w:rPr>
                <w:rFonts w:ascii="Courier New" w:cs="Courier New" w:eastAsia="Courier New" w:hAnsi="Courier New"/>
                <w:color w:val="2E75B6"/>
                <w:sz w:val="14"/>
                <w:szCs w:val="14"/>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right"/>
            </w:pPr>
            <w:r>
              <w:rPr>
                <w:rFonts w:ascii="Arial" w:cs="Arial" w:eastAsia="Arial" w:hAnsi="Arial"/>
                <w:b/>
                <w:bCs/>
                <w:color w:val="2E75B6"/>
                <w:sz w:val="20"/>
                <w:szCs w:val="20"/>
              </w:rPr>
              <w:t xml:space="preserve">26.9%</w:t>
            </w:r>
          </w:p>
        </w:tc>
      </w:tr>
    </w:tbl>
    <w:p>
      <w:pPr>
        <w:spacing w:after="40" w:before="40"/>
      </w:pPr>
      <w:r>
        <w:t xml:space="preserve"/>
      </w:r>
    </w:p>
    <w:p>
      <w:pPr>
        <w:spacing w:after="80" w:before="60"/>
      </w:pPr>
      <w:r>
        <w:rPr>
          <w:rFonts w:ascii="Arial" w:cs="Arial" w:eastAsia="Arial" w:hAnsi="Arial"/>
          <w:color w:val="6B7280"/>
          <w:sz w:val="21"/>
          <w:szCs w:val="21"/>
        </w:rPr>
        <w:t xml:space="preserve">Conclusion: Gender is NOT a significant predictor of churn. Both male (26.2%) and female (26.9%) customers churn at nearly the same rate. Gender-based segmentation is not recommended for retention campaigns.</w:t>
      </w:r>
    </w:p>
    <w:p>
      <w:pPr>
        <w:spacing w:after="80" w:before="80"/>
      </w:pPr>
      <w:r>
        <w:t xml:space="preserve"/>
      </w:r>
    </w:p>
    <w:p>
      <w:pPr>
        <w:pBdr>
          <w:bottom w:val="single" w:color="0D7377" w:sz="3" w:space="2"/>
        </w:pBdr>
        <w:spacing w:after="100" w:before="200"/>
      </w:pPr>
      <w:r>
        <w:rPr>
          <w:rFonts w:ascii="Arial" w:cs="Arial" w:eastAsia="Arial" w:hAnsi="Arial"/>
          <w:b/>
          <w:bCs/>
          <w:color w:val="0D7377"/>
          <w:sz w:val="22"/>
          <w:szCs w:val="22"/>
        </w:rPr>
        <w:t xml:space="preserve">3.3  Senior Citizens vs. Churn</w:t>
      </w:r>
    </w:p>
    <w:p>
      <w:pPr>
        <w:spacing w:after="60" w:before="60"/>
      </w:pPr>
      <w:r>
        <w:t xml:space="preserve"/>
      </w:r>
    </w:p>
    <w:p>
      <w:pPr>
        <w:spacing w:after="80" w:before="60"/>
      </w:pPr>
      <w:r>
        <w:rPr>
          <w:rFonts w:ascii="Arial" w:cs="Arial" w:eastAsia="Arial" w:hAnsi="Arial"/>
          <w:color w:val="374151"/>
          <w:sz w:val="21"/>
          <w:szCs w:val="21"/>
        </w:rPr>
        <w:t xml:space="preserve">The stacked bar chart (normalized by Senior Citizen status) highlights a stark difference in churn rates: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9360"/>
            <w:gridSpan w:val="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Churn Rate by Senior Citizen Status</w:t>
            </w:r>
          </w:p>
        </w:tc>
      </w:tr>
      <w:tr>
        <w:tc>
          <w:tcPr>
            <w:tcW w:type="dxa" w:w="2600"/>
            <w:tcBorders>
              <w:top w:val="single" w:color="E2E8F0" w:sz="1"/>
              <w:left w:val="single" w:color="E2E8F0" w:sz="1"/>
              <w:bottom w:val="single" w:color="E2E8F0" w:sz="1"/>
              <w:right w:val="single" w:color="E2E8F0" w:sz="1"/>
            </w:tcBorders>
            <w:shd w:fill="FCEAEA" w:val="clear"/>
            <w:tcMar>
              <w:top w:type="dxa" w:w="80"/>
              <w:left w:type="dxa" w:w="120"/>
              <w:bottom w:type="dxa" w:w="80"/>
              <w:right w:type="dxa" w:w="80"/>
            </w:tcMar>
          </w:tcPr>
          <w:p>
            <w:r>
              <w:rPr>
                <w:rFonts w:ascii="Arial" w:cs="Arial" w:eastAsia="Arial" w:hAnsi="Arial"/>
                <w:b/>
                <w:bCs/>
                <w:color w:val="374151"/>
                <w:sz w:val="19"/>
                <w:szCs w:val="19"/>
              </w:rPr>
              <w:t xml:space="preserve">Senior Citizens (16.2% of base)</w:t>
            </w:r>
          </w:p>
        </w:tc>
        <w:tc>
          <w:tcPr>
            <w:tcW w:type="dxa" w:w="556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r>
              <w:rPr>
                <w:rFonts w:ascii="Courier New" w:cs="Courier New" w:eastAsia="Courier New" w:hAnsi="Courier New"/>
                <w:color w:val="C0392B"/>
                <w:sz w:val="14"/>
                <w:szCs w:val="14"/>
              </w:rPr>
              <w:t xml:space="preserve">█████████████████████████░░░░░░░░░░░░░░░░░░░░░░░░░░░░░░░░░░░</w:t>
            </w:r>
          </w:p>
        </w:tc>
        <w:tc>
          <w:tcPr>
            <w:tcW w:type="dxa" w:w="120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pPr>
              <w:jc w:val="right"/>
            </w:pPr>
            <w:r>
              <w:rPr>
                <w:rFonts w:ascii="Arial" w:cs="Arial" w:eastAsia="Arial" w:hAnsi="Arial"/>
                <w:b/>
                <w:bCs/>
                <w:color w:val="C0392B"/>
                <w:sz w:val="20"/>
                <w:szCs w:val="20"/>
              </w:rPr>
              <w:t xml:space="preserve">41.7%</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bCs/>
                <w:color w:val="374151"/>
                <w:sz w:val="19"/>
                <w:szCs w:val="19"/>
              </w:rPr>
              <w:t xml:space="preserve">Non-Senior Citizens (83.8% of base)</w:t>
            </w:r>
          </w:p>
        </w:tc>
        <w:tc>
          <w:tcPr>
            <w:tcW w:type="dxa" w:w="5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r>
              <w:rPr>
                <w:rFonts w:ascii="Courier New" w:cs="Courier New" w:eastAsia="Courier New" w:hAnsi="Courier New"/>
                <w:color w:val="2E75B6"/>
                <w:sz w:val="14"/>
                <w:szCs w:val="14"/>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right"/>
            </w:pPr>
            <w:r>
              <w:rPr>
                <w:rFonts w:ascii="Arial" w:cs="Arial" w:eastAsia="Arial" w:hAnsi="Arial"/>
                <w:b/>
                <w:bCs/>
                <w:color w:val="2E75B6"/>
                <w:sz w:val="20"/>
                <w:szCs w:val="20"/>
              </w:rPr>
              <w:t xml:space="preserve">23.7%</w:t>
            </w:r>
          </w:p>
        </w:tc>
      </w:tr>
    </w:tbl>
    <w:p>
      <w:pPr>
        <w:spacing w:after="40" w:before="40"/>
      </w:pPr>
      <w:r>
        <w:t xml:space="preserve"/>
      </w:r>
    </w:p>
    <w:p>
      <w:pPr>
        <w:spacing w:after="80" w:before="60"/>
      </w:pPr>
      <w:r>
        <w:rPr>
          <w:rFonts w:ascii="Arial" w:cs="Arial" w:eastAsia="Arial" w:hAnsi="Arial"/>
          <w:color w:val="6B7280"/>
          <w:sz w:val="21"/>
          <w:szCs w:val="21"/>
        </w:rPr>
        <w:t xml:space="preserve">Senior citizens churn at 41.7%, which is 75.9% higher than the 23.7% churn rate of non-senior customers. Though seniors represent only 16.2% of the customer base, their elevated churn rate makes them a high-priority retention segment.</w:t>
      </w:r>
    </w:p>
    <w:p>
      <w:pPr>
        <w:spacing w:after="80" w:before="80"/>
      </w:pPr>
      <w:r>
        <w:t xml:space="preserve"/>
      </w:r>
    </w:p>
    <w:p>
      <w:pPr>
        <w:pBdr>
          <w:bottom w:val="single" w:color="0D7377" w:sz="3" w:space="2"/>
        </w:pBdr>
        <w:spacing w:after="100" w:before="200"/>
      </w:pPr>
      <w:r>
        <w:rPr>
          <w:rFonts w:ascii="Arial" w:cs="Arial" w:eastAsia="Arial" w:hAnsi="Arial"/>
          <w:b/>
          <w:bCs/>
          <w:color w:val="0D7377"/>
          <w:sz w:val="22"/>
          <w:szCs w:val="22"/>
        </w:rPr>
        <w:t xml:space="preserve">3.4  Tenure vs. Churn</w:t>
      </w:r>
    </w:p>
    <w:p>
      <w:pPr>
        <w:spacing w:after="60" w:before="60"/>
      </w:pPr>
      <w:r>
        <w:t xml:space="preserve"/>
      </w:r>
    </w:p>
    <w:p>
      <w:pPr>
        <w:spacing w:after="80" w:before="60"/>
      </w:pPr>
      <w:r>
        <w:rPr>
          <w:rFonts w:ascii="Arial" w:cs="Arial" w:eastAsia="Arial" w:hAnsi="Arial"/>
          <w:color w:val="374151"/>
          <w:sz w:val="21"/>
          <w:szCs w:val="21"/>
        </w:rPr>
        <w:t xml:space="preserve">The histogram of tenure (0-72 months, binned monthly) shows a clear inverse relationship between customer age and churn likelihood: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9360"/>
            <w:gridSpan w:val="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Churn Rate by Tenure Bucket</w:t>
            </w:r>
          </w:p>
        </w:tc>
      </w:tr>
      <w:tr>
        <w:tc>
          <w:tcPr>
            <w:tcW w:type="dxa" w:w="2600"/>
            <w:tcBorders>
              <w:top w:val="single" w:color="E2E8F0" w:sz="1"/>
              <w:left w:val="single" w:color="E2E8F0" w:sz="1"/>
              <w:bottom w:val="single" w:color="E2E8F0" w:sz="1"/>
              <w:right w:val="single" w:color="E2E8F0" w:sz="1"/>
            </w:tcBorders>
            <w:shd w:fill="FCEAEA" w:val="clear"/>
            <w:tcMar>
              <w:top w:type="dxa" w:w="80"/>
              <w:left w:type="dxa" w:w="120"/>
              <w:bottom w:type="dxa" w:w="80"/>
              <w:right w:type="dxa" w:w="80"/>
            </w:tcMar>
          </w:tcPr>
          <w:p>
            <w:r>
              <w:rPr>
                <w:rFonts w:ascii="Arial" w:cs="Arial" w:eastAsia="Arial" w:hAnsi="Arial"/>
                <w:b/>
                <w:bCs/>
                <w:color w:val="374151"/>
                <w:sz w:val="19"/>
                <w:szCs w:val="19"/>
              </w:rPr>
              <w:t xml:space="preserve">0–12 months (Early Stage)</w:t>
            </w:r>
          </w:p>
        </w:tc>
        <w:tc>
          <w:tcPr>
            <w:tcW w:type="dxa" w:w="556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r>
              <w:rPr>
                <w:rFonts w:ascii="Courier New" w:cs="Courier New" w:eastAsia="Courier New" w:hAnsi="Courier New"/>
                <w:color w:val="C0392B"/>
                <w:sz w:val="14"/>
                <w:szCs w:val="14"/>
              </w:rPr>
              <w:t xml:space="preserve">█████████████████████████████░░░░░░░░░░░░░░░░░░░░░░░░░░░░░░░</w:t>
            </w:r>
          </w:p>
        </w:tc>
        <w:tc>
          <w:tcPr>
            <w:tcW w:type="dxa" w:w="120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pPr>
              <w:jc w:val="right"/>
            </w:pPr>
            <w:r>
              <w:rPr>
                <w:rFonts w:ascii="Arial" w:cs="Arial" w:eastAsia="Arial" w:hAnsi="Arial"/>
                <w:b/>
                <w:bCs/>
                <w:color w:val="C0392B"/>
                <w:sz w:val="20"/>
                <w:szCs w:val="20"/>
              </w:rPr>
              <w:t xml:space="preserve">47.7%</w:t>
            </w:r>
          </w:p>
        </w:tc>
      </w:tr>
      <w:tr>
        <w:tc>
          <w:tcPr>
            <w:tcW w:type="dxa" w:w="2600"/>
            <w:tcBorders>
              <w:top w:val="single" w:color="E2E8F0" w:sz="1"/>
              <w:left w:val="single" w:color="E2E8F0" w:sz="1"/>
              <w:bottom w:val="single" w:color="E2E8F0" w:sz="1"/>
              <w:right w:val="single" w:color="E2E8F0" w:sz="1"/>
            </w:tcBorders>
            <w:shd w:fill="FEF3CD" w:val="clear"/>
            <w:tcMar>
              <w:top w:type="dxa" w:w="80"/>
              <w:left w:type="dxa" w:w="120"/>
              <w:bottom w:type="dxa" w:w="80"/>
              <w:right w:type="dxa" w:w="80"/>
            </w:tcMar>
          </w:tcPr>
          <w:p>
            <w:r>
              <w:rPr>
                <w:rFonts w:ascii="Arial" w:cs="Arial" w:eastAsia="Arial" w:hAnsi="Arial"/>
                <w:b/>
                <w:bCs/>
                <w:color w:val="374151"/>
                <w:sz w:val="19"/>
                <w:szCs w:val="19"/>
              </w:rPr>
              <w:t xml:space="preserve">13–24 months</w:t>
            </w:r>
          </w:p>
        </w:tc>
        <w:tc>
          <w:tcPr>
            <w:tcW w:type="dxa" w:w="5560"/>
            <w:tcBorders>
              <w:top w:val="single" w:color="E2E8F0" w:sz="1"/>
              <w:left w:val="single" w:color="E2E8F0" w:sz="1"/>
              <w:bottom w:val="single" w:color="E2E8F0" w:sz="1"/>
              <w:right w:val="single" w:color="E2E8F0" w:sz="1"/>
            </w:tcBorders>
            <w:shd w:fill="FEF3CD" w:val="clear"/>
            <w:tcMar>
              <w:top w:type="dxa" w:w="80"/>
              <w:left w:type="dxa" w:w="80"/>
              <w:bottom w:type="dxa" w:w="80"/>
              <w:right w:type="dxa" w:w="80"/>
            </w:tcMar>
          </w:tcPr>
          <w:p>
            <w:r>
              <w:rPr>
                <w:rFonts w:ascii="Courier New" w:cs="Courier New" w:eastAsia="Courier New" w:hAnsi="Courier New"/>
                <w:color w:val="B7791F"/>
                <w:sz w:val="14"/>
                <w:szCs w:val="14"/>
              </w:rPr>
              <w:t xml:space="preserve">██████████████░░░░░░░░░░░░░░░░░░░░░░░░░░░░░░░░░░░░░░░░░░░░░░</w:t>
            </w:r>
          </w:p>
        </w:tc>
        <w:tc>
          <w:tcPr>
            <w:tcW w:type="dxa" w:w="1200"/>
            <w:tcBorders>
              <w:top w:val="single" w:color="E2E8F0" w:sz="1"/>
              <w:left w:val="single" w:color="E2E8F0" w:sz="1"/>
              <w:bottom w:val="single" w:color="E2E8F0" w:sz="1"/>
              <w:right w:val="single" w:color="E2E8F0" w:sz="1"/>
            </w:tcBorders>
            <w:shd w:fill="FEF3CD" w:val="clear"/>
            <w:tcMar>
              <w:top w:type="dxa" w:w="80"/>
              <w:left w:type="dxa" w:w="80"/>
              <w:bottom w:type="dxa" w:w="80"/>
              <w:right w:type="dxa" w:w="80"/>
            </w:tcMar>
          </w:tcPr>
          <w:p>
            <w:pPr>
              <w:jc w:val="right"/>
            </w:pPr>
            <w:r>
              <w:rPr>
                <w:rFonts w:ascii="Arial" w:cs="Arial" w:eastAsia="Arial" w:hAnsi="Arial"/>
                <w:b/>
                <w:bCs/>
                <w:color w:val="B7791F"/>
                <w:sz w:val="20"/>
                <w:szCs w:val="20"/>
              </w:rPr>
              <w:t xml:space="preserve">23.5%</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bCs/>
                <w:color w:val="374151"/>
                <w:sz w:val="19"/>
                <w:szCs w:val="19"/>
              </w:rPr>
              <w:t xml:space="preserve">25–48 months</w:t>
            </w:r>
          </w:p>
        </w:tc>
        <w:tc>
          <w:tcPr>
            <w:tcW w:type="dxa" w:w="5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r>
              <w:rPr>
                <w:rFonts w:ascii="Courier New" w:cs="Courier New" w:eastAsia="Courier New" w:hAnsi="Courier New"/>
                <w:color w:val="2E75B6"/>
                <w:sz w:val="14"/>
                <w:szCs w:val="14"/>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right"/>
            </w:pPr>
            <w:r>
              <w:rPr>
                <w:rFonts w:ascii="Arial" w:cs="Arial" w:eastAsia="Arial" w:hAnsi="Arial"/>
                <w:b/>
                <w:bCs/>
                <w:color w:val="2E75B6"/>
                <w:sz w:val="20"/>
                <w:szCs w:val="20"/>
              </w:rPr>
              <w:t xml:space="preserve">15%</w:t>
            </w:r>
          </w:p>
        </w:tc>
      </w:tr>
      <w:tr>
        <w:tc>
          <w:tcPr>
            <w:tcW w:type="dxa" w:w="2600"/>
            <w:tcBorders>
              <w:top w:val="single" w:color="E2E8F0" w:sz="1"/>
              <w:left w:val="single" w:color="E2E8F0" w:sz="1"/>
              <w:bottom w:val="single" w:color="E2E8F0" w:sz="1"/>
              <w:right w:val="single" w:color="E2E8F0" w:sz="1"/>
            </w:tcBorders>
            <w:shd w:fill="D5F0E3" w:val="clear"/>
            <w:tcMar>
              <w:top w:type="dxa" w:w="80"/>
              <w:left w:type="dxa" w:w="120"/>
              <w:bottom w:type="dxa" w:w="80"/>
              <w:right w:type="dxa" w:w="80"/>
            </w:tcMar>
          </w:tcPr>
          <w:p>
            <w:r>
              <w:rPr>
                <w:rFonts w:ascii="Arial" w:cs="Arial" w:eastAsia="Arial" w:hAnsi="Arial"/>
                <w:b/>
                <w:bCs/>
                <w:color w:val="374151"/>
                <w:sz w:val="19"/>
                <w:szCs w:val="19"/>
              </w:rPr>
              <w:t xml:space="preserve">49–72 months (Long-Term)</w:t>
            </w:r>
          </w:p>
        </w:tc>
        <w:tc>
          <w:tcPr>
            <w:tcW w:type="dxa" w:w="5560"/>
            <w:tcBorders>
              <w:top w:val="single" w:color="E2E8F0" w:sz="1"/>
              <w:left w:val="single" w:color="E2E8F0" w:sz="1"/>
              <w:bottom w:val="single" w:color="E2E8F0" w:sz="1"/>
              <w:right w:val="single" w:color="E2E8F0" w:sz="1"/>
            </w:tcBorders>
            <w:shd w:fill="D5F0E3" w:val="clear"/>
            <w:tcMar>
              <w:top w:type="dxa" w:w="80"/>
              <w:left w:type="dxa" w:w="80"/>
              <w:bottom w:type="dxa" w:w="80"/>
              <w:right w:type="dxa" w:w="80"/>
            </w:tcMar>
          </w:tcPr>
          <w:p>
            <w:r>
              <w:rPr>
                <w:rFonts w:ascii="Courier New" w:cs="Courier New" w:eastAsia="Courier New" w:hAnsi="Courier New"/>
                <w:color w:val="1A7A4A"/>
                <w:sz w:val="14"/>
                <w:szCs w:val="14"/>
              </w:rPr>
              <w:t xml:space="preserve">██████░░░░░░░░░░░░░░░░░░░░░░░░░░░░░░░░░░░░░░░░░░░░░░░░░░░░░░</w:t>
            </w:r>
          </w:p>
        </w:tc>
        <w:tc>
          <w:tcPr>
            <w:tcW w:type="dxa" w:w="1200"/>
            <w:tcBorders>
              <w:top w:val="single" w:color="E2E8F0" w:sz="1"/>
              <w:left w:val="single" w:color="E2E8F0" w:sz="1"/>
              <w:bottom w:val="single" w:color="E2E8F0" w:sz="1"/>
              <w:right w:val="single" w:color="E2E8F0" w:sz="1"/>
            </w:tcBorders>
            <w:shd w:fill="D5F0E3" w:val="clear"/>
            <w:tcMar>
              <w:top w:type="dxa" w:w="80"/>
              <w:left w:type="dxa" w:w="80"/>
              <w:bottom w:type="dxa" w:w="80"/>
              <w:right w:type="dxa" w:w="80"/>
            </w:tcMar>
          </w:tcPr>
          <w:p>
            <w:pPr>
              <w:jc w:val="right"/>
            </w:pPr>
            <w:r>
              <w:rPr>
                <w:rFonts w:ascii="Arial" w:cs="Arial" w:eastAsia="Arial" w:hAnsi="Arial"/>
                <w:b/>
                <w:bCs/>
                <w:color w:val="1A7A4A"/>
                <w:sz w:val="20"/>
                <w:szCs w:val="20"/>
              </w:rPr>
              <w:t xml:space="preserve">9.5%</w:t>
            </w:r>
          </w:p>
        </w:tc>
      </w:tr>
    </w:tbl>
    <w:p>
      <w:pPr>
        <w:spacing w:after="40" w:before="40"/>
      </w:pPr>
      <w:r>
        <w:t xml:space="preserve"/>
      </w:r>
    </w:p>
    <w:p>
      <w:pPr>
        <w:spacing w:after="80" w:before="60"/>
      </w:pPr>
      <w:r>
        <w:rPr>
          <w:rFonts w:ascii="Arial" w:cs="Arial" w:eastAsia="Arial" w:hAnsi="Arial"/>
          <w:color w:val="6B7280"/>
          <w:sz w:val="21"/>
          <w:szCs w:val="21"/>
        </w:rPr>
        <w:t xml:space="preserve">Customers in their first year churn at a rate of 47.7% — nearly 5x higher than long-term customers (49-72 months, 9.5%). This strongly suggests that the critical retention window is the first 12 months of a customer relationship.</w:t>
      </w:r>
    </w:p>
    <w:p>
      <w:pPr>
        <w:spacing w:after="80" w:before="80"/>
      </w:pPr>
      <w:r>
        <w:t xml:space="preserve"/>
      </w:r>
    </w:p>
    <w:p>
      <w:pPr>
        <w:pBdr>
          <w:bottom w:val="single" w:color="0D7377" w:sz="3" w:space="2"/>
        </w:pBdr>
        <w:spacing w:after="100" w:before="200"/>
      </w:pPr>
      <w:r>
        <w:rPr>
          <w:rFonts w:ascii="Arial" w:cs="Arial" w:eastAsia="Arial" w:hAnsi="Arial"/>
          <w:b/>
          <w:bCs/>
          <w:color w:val="0D7377"/>
          <w:sz w:val="22"/>
          <w:szCs w:val="22"/>
        </w:rPr>
        <w:t xml:space="preserve">3.5  Contract Type vs. Churn</w:t>
      </w:r>
    </w:p>
    <w:p>
      <w:pPr>
        <w:spacing w:after="60" w:before="60"/>
      </w:pPr>
      <w:r>
        <w:t xml:space="preserve"/>
      </w:r>
    </w:p>
    <w:p>
      <w:pPr>
        <w:spacing w:after="80" w:before="60"/>
      </w:pPr>
      <w:r>
        <w:rPr>
          <w:rFonts w:ascii="Arial" w:cs="Arial" w:eastAsia="Arial" w:hAnsi="Arial"/>
          <w:color w:val="374151"/>
          <w:sz w:val="21"/>
          <w:szCs w:val="21"/>
        </w:rPr>
        <w:t xml:space="preserve">Contract type is one of the strongest predictors of churn identified in this analysis. The count plot broken down by contract type reveals: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9360"/>
            <w:gridSpan w:val="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Churn Rate by Contract Type</w:t>
            </w:r>
          </w:p>
        </w:tc>
      </w:tr>
      <w:tr>
        <w:tc>
          <w:tcPr>
            <w:tcW w:type="dxa" w:w="2600"/>
            <w:tcBorders>
              <w:top w:val="single" w:color="E2E8F0" w:sz="1"/>
              <w:left w:val="single" w:color="E2E8F0" w:sz="1"/>
              <w:bottom w:val="single" w:color="E2E8F0" w:sz="1"/>
              <w:right w:val="single" w:color="E2E8F0" w:sz="1"/>
            </w:tcBorders>
            <w:shd w:fill="FCEAEA" w:val="clear"/>
            <w:tcMar>
              <w:top w:type="dxa" w:w="80"/>
              <w:left w:type="dxa" w:w="120"/>
              <w:bottom w:type="dxa" w:w="80"/>
              <w:right w:type="dxa" w:w="80"/>
            </w:tcMar>
          </w:tcPr>
          <w:p>
            <w:r>
              <w:rPr>
                <w:rFonts w:ascii="Arial" w:cs="Arial" w:eastAsia="Arial" w:hAnsi="Arial"/>
                <w:b/>
                <w:bCs/>
                <w:color w:val="374151"/>
                <w:sz w:val="19"/>
                <w:szCs w:val="19"/>
              </w:rPr>
              <w:t xml:space="preserve">Month-to-Month (55.0% of customers)</w:t>
            </w:r>
          </w:p>
        </w:tc>
        <w:tc>
          <w:tcPr>
            <w:tcW w:type="dxa" w:w="556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r>
              <w:rPr>
                <w:rFonts w:ascii="Courier New" w:cs="Courier New" w:eastAsia="Courier New" w:hAnsi="Courier New"/>
                <w:color w:val="C0392B"/>
                <w:sz w:val="14"/>
                <w:szCs w:val="14"/>
              </w:rPr>
              <w:t xml:space="preserve">██████████████████████████░░░░░░░░░░░░░░░░░░░░░░░░░░░░░░░░░░</w:t>
            </w:r>
          </w:p>
        </w:tc>
        <w:tc>
          <w:tcPr>
            <w:tcW w:type="dxa" w:w="120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pPr>
              <w:jc w:val="right"/>
            </w:pPr>
            <w:r>
              <w:rPr>
                <w:rFonts w:ascii="Arial" w:cs="Arial" w:eastAsia="Arial" w:hAnsi="Arial"/>
                <w:b/>
                <w:bCs/>
                <w:color w:val="C0392B"/>
                <w:sz w:val="20"/>
                <w:szCs w:val="20"/>
              </w:rPr>
              <w:t xml:space="preserve">42.7%</w:t>
            </w:r>
          </w:p>
        </w:tc>
      </w:tr>
      <w:tr>
        <w:tc>
          <w:tcPr>
            <w:tcW w:type="dxa" w:w="2600"/>
            <w:tcBorders>
              <w:top w:val="single" w:color="E2E8F0" w:sz="1"/>
              <w:left w:val="single" w:color="E2E8F0" w:sz="1"/>
              <w:bottom w:val="single" w:color="E2E8F0" w:sz="1"/>
              <w:right w:val="single" w:color="E2E8F0" w:sz="1"/>
            </w:tcBorders>
            <w:shd w:fill="FEF3CD" w:val="clear"/>
            <w:tcMar>
              <w:top w:type="dxa" w:w="80"/>
              <w:left w:type="dxa" w:w="120"/>
              <w:bottom w:type="dxa" w:w="80"/>
              <w:right w:type="dxa" w:w="80"/>
            </w:tcMar>
          </w:tcPr>
          <w:p>
            <w:r>
              <w:rPr>
                <w:rFonts w:ascii="Arial" w:cs="Arial" w:eastAsia="Arial" w:hAnsi="Arial"/>
                <w:b/>
                <w:bCs/>
                <w:color w:val="374151"/>
                <w:sz w:val="19"/>
                <w:szCs w:val="19"/>
              </w:rPr>
              <w:t xml:space="preserve">One Year Contract (20.9% of customers)</w:t>
            </w:r>
          </w:p>
        </w:tc>
        <w:tc>
          <w:tcPr>
            <w:tcW w:type="dxa" w:w="5560"/>
            <w:tcBorders>
              <w:top w:val="single" w:color="E2E8F0" w:sz="1"/>
              <w:left w:val="single" w:color="E2E8F0" w:sz="1"/>
              <w:bottom w:val="single" w:color="E2E8F0" w:sz="1"/>
              <w:right w:val="single" w:color="E2E8F0" w:sz="1"/>
            </w:tcBorders>
            <w:shd w:fill="FEF3CD" w:val="clear"/>
            <w:tcMar>
              <w:top w:type="dxa" w:w="80"/>
              <w:left w:type="dxa" w:w="80"/>
              <w:bottom w:type="dxa" w:w="80"/>
              <w:right w:type="dxa" w:w="80"/>
            </w:tcMar>
          </w:tcPr>
          <w:p>
            <w:r>
              <w:rPr>
                <w:rFonts w:ascii="Courier New" w:cs="Courier New" w:eastAsia="Courier New" w:hAnsi="Courier New"/>
                <w:color w:val="B7791F"/>
                <w:sz w:val="14"/>
                <w:szCs w:val="14"/>
              </w:rPr>
              <w:t xml:space="preserve">███████░░░░░░░░░░░░░░░░░░░░░░░░░░░░░░░░░░░░░░░░░░░░░░░░░░░░░</w:t>
            </w:r>
          </w:p>
        </w:tc>
        <w:tc>
          <w:tcPr>
            <w:tcW w:type="dxa" w:w="1200"/>
            <w:tcBorders>
              <w:top w:val="single" w:color="E2E8F0" w:sz="1"/>
              <w:left w:val="single" w:color="E2E8F0" w:sz="1"/>
              <w:bottom w:val="single" w:color="E2E8F0" w:sz="1"/>
              <w:right w:val="single" w:color="E2E8F0" w:sz="1"/>
            </w:tcBorders>
            <w:shd w:fill="FEF3CD" w:val="clear"/>
            <w:tcMar>
              <w:top w:type="dxa" w:w="80"/>
              <w:left w:type="dxa" w:w="80"/>
              <w:bottom w:type="dxa" w:w="80"/>
              <w:right w:type="dxa" w:w="80"/>
            </w:tcMar>
          </w:tcPr>
          <w:p>
            <w:pPr>
              <w:jc w:val="right"/>
            </w:pPr>
            <w:r>
              <w:rPr>
                <w:rFonts w:ascii="Arial" w:cs="Arial" w:eastAsia="Arial" w:hAnsi="Arial"/>
                <w:b/>
                <w:bCs/>
                <w:color w:val="B7791F"/>
                <w:sz w:val="20"/>
                <w:szCs w:val="20"/>
              </w:rPr>
              <w:t xml:space="preserve">11.3%</w:t>
            </w:r>
          </w:p>
        </w:tc>
      </w:tr>
      <w:tr>
        <w:tc>
          <w:tcPr>
            <w:tcW w:type="dxa" w:w="2600"/>
            <w:tcBorders>
              <w:top w:val="single" w:color="E2E8F0" w:sz="1"/>
              <w:left w:val="single" w:color="E2E8F0" w:sz="1"/>
              <w:bottom w:val="single" w:color="E2E8F0" w:sz="1"/>
              <w:right w:val="single" w:color="E2E8F0" w:sz="1"/>
            </w:tcBorders>
            <w:shd w:fill="D5F0E3" w:val="clear"/>
            <w:tcMar>
              <w:top w:type="dxa" w:w="80"/>
              <w:left w:type="dxa" w:w="120"/>
              <w:bottom w:type="dxa" w:w="80"/>
              <w:right w:type="dxa" w:w="80"/>
            </w:tcMar>
          </w:tcPr>
          <w:p>
            <w:r>
              <w:rPr>
                <w:rFonts w:ascii="Arial" w:cs="Arial" w:eastAsia="Arial" w:hAnsi="Arial"/>
                <w:b/>
                <w:bCs/>
                <w:color w:val="374151"/>
                <w:sz w:val="19"/>
                <w:szCs w:val="19"/>
              </w:rPr>
              <w:t xml:space="preserve">Two Year Contract (24.1% of customers)</w:t>
            </w:r>
          </w:p>
        </w:tc>
        <w:tc>
          <w:tcPr>
            <w:tcW w:type="dxa" w:w="5560"/>
            <w:tcBorders>
              <w:top w:val="single" w:color="E2E8F0" w:sz="1"/>
              <w:left w:val="single" w:color="E2E8F0" w:sz="1"/>
              <w:bottom w:val="single" w:color="E2E8F0" w:sz="1"/>
              <w:right w:val="single" w:color="E2E8F0" w:sz="1"/>
            </w:tcBorders>
            <w:shd w:fill="D5F0E3" w:val="clear"/>
            <w:tcMar>
              <w:top w:type="dxa" w:w="80"/>
              <w:left w:type="dxa" w:w="80"/>
              <w:bottom w:type="dxa" w:w="80"/>
              <w:right w:type="dxa" w:w="80"/>
            </w:tcMar>
          </w:tcPr>
          <w:p>
            <w:r>
              <w:rPr>
                <w:rFonts w:ascii="Courier New" w:cs="Courier New" w:eastAsia="Courier New" w:hAnsi="Courier New"/>
                <w:color w:val="1A7A4A"/>
                <w:sz w:val="14"/>
                <w:szCs w:val="14"/>
              </w:rPr>
              <w:t xml:space="preserve">██░░░░░░░░░░░░░░░░░░░░░░░░░░░░░░░░░░░░░░░░░░░░░░░░░░░░░░░░░░</w:t>
            </w:r>
          </w:p>
        </w:tc>
        <w:tc>
          <w:tcPr>
            <w:tcW w:type="dxa" w:w="1200"/>
            <w:tcBorders>
              <w:top w:val="single" w:color="E2E8F0" w:sz="1"/>
              <w:left w:val="single" w:color="E2E8F0" w:sz="1"/>
              <w:bottom w:val="single" w:color="E2E8F0" w:sz="1"/>
              <w:right w:val="single" w:color="E2E8F0" w:sz="1"/>
            </w:tcBorders>
            <w:shd w:fill="D5F0E3" w:val="clear"/>
            <w:tcMar>
              <w:top w:type="dxa" w:w="80"/>
              <w:left w:type="dxa" w:w="80"/>
              <w:bottom w:type="dxa" w:w="80"/>
              <w:right w:type="dxa" w:w="80"/>
            </w:tcMar>
          </w:tcPr>
          <w:p>
            <w:pPr>
              <w:jc w:val="right"/>
            </w:pPr>
            <w:r>
              <w:rPr>
                <w:rFonts w:ascii="Arial" w:cs="Arial" w:eastAsia="Arial" w:hAnsi="Arial"/>
                <w:b/>
                <w:bCs/>
                <w:color w:val="1A7A4A"/>
                <w:sz w:val="20"/>
                <w:szCs w:val="20"/>
              </w:rPr>
              <w:t xml:space="preserve">2.8%</w:t>
            </w:r>
          </w:p>
        </w:tc>
      </w:tr>
    </w:tbl>
    <w:p>
      <w:pPr>
        <w:spacing w:after="40" w:before="40"/>
      </w:pPr>
      <w:r>
        <w:t xml:space="preserve"/>
      </w:r>
    </w:p>
    <w:p>
      <w:pPr>
        <w:spacing w:after="80" w:before="60"/>
      </w:pPr>
      <w:r>
        <w:rPr>
          <w:rFonts w:ascii="Arial" w:cs="Arial" w:eastAsia="Arial" w:hAnsi="Arial"/>
          <w:color w:val="6B7280"/>
          <w:sz w:val="21"/>
          <w:szCs w:val="21"/>
        </w:rPr>
        <w:t xml:space="preserve">Month-to-month customers churn at 42.7% vs. only 2.8% for two-year contract holders. This is a 15x difference. More than half the customer base (55.0%) is on flexible contracts, representing the single largest churn risk pool.</w:t>
      </w:r>
    </w:p>
    <w:p>
      <w:pPr>
        <w:spacing w:after="80" w:before="80"/>
      </w:pPr>
      <w:r>
        <w:t xml:space="preserve"/>
      </w:r>
    </w:p>
    <w:p>
      <w:pPr>
        <w:pBdr>
          <w:bottom w:val="single" w:color="0D7377" w:sz="3" w:space="2"/>
        </w:pBdr>
        <w:spacing w:after="100" w:before="200"/>
      </w:pPr>
      <w:r>
        <w:rPr>
          <w:rFonts w:ascii="Arial" w:cs="Arial" w:eastAsia="Arial" w:hAnsi="Arial"/>
          <w:b/>
          <w:bCs/>
          <w:color w:val="0D7377"/>
          <w:sz w:val="22"/>
          <w:szCs w:val="22"/>
        </w:rPr>
        <w:t xml:space="preserve">3.6  Service Usage vs. Churn</w:t>
      </w:r>
    </w:p>
    <w:p>
      <w:pPr>
        <w:spacing w:after="60" w:before="60"/>
      </w:pPr>
      <w:r>
        <w:t xml:space="preserve"/>
      </w:r>
    </w:p>
    <w:p>
      <w:pPr>
        <w:spacing w:after="80" w:before="60"/>
      </w:pPr>
      <w:r>
        <w:rPr>
          <w:rFonts w:ascii="Arial" w:cs="Arial" w:eastAsia="Arial" w:hAnsi="Arial"/>
          <w:color w:val="374151"/>
          <w:sz w:val="21"/>
          <w:szCs w:val="21"/>
        </w:rPr>
        <w:t xml:space="preserve">The 3×3 grid of service count plots (covering Phone, Internet, and 7 add-on services) reveals service adoption rates and their relationship with churn: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Service</w:t>
            </w:r>
          </w:p>
        </w:tc>
        <w:tc>
          <w:tcPr>
            <w:tcW w:type="dxa" w:w="2200"/>
            <w:tcBorders>
              <w:top w:val="single" w:color="1F4E79" w:sz="1"/>
              <w:left w:val="single" w:color="1F4E79" w:sz="1"/>
              <w:bottom w:val="single" w:color="1F4E79" w:sz="1"/>
              <w:right w:val="single" w:color="1F4E79"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Adoption %</w:t>
            </w:r>
          </w:p>
        </w:tc>
        <w:tc>
          <w:tcPr>
            <w:tcW w:type="dxa" w:w="2200"/>
            <w:tcBorders>
              <w:top w:val="single" w:color="1F4E79" w:sz="1"/>
              <w:left w:val="single" w:color="1F4E79" w:sz="1"/>
              <w:bottom w:val="single" w:color="1F4E79" w:sz="1"/>
              <w:right w:val="single" w:color="1F4E79"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Churn Rate (with)</w:t>
            </w:r>
          </w:p>
        </w:tc>
        <w:tc>
          <w:tcPr>
            <w:tcW w:type="dxa" w:w="2360"/>
            <w:tcBorders>
              <w:top w:val="single" w:color="1F4E79" w:sz="1"/>
              <w:left w:val="single" w:color="1F4E79" w:sz="1"/>
              <w:bottom w:val="single" w:color="1F4E79" w:sz="1"/>
              <w:right w:val="single" w:color="1F4E79"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Churn Rate (without)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374151"/>
                <w:sz w:val="19"/>
                <w:szCs w:val="19"/>
              </w:rPr>
              <w:t xml:space="preserve">Phone Service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374151"/>
                <w:sz w:val="19"/>
                <w:szCs w:val="19"/>
              </w:rPr>
              <w:t xml:space="preserve">90.3%</w:t>
            </w:r>
          </w:p>
        </w:tc>
        <w:tc>
          <w:tcPr>
            <w:tcW w:type="dxa" w:w="2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A7A4A"/>
                <w:sz w:val="19"/>
                <w:szCs w:val="19"/>
              </w:rPr>
              <w:t xml:space="preserve">26.7%</w:t>
            </w:r>
          </w:p>
        </w:tc>
        <w:tc>
          <w:tcPr>
            <w:tcW w:type="dxa" w:w="23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374151"/>
                <w:sz w:val="19"/>
                <w:szCs w:val="19"/>
              </w:rPr>
              <w:t xml:space="preserve">24.9%</w:t>
            </w:r>
          </w:p>
        </w:tc>
      </w:tr>
      <w:tr>
        <w:tc>
          <w:tcPr>
            <w:tcW w:type="dxa" w:w="2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80"/>
            </w:tcMar>
          </w:tcPr>
          <w:p>
            <w:r>
              <w:rPr>
                <w:rFonts w:ascii="Arial" w:cs="Arial" w:eastAsia="Arial" w:hAnsi="Arial"/>
                <w:b/>
                <w:bCs/>
                <w:color w:val="374151"/>
                <w:sz w:val="19"/>
                <w:szCs w:val="19"/>
              </w:rPr>
              <w:t xml:space="preserve">Internet – Fiber</w:t>
            </w:r>
          </w:p>
        </w:tc>
        <w:tc>
          <w:tcPr>
            <w:tcW w:type="dxa" w:w="220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color w:val="374151"/>
                <w:sz w:val="19"/>
                <w:szCs w:val="19"/>
              </w:rPr>
              <w:t xml:space="preserve">43.9%</w:t>
            </w:r>
          </w:p>
        </w:tc>
        <w:tc>
          <w:tcPr>
            <w:tcW w:type="dxa" w:w="220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color w:val="C0392B"/>
                <w:sz w:val="19"/>
                <w:szCs w:val="19"/>
              </w:rPr>
              <w:t xml:space="preserve">41.9%</w:t>
            </w:r>
          </w:p>
        </w:tc>
        <w:tc>
          <w:tcPr>
            <w:tcW w:type="dxa" w:w="236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color w:val="374151"/>
                <w:sz w:val="19"/>
                <w:szCs w:val="19"/>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374151"/>
                <w:sz w:val="19"/>
                <w:szCs w:val="19"/>
              </w:rPr>
              <w:t xml:space="preserve">Internet – DSL</w:t>
            </w:r>
          </w:p>
        </w:tc>
        <w:tc>
          <w:tcPr>
            <w:tcW w:type="dxa" w:w="2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374151"/>
                <w:sz w:val="19"/>
                <w:szCs w:val="19"/>
              </w:rPr>
              <w:t xml:space="preserve">34.4%</w:t>
            </w:r>
          </w:p>
        </w:tc>
        <w:tc>
          <w:tcPr>
            <w:tcW w:type="dxa" w:w="2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A7A4A"/>
                <w:sz w:val="19"/>
                <w:szCs w:val="19"/>
              </w:rPr>
              <w:t xml:space="preserve">19.0%</w:t>
            </w:r>
          </w:p>
        </w:tc>
        <w:tc>
          <w:tcPr>
            <w:tcW w:type="dxa" w:w="23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374151"/>
                <w:sz w:val="19"/>
                <w:szCs w:val="19"/>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74151"/>
                <w:sz w:val="19"/>
                <w:szCs w:val="19"/>
              </w:rPr>
              <w:t xml:space="preserve">Online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374151"/>
                <w:sz w:val="19"/>
                <w:szCs w:val="19"/>
              </w:rPr>
              <w:t xml:space="preserve">28.7%</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7A4A"/>
                <w:sz w:val="19"/>
                <w:szCs w:val="19"/>
              </w:rPr>
              <w:t xml:space="preserve">14.6%</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C0392B"/>
                <w:sz w:val="19"/>
                <w:szCs w:val="19"/>
              </w:rPr>
              <w:t xml:space="preserve">31.8%</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374151"/>
                <w:sz w:val="19"/>
                <w:szCs w:val="19"/>
              </w:rPr>
              <w:t xml:space="preserve">Online Backup</w:t>
            </w:r>
          </w:p>
        </w:tc>
        <w:tc>
          <w:tcPr>
            <w:tcW w:type="dxa" w:w="2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374151"/>
                <w:sz w:val="19"/>
                <w:szCs w:val="19"/>
              </w:rPr>
              <w:t xml:space="preserve">34.5%</w:t>
            </w:r>
          </w:p>
        </w:tc>
        <w:tc>
          <w:tcPr>
            <w:tcW w:type="dxa" w:w="2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A7A4A"/>
                <w:sz w:val="19"/>
                <w:szCs w:val="19"/>
              </w:rPr>
              <w:t xml:space="preserve">21.6%</w:t>
            </w:r>
          </w:p>
        </w:tc>
        <w:tc>
          <w:tcPr>
            <w:tcW w:type="dxa" w:w="23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C0392B"/>
                <w:sz w:val="19"/>
                <w:szCs w:val="19"/>
              </w:rPr>
              <w:t xml:space="preserve">30.1%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74151"/>
                <w:sz w:val="19"/>
                <w:szCs w:val="19"/>
              </w:rPr>
              <w:t xml:space="preserve">Device Protection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374151"/>
                <w:sz w:val="19"/>
                <w:szCs w:val="19"/>
              </w:rPr>
              <w:t xml:space="preserve">34.4%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7A4A"/>
                <w:sz w:val="19"/>
                <w:szCs w:val="19"/>
              </w:rPr>
              <w:t xml:space="preserve">22.5%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374151"/>
                <w:sz w:val="19"/>
                <w:szCs w:val="19"/>
              </w:rPr>
              <w:t xml:space="preserve">29.5%</w:t>
            </w:r>
          </w:p>
        </w:tc>
      </w:tr>
      <w:tr>
        <w:tc>
          <w:tcPr>
            <w:tcW w:type="dxa" w:w="2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80"/>
            </w:tcMar>
          </w:tcPr>
          <w:p>
            <w:r>
              <w:rPr>
                <w:rFonts w:ascii="Arial" w:cs="Arial" w:eastAsia="Arial" w:hAnsi="Arial"/>
                <w:b/>
                <w:bCs/>
                <w:color w:val="374151"/>
                <w:sz w:val="19"/>
                <w:szCs w:val="19"/>
              </w:rPr>
              <w:t xml:space="preserve">Tech Support</w:t>
            </w:r>
          </w:p>
        </w:tc>
        <w:tc>
          <w:tcPr>
            <w:tcW w:type="dxa" w:w="220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color w:val="374151"/>
                <w:sz w:val="19"/>
                <w:szCs w:val="19"/>
              </w:rPr>
              <w:t xml:space="preserve">29.0%</w:t>
            </w:r>
          </w:p>
        </w:tc>
        <w:tc>
          <w:tcPr>
            <w:tcW w:type="dxa" w:w="220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color w:val="1A7A4A"/>
                <w:sz w:val="19"/>
                <w:szCs w:val="19"/>
              </w:rPr>
              <w:t xml:space="preserve">15.2%</w:t>
            </w:r>
          </w:p>
        </w:tc>
        <w:tc>
          <w:tcPr>
            <w:tcW w:type="dxa" w:w="236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color w:val="C0392B"/>
                <w:sz w:val="19"/>
                <w:szCs w:val="19"/>
              </w:rPr>
              <w:t xml:space="preserve">31.6%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74151"/>
                <w:sz w:val="19"/>
                <w:szCs w:val="19"/>
              </w:rPr>
              <w:t xml:space="preserve">Streaming TV</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374151"/>
                <w:sz w:val="19"/>
                <w:szCs w:val="19"/>
              </w:rPr>
              <w:t xml:space="preserve">38.4%</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7A4A"/>
                <w:sz w:val="19"/>
                <w:szCs w:val="19"/>
              </w:rPr>
              <w:t xml:space="preserve">30.1%</w:t>
            </w:r>
          </w:p>
        </w:tc>
        <w:tc>
          <w:tcPr>
            <w:tcW w:type="dxa" w:w="23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374151"/>
                <w:sz w:val="19"/>
                <w:szCs w:val="19"/>
              </w:rPr>
              <w:t xml:space="preserve">24.4%</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80"/>
            </w:tcMar>
          </w:tcPr>
          <w:p>
            <w:r>
              <w:rPr>
                <w:rFonts w:ascii="Arial" w:cs="Arial" w:eastAsia="Arial" w:hAnsi="Arial"/>
                <w:b w:val="false"/>
                <w:bCs w:val="false"/>
                <w:color w:val="374151"/>
                <w:sz w:val="19"/>
                <w:szCs w:val="19"/>
              </w:rPr>
              <w:t xml:space="preserve">Streaming Movies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374151"/>
                <w:sz w:val="19"/>
                <w:szCs w:val="19"/>
              </w:rPr>
              <w:t xml:space="preserve">38.8%</w:t>
            </w:r>
          </w:p>
        </w:tc>
        <w:tc>
          <w:tcPr>
            <w:tcW w:type="dxa" w:w="2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1A7A4A"/>
                <w:sz w:val="19"/>
                <w:szCs w:val="19"/>
              </w:rPr>
              <w:t xml:space="preserve">29.9%</w:t>
            </w:r>
          </w:p>
        </w:tc>
        <w:tc>
          <w:tcPr>
            <w:tcW w:type="dxa" w:w="23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color w:val="374151"/>
                <w:sz w:val="19"/>
                <w:szCs w:val="19"/>
              </w:rPr>
              <w:t xml:space="preserve">24.4%</w:t>
            </w:r>
          </w:p>
        </w:tc>
      </w:tr>
    </w:tbl>
    <w:p>
      <w:pPr>
        <w:spacing w:after="40" w:before="40"/>
      </w:pPr>
      <w:r>
        <w:t xml:space="preserve"/>
      </w:r>
    </w:p>
    <w:p>
      <w:pPr>
        <w:spacing w:after="80" w:before="60"/>
      </w:pPr>
      <w:r>
        <w:rPr>
          <w:rFonts w:ascii="Arial" w:cs="Arial" w:eastAsia="Arial" w:hAnsi="Arial"/>
          <w:color w:val="6B7280"/>
          <w:sz w:val="21"/>
          <w:szCs w:val="21"/>
        </w:rPr>
        <w:t xml:space="preserve">Fibre Optic internet users have the highest churn rate at 41.9%, possibly indicating pricing or service quality concerns. Customers WITHOUT protective/support services (Online Security, Tech Support) churn at over 30% — nearly double those who subscribe to these add-ons. This suggests that add-on services create stickiness.</w:t>
      </w:r>
    </w:p>
    <w:p>
      <w:pPr>
        <w:spacing w:after="80" w:before="80"/>
      </w:pPr>
      <w:r>
        <w:t xml:space="preserve"/>
      </w:r>
    </w:p>
    <w:p>
      <w:pPr>
        <w:pBdr>
          <w:bottom w:val="single" w:color="0D7377" w:sz="3" w:space="2"/>
        </w:pBdr>
        <w:spacing w:after="100" w:before="200"/>
      </w:pPr>
      <w:r>
        <w:rPr>
          <w:rFonts w:ascii="Arial" w:cs="Arial" w:eastAsia="Arial" w:hAnsi="Arial"/>
          <w:b/>
          <w:bCs/>
          <w:color w:val="0D7377"/>
          <w:sz w:val="22"/>
          <w:szCs w:val="22"/>
        </w:rPr>
        <w:t xml:space="preserve">3.7  Payment Method vs. Churn</w:t>
      </w:r>
    </w:p>
    <w:p>
      <w:pPr>
        <w:spacing w:after="60" w:before="60"/>
      </w:pPr>
      <w:r>
        <w:t xml:space="preserve"/>
      </w:r>
    </w:p>
    <w:p>
      <w:pPr>
        <w:spacing w:after="80" w:before="60"/>
      </w:pPr>
      <w:r>
        <w:rPr>
          <w:rFonts w:ascii="Arial" w:cs="Arial" w:eastAsia="Arial" w:hAnsi="Arial"/>
          <w:color w:val="374151"/>
          <w:sz w:val="21"/>
          <w:szCs w:val="21"/>
        </w:rPr>
        <w:t xml:space="preserve">Payment method shows one of the strongest correlations with churn. Electronic Check users are substantially more likely to leave: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9360"/>
            <w:gridSpan w:val="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80"/>
            </w:tcMar>
          </w:tcPr>
          <w:p>
            <w:r>
              <w:rPr>
                <w:rFonts w:ascii="Arial" w:cs="Arial" w:eastAsia="Arial" w:hAnsi="Arial"/>
                <w:b/>
                <w:bCs/>
                <w:color w:val="FFFFFF"/>
                <w:sz w:val="20"/>
                <w:szCs w:val="20"/>
              </w:rPr>
              <w:t xml:space="preserve">Churn Rate by Payment Method</w:t>
            </w:r>
          </w:p>
        </w:tc>
      </w:tr>
      <w:tr>
        <w:tc>
          <w:tcPr>
            <w:tcW w:type="dxa" w:w="2600"/>
            <w:tcBorders>
              <w:top w:val="single" w:color="E2E8F0" w:sz="1"/>
              <w:left w:val="single" w:color="E2E8F0" w:sz="1"/>
              <w:bottom w:val="single" w:color="E2E8F0" w:sz="1"/>
              <w:right w:val="single" w:color="E2E8F0" w:sz="1"/>
            </w:tcBorders>
            <w:shd w:fill="FCEAEA" w:val="clear"/>
            <w:tcMar>
              <w:top w:type="dxa" w:w="80"/>
              <w:left w:type="dxa" w:w="120"/>
              <w:bottom w:type="dxa" w:w="80"/>
              <w:right w:type="dxa" w:w="80"/>
            </w:tcMar>
          </w:tcPr>
          <w:p>
            <w:r>
              <w:rPr>
                <w:rFonts w:ascii="Arial" w:cs="Arial" w:eastAsia="Arial" w:hAnsi="Arial"/>
                <w:b/>
                <w:bCs/>
                <w:color w:val="374151"/>
                <w:sz w:val="19"/>
                <w:szCs w:val="19"/>
              </w:rPr>
              <w:t xml:space="preserve">Electronic Check (33.6% of customers)</w:t>
            </w:r>
          </w:p>
        </w:tc>
        <w:tc>
          <w:tcPr>
            <w:tcW w:type="dxa" w:w="556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r>
              <w:rPr>
                <w:rFonts w:ascii="Courier New" w:cs="Courier New" w:eastAsia="Courier New" w:hAnsi="Courier New"/>
                <w:color w:val="C0392B"/>
                <w:sz w:val="14"/>
                <w:szCs w:val="14"/>
              </w:rPr>
              <w:t xml:space="preserve">███████████████████████████░░░░░░░░░░░░░░░░░░░░░░░░░░░░░░░░░</w:t>
            </w:r>
          </w:p>
        </w:tc>
        <w:tc>
          <w:tcPr>
            <w:tcW w:type="dxa" w:w="1200"/>
            <w:tcBorders>
              <w:top w:val="single" w:color="E2E8F0" w:sz="1"/>
              <w:left w:val="single" w:color="E2E8F0" w:sz="1"/>
              <w:bottom w:val="single" w:color="E2E8F0" w:sz="1"/>
              <w:right w:val="single" w:color="E2E8F0" w:sz="1"/>
            </w:tcBorders>
            <w:shd w:fill="FCEAEA" w:val="clear"/>
            <w:tcMar>
              <w:top w:type="dxa" w:w="80"/>
              <w:left w:type="dxa" w:w="80"/>
              <w:bottom w:type="dxa" w:w="80"/>
              <w:right w:type="dxa" w:w="80"/>
            </w:tcMar>
          </w:tcPr>
          <w:p>
            <w:pPr>
              <w:jc w:val="right"/>
            </w:pPr>
            <w:r>
              <w:rPr>
                <w:rFonts w:ascii="Arial" w:cs="Arial" w:eastAsia="Arial" w:hAnsi="Arial"/>
                <w:b/>
                <w:bCs/>
                <w:color w:val="C0392B"/>
                <w:sz w:val="20"/>
                <w:szCs w:val="20"/>
              </w:rPr>
              <w:t xml:space="preserve">45.3%</w:t>
            </w:r>
          </w:p>
        </w:tc>
      </w:tr>
      <w:tr>
        <w:tc>
          <w:tcPr>
            <w:tcW w:type="dxa" w:w="2600"/>
            <w:tcBorders>
              <w:top w:val="single" w:color="E2E8F0" w:sz="1"/>
              <w:left w:val="single" w:color="E2E8F0" w:sz="1"/>
              <w:bottom w:val="single" w:color="E2E8F0" w:sz="1"/>
              <w:right w:val="single" w:color="E2E8F0" w:sz="1"/>
            </w:tcBorders>
            <w:shd w:fill="FEF3CD" w:val="clear"/>
            <w:tcMar>
              <w:top w:type="dxa" w:w="80"/>
              <w:left w:type="dxa" w:w="120"/>
              <w:bottom w:type="dxa" w:w="80"/>
              <w:right w:type="dxa" w:w="80"/>
            </w:tcMar>
          </w:tcPr>
          <w:p>
            <w:r>
              <w:rPr>
                <w:rFonts w:ascii="Arial" w:cs="Arial" w:eastAsia="Arial" w:hAnsi="Arial"/>
                <w:b/>
                <w:bCs/>
                <w:color w:val="374151"/>
                <w:sz w:val="19"/>
                <w:szCs w:val="19"/>
              </w:rPr>
              <w:t xml:space="preserve">Mailed Check (22.9% of customers)</w:t>
            </w:r>
          </w:p>
        </w:tc>
        <w:tc>
          <w:tcPr>
            <w:tcW w:type="dxa" w:w="5560"/>
            <w:tcBorders>
              <w:top w:val="single" w:color="E2E8F0" w:sz="1"/>
              <w:left w:val="single" w:color="E2E8F0" w:sz="1"/>
              <w:bottom w:val="single" w:color="E2E8F0" w:sz="1"/>
              <w:right w:val="single" w:color="E2E8F0" w:sz="1"/>
            </w:tcBorders>
            <w:shd w:fill="FEF3CD" w:val="clear"/>
            <w:tcMar>
              <w:top w:type="dxa" w:w="80"/>
              <w:left w:type="dxa" w:w="80"/>
              <w:bottom w:type="dxa" w:w="80"/>
              <w:right w:type="dxa" w:w="80"/>
            </w:tcMar>
          </w:tcPr>
          <w:p>
            <w:r>
              <w:rPr>
                <w:rFonts w:ascii="Courier New" w:cs="Courier New" w:eastAsia="Courier New" w:hAnsi="Courier New"/>
                <w:color w:val="B7791F"/>
                <w:sz w:val="14"/>
                <w:szCs w:val="14"/>
              </w:rPr>
              <w:t xml:space="preserve">███████████░░░░░░░░░░░░░░░░░░░░░░░░░░░░░░░░░░░░░░░░░░░░░░░░░</w:t>
            </w:r>
          </w:p>
        </w:tc>
        <w:tc>
          <w:tcPr>
            <w:tcW w:type="dxa" w:w="1200"/>
            <w:tcBorders>
              <w:top w:val="single" w:color="E2E8F0" w:sz="1"/>
              <w:left w:val="single" w:color="E2E8F0" w:sz="1"/>
              <w:bottom w:val="single" w:color="E2E8F0" w:sz="1"/>
              <w:right w:val="single" w:color="E2E8F0" w:sz="1"/>
            </w:tcBorders>
            <w:shd w:fill="FEF3CD" w:val="clear"/>
            <w:tcMar>
              <w:top w:type="dxa" w:w="80"/>
              <w:left w:type="dxa" w:w="80"/>
              <w:bottom w:type="dxa" w:w="80"/>
              <w:right w:type="dxa" w:w="80"/>
            </w:tcMar>
          </w:tcPr>
          <w:p>
            <w:pPr>
              <w:jc w:val="right"/>
            </w:pPr>
            <w:r>
              <w:rPr>
                <w:rFonts w:ascii="Arial" w:cs="Arial" w:eastAsia="Arial" w:hAnsi="Arial"/>
                <w:b/>
                <w:bCs/>
                <w:color w:val="B7791F"/>
                <w:sz w:val="20"/>
                <w:szCs w:val="20"/>
              </w:rPr>
              <w:t xml:space="preserve">19.1%</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r>
              <w:rPr>
                <w:rFonts w:ascii="Arial" w:cs="Arial" w:eastAsia="Arial" w:hAnsi="Arial"/>
                <w:b/>
                <w:bCs/>
                <w:color w:val="374151"/>
                <w:sz w:val="19"/>
                <w:szCs w:val="19"/>
              </w:rPr>
              <w:t xml:space="preserve">Bank Transfer / Auto (21.9% of customers)</w:t>
            </w:r>
          </w:p>
        </w:tc>
        <w:tc>
          <w:tcPr>
            <w:tcW w:type="dxa" w:w="55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r>
              <w:rPr>
                <w:rFonts w:ascii="Courier New" w:cs="Courier New" w:eastAsia="Courier New" w:hAnsi="Courier New"/>
                <w:color w:val="2E75B6"/>
                <w:sz w:val="14"/>
                <w:szCs w:val="14"/>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right"/>
            </w:pPr>
            <w:r>
              <w:rPr>
                <w:rFonts w:ascii="Arial" w:cs="Arial" w:eastAsia="Arial" w:hAnsi="Arial"/>
                <w:b/>
                <w:bCs/>
                <w:color w:val="2E75B6"/>
                <w:sz w:val="20"/>
                <w:szCs w:val="20"/>
              </w:rPr>
              <w:t xml:space="preserve">16.7%</w:t>
            </w:r>
          </w:p>
        </w:tc>
      </w:tr>
      <w:tr>
        <w:tc>
          <w:tcPr>
            <w:tcW w:type="dxa" w:w="2600"/>
            <w:tcBorders>
              <w:top w:val="single" w:color="E2E8F0" w:sz="1"/>
              <w:left w:val="single" w:color="E2E8F0" w:sz="1"/>
              <w:bottom w:val="single" w:color="E2E8F0" w:sz="1"/>
              <w:right w:val="single" w:color="E2E8F0" w:sz="1"/>
            </w:tcBorders>
            <w:shd w:fill="D5F0E3" w:val="clear"/>
            <w:tcMar>
              <w:top w:type="dxa" w:w="80"/>
              <w:left w:type="dxa" w:w="120"/>
              <w:bottom w:type="dxa" w:w="80"/>
              <w:right w:type="dxa" w:w="80"/>
            </w:tcMar>
          </w:tcPr>
          <w:p>
            <w:r>
              <w:rPr>
                <w:rFonts w:ascii="Arial" w:cs="Arial" w:eastAsia="Arial" w:hAnsi="Arial"/>
                <w:b/>
                <w:bCs/>
                <w:color w:val="374151"/>
                <w:sz w:val="19"/>
                <w:szCs w:val="19"/>
              </w:rPr>
              <w:t xml:space="preserve">Credit Card / Auto (21.6% of customers)</w:t>
            </w:r>
          </w:p>
        </w:tc>
        <w:tc>
          <w:tcPr>
            <w:tcW w:type="dxa" w:w="5560"/>
            <w:tcBorders>
              <w:top w:val="single" w:color="E2E8F0" w:sz="1"/>
              <w:left w:val="single" w:color="E2E8F0" w:sz="1"/>
              <w:bottom w:val="single" w:color="E2E8F0" w:sz="1"/>
              <w:right w:val="single" w:color="E2E8F0" w:sz="1"/>
            </w:tcBorders>
            <w:shd w:fill="D5F0E3" w:val="clear"/>
            <w:tcMar>
              <w:top w:type="dxa" w:w="80"/>
              <w:left w:type="dxa" w:w="80"/>
              <w:bottom w:type="dxa" w:w="80"/>
              <w:right w:type="dxa" w:w="80"/>
            </w:tcMar>
          </w:tcPr>
          <w:p>
            <w:r>
              <w:rPr>
                <w:rFonts w:ascii="Courier New" w:cs="Courier New" w:eastAsia="Courier New" w:hAnsi="Courier New"/>
                <w:color w:val="1A7A4A"/>
                <w:sz w:val="14"/>
                <w:szCs w:val="14"/>
              </w:rPr>
              <w:t xml:space="preserve">█████████░░░░░░░░░░░░░░░░░░░░░░░░░░░░░░░░░░░░░░░░░░░░░░░░░░░</w:t>
            </w:r>
          </w:p>
        </w:tc>
        <w:tc>
          <w:tcPr>
            <w:tcW w:type="dxa" w:w="1200"/>
            <w:tcBorders>
              <w:top w:val="single" w:color="E2E8F0" w:sz="1"/>
              <w:left w:val="single" w:color="E2E8F0" w:sz="1"/>
              <w:bottom w:val="single" w:color="E2E8F0" w:sz="1"/>
              <w:right w:val="single" w:color="E2E8F0" w:sz="1"/>
            </w:tcBorders>
            <w:shd w:fill="D5F0E3" w:val="clear"/>
            <w:tcMar>
              <w:top w:type="dxa" w:w="80"/>
              <w:left w:type="dxa" w:w="80"/>
              <w:bottom w:type="dxa" w:w="80"/>
              <w:right w:type="dxa" w:w="80"/>
            </w:tcMar>
          </w:tcPr>
          <w:p>
            <w:pPr>
              <w:jc w:val="right"/>
            </w:pPr>
            <w:r>
              <w:rPr>
                <w:rFonts w:ascii="Arial" w:cs="Arial" w:eastAsia="Arial" w:hAnsi="Arial"/>
                <w:b/>
                <w:bCs/>
                <w:color w:val="1A7A4A"/>
                <w:sz w:val="20"/>
                <w:szCs w:val="20"/>
              </w:rPr>
              <w:t xml:space="preserve">15.2%</w:t>
            </w:r>
          </w:p>
        </w:tc>
      </w:tr>
    </w:tbl>
    <w:p>
      <w:pPr>
        <w:spacing w:after="40" w:before="40"/>
      </w:pPr>
      <w:r>
        <w:t xml:space="preserve"/>
      </w:r>
    </w:p>
    <w:p>
      <w:pPr>
        <w:spacing w:after="80" w:before="60"/>
      </w:pPr>
      <w:r>
        <w:rPr>
          <w:rFonts w:ascii="Arial" w:cs="Arial" w:eastAsia="Arial" w:hAnsi="Arial"/>
          <w:color w:val="6B7280"/>
          <w:sz w:val="21"/>
          <w:szCs w:val="21"/>
        </w:rPr>
        <w:t xml:space="preserve">Electronic Check users churn at 45.3% — nearly 3x the rate of automatic payment customers (Credit Card: 15.2%, Bank Transfer: 16.7%). This may indicate that customers using electronic checks are less engaged or less committed to the service. Auto-pay enrollment could be a powerful retention lever.</w:t>
      </w:r>
    </w:p>
    <w:p>
      <w:pPr>
        <w:spacing w:after="100" w:before="100"/>
      </w:pPr>
      <w:r>
        <w:t xml:space="preserve"/>
      </w:r>
    </w:p>
    <w:p>
      <w:pPr>
        <w:pBdr>
          <w:bottom w:val="single" w:color="E2E8F0" w:sz="4" w:space="1"/>
        </w:pBdr>
        <w:spacing w:after="120" w:before="120"/>
      </w:pPr>
      <w:r>
        <w:t xml:space="preserve"/>
      </w:r>
    </w:p>
    <w:p>
      <w:pPr>
        <w:shd w:fill="2E75B6" w:val="clear"/>
        <w:spacing w:after="180" w:before="280"/>
        <w:ind w:left="0"/>
        <w:jc w:val="left"/>
      </w:pPr>
      <w:r>
        <w:rPr>
          <w:rFonts w:ascii="Arial" w:cs="Arial" w:eastAsia="Arial" w:hAnsi="Arial"/>
          <w:b/>
          <w:bCs/>
          <w:color w:val="D6E4F0"/>
          <w:sz w:val="22"/>
          <w:szCs w:val="22"/>
        </w:rPr>
        <w:t xml:space="preserve">  04  </w:t>
      </w:r>
      <w:r>
        <w:rPr>
          <w:rFonts w:ascii="Arial" w:cs="Arial" w:eastAsia="Arial" w:hAnsi="Arial"/>
          <w:b/>
          <w:bCs/>
          <w:color w:val="FFFFFF"/>
          <w:sz w:val="24"/>
          <w:szCs w:val="24"/>
        </w:rPr>
        <w:t xml:space="preserve">SUMMARY OF ALL FINDINGS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60"/>
        <w:gridCol w:w="6480"/>
      </w:tblGrid>
      <w:tr>
        <w:tc>
          <w:tcPr>
            <w:tcW w:type="dxa" w:w="520"/>
            <w:tcBorders>
              <w:top w:val="single" w:color="1F4E79" w:sz="1"/>
              <w:left w:val="single" w:color="1F4E79" w:sz="1"/>
              <w:bottom w:val="single" w:color="1F4E79" w:sz="1"/>
              <w:right w:val="single" w:color="1F4E79"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80"/>
            </w:tcMar>
          </w:tcPr>
          <w:p>
            <w:r>
              <w:rPr>
                <w:rFonts w:ascii="Arial" w:cs="Arial" w:eastAsia="Arial" w:hAnsi="Arial"/>
                <w:b/>
                <w:bCs/>
                <w:color w:val="FFFFFF"/>
                <w:sz w:val="19"/>
                <w:szCs w:val="19"/>
              </w:rPr>
              <w:t xml:space="preserve">Factor</w:t>
            </w:r>
          </w:p>
        </w:tc>
        <w:tc>
          <w:tcPr>
            <w:tcW w:type="dxa" w:w="6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80"/>
            </w:tcMar>
          </w:tcPr>
          <w:p>
            <w:r>
              <w:rPr>
                <w:rFonts w:ascii="Arial" w:cs="Arial" w:eastAsia="Arial" w:hAnsi="Arial"/>
                <w:b/>
                <w:bCs/>
                <w:color w:val="FFFFFF"/>
                <w:sz w:val="19"/>
                <w:szCs w:val="19"/>
              </w:rPr>
              <w:t xml:space="preserve">Insight &amp; Key Percentages</w:t>
            </w:r>
          </w:p>
        </w:tc>
      </w:tr>
      <w:tr>
        <w:tc>
          <w:tcPr>
            <w:tcW w:type="dxa" w:w="520"/>
            <w:tcBorders>
              <w:top w:val="single" w:color="CCCCCC" w:sz="1"/>
              <w:left w:val="single" w:color="CCCCCC" w:sz="1"/>
              <w:bottom w:val="single" w:color="CCCCCC" w:sz="1"/>
              <w:right w:val="single" w:color="CCCCCC" w:sz="1"/>
            </w:tcBorders>
            <w:shd w:fill="D6E4F0" w:val="clear"/>
            <w:tcMar>
              <w:top w:type="dxa" w:w="100"/>
              <w:left w:type="dxa" w:w="80"/>
              <w:bottom w:type="dxa" w:w="100"/>
              <w:right w:type="dxa" w:w="80"/>
            </w:tcMar>
            <w:vAlign w:val="center"/>
          </w:tcPr>
          <w:p>
            <w:pPr>
              <w:jc w:val="center"/>
            </w:pPr>
            <w:r>
              <w:rPr>
                <w:rFonts w:ascii="Arial" w:cs="Arial" w:eastAsia="Arial" w:hAnsi="Arial"/>
                <w:b/>
                <w:bCs/>
                <w:color w:val="1F4E79"/>
                <w:sz w:val="20"/>
                <w:szCs w:val="20"/>
              </w:rPr>
              <w:t xml:space="preserve">01</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80"/>
            </w:tcMar>
            <w:vAlign w:val="center"/>
          </w:tcPr>
          <w:p>
            <w:r>
              <w:rPr>
                <w:rFonts w:ascii="Arial" w:cs="Arial" w:eastAsia="Arial" w:hAnsi="Arial"/>
                <w:b/>
                <w:bCs/>
                <w:color w:val="2E75B6"/>
                <w:sz w:val="19"/>
                <w:szCs w:val="19"/>
              </w:rPr>
              <w:t xml:space="preserve">Overall Churn Rate</w:t>
            </w:r>
          </w:p>
        </w:tc>
        <w:tc>
          <w:tcPr>
            <w:tcW w:type="dxa" w:w="64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80"/>
            </w:tcMar>
            <w:vAlign w:val="center"/>
          </w:tcPr>
          <w:p>
            <w:r>
              <w:rPr>
                <w:rFonts w:ascii="Arial" w:cs="Arial" w:eastAsia="Arial" w:hAnsi="Arial"/>
                <w:color w:val="374151"/>
                <w:sz w:val="19"/>
                <w:szCs w:val="19"/>
              </w:rPr>
              <w:t xml:space="preserve">26.54% of 7,043 customers (1,869) have churned; 73.46% (5,174) are retained.</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rFonts w:ascii="Arial" w:cs="Arial" w:eastAsia="Arial" w:hAnsi="Arial"/>
                <w:b/>
                <w:bCs/>
                <w:color w:val="1F4E79"/>
                <w:sz w:val="20"/>
                <w:szCs w:val="20"/>
              </w:rPr>
              <w:t xml:space="preserve">02</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center"/>
          </w:tcPr>
          <w:p>
            <w:r>
              <w:rPr>
                <w:rFonts w:ascii="Arial" w:cs="Arial" w:eastAsia="Arial" w:hAnsi="Arial"/>
                <w:b/>
                <w:bCs/>
                <w:color w:val="2E75B6"/>
                <w:sz w:val="19"/>
                <w:szCs w:val="19"/>
              </w:rPr>
              <w:t xml:space="preserve">Gender</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center"/>
          </w:tcPr>
          <w:p>
            <w:r>
              <w:rPr>
                <w:rFonts w:ascii="Arial" w:cs="Arial" w:eastAsia="Arial" w:hAnsi="Arial"/>
                <w:color w:val="374151"/>
                <w:sz w:val="19"/>
                <w:szCs w:val="19"/>
              </w:rPr>
              <w:t xml:space="preserve">Male: 26.2% churn | Female: 26.9% churn. Negligible difference — not a churn driver.</w:t>
            </w:r>
          </w:p>
        </w:tc>
      </w:tr>
      <w:tr>
        <w:tc>
          <w:tcPr>
            <w:tcW w:type="dxa" w:w="520"/>
            <w:tcBorders>
              <w:top w:val="single" w:color="CCCCCC" w:sz="1"/>
              <w:left w:val="single" w:color="CCCCCC" w:sz="1"/>
              <w:bottom w:val="single" w:color="CCCCCC" w:sz="1"/>
              <w:right w:val="single" w:color="CCCCCC" w:sz="1"/>
            </w:tcBorders>
            <w:shd w:fill="D6E4F0" w:val="clear"/>
            <w:tcMar>
              <w:top w:type="dxa" w:w="100"/>
              <w:left w:type="dxa" w:w="80"/>
              <w:bottom w:type="dxa" w:w="100"/>
              <w:right w:type="dxa" w:w="80"/>
            </w:tcMar>
            <w:vAlign w:val="center"/>
          </w:tcPr>
          <w:p>
            <w:pPr>
              <w:jc w:val="center"/>
            </w:pPr>
            <w:r>
              <w:rPr>
                <w:rFonts w:ascii="Arial" w:cs="Arial" w:eastAsia="Arial" w:hAnsi="Arial"/>
                <w:b/>
                <w:bCs/>
                <w:color w:val="1F4E79"/>
                <w:sz w:val="20"/>
                <w:szCs w:val="20"/>
              </w:rPr>
              <w:t xml:space="preserve">03</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80"/>
            </w:tcMar>
            <w:vAlign w:val="center"/>
          </w:tcPr>
          <w:p>
            <w:r>
              <w:rPr>
                <w:rFonts w:ascii="Arial" w:cs="Arial" w:eastAsia="Arial" w:hAnsi="Arial"/>
                <w:b/>
                <w:bCs/>
                <w:color w:val="2E75B6"/>
                <w:sz w:val="19"/>
                <w:szCs w:val="19"/>
              </w:rPr>
              <w:t xml:space="preserve">Senior Citizens</w:t>
            </w:r>
          </w:p>
        </w:tc>
        <w:tc>
          <w:tcPr>
            <w:tcW w:type="dxa" w:w="64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80"/>
            </w:tcMar>
            <w:vAlign w:val="center"/>
          </w:tcPr>
          <w:p>
            <w:r>
              <w:rPr>
                <w:rFonts w:ascii="Arial" w:cs="Arial" w:eastAsia="Arial" w:hAnsi="Arial"/>
                <w:color w:val="374151"/>
                <w:sz w:val="19"/>
                <w:szCs w:val="19"/>
              </w:rPr>
              <w:t xml:space="preserve">Senior citizens churn at 41.7% vs. 23.7% for non-seniors. 75.9% higher risk despite being only 16.2% of the base.</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rFonts w:ascii="Arial" w:cs="Arial" w:eastAsia="Arial" w:hAnsi="Arial"/>
                <w:b/>
                <w:bCs/>
                <w:color w:val="1F4E79"/>
                <w:sz w:val="20"/>
                <w:szCs w:val="20"/>
              </w:rPr>
              <w:t xml:space="preserve">04</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center"/>
          </w:tcPr>
          <w:p>
            <w:r>
              <w:rPr>
                <w:rFonts w:ascii="Arial" w:cs="Arial" w:eastAsia="Arial" w:hAnsi="Arial"/>
                <w:b/>
                <w:bCs/>
                <w:color w:val="2E75B6"/>
                <w:sz w:val="19"/>
                <w:szCs w:val="19"/>
              </w:rPr>
              <w:t xml:space="preserve">Tenure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center"/>
          </w:tcPr>
          <w:p>
            <w:r>
              <w:rPr>
                <w:rFonts w:ascii="Arial" w:cs="Arial" w:eastAsia="Arial" w:hAnsi="Arial"/>
                <w:color w:val="374151"/>
                <w:sz w:val="19"/>
                <w:szCs w:val="19"/>
              </w:rPr>
              <w:t xml:space="preserve">0-12 months: 47.7% churn. 49-72 months: 9.5% churn. Loyalty grows significantly with tenure.</w:t>
            </w:r>
          </w:p>
        </w:tc>
      </w:tr>
      <w:tr>
        <w:tc>
          <w:tcPr>
            <w:tcW w:type="dxa" w:w="520"/>
            <w:tcBorders>
              <w:top w:val="single" w:color="CCCCCC" w:sz="1"/>
              <w:left w:val="single" w:color="CCCCCC" w:sz="1"/>
              <w:bottom w:val="single" w:color="CCCCCC" w:sz="1"/>
              <w:right w:val="single" w:color="CCCCCC" w:sz="1"/>
            </w:tcBorders>
            <w:shd w:fill="D6E4F0" w:val="clear"/>
            <w:tcMar>
              <w:top w:type="dxa" w:w="100"/>
              <w:left w:type="dxa" w:w="80"/>
              <w:bottom w:type="dxa" w:w="100"/>
              <w:right w:type="dxa" w:w="80"/>
            </w:tcMar>
            <w:vAlign w:val="center"/>
          </w:tcPr>
          <w:p>
            <w:pPr>
              <w:jc w:val="center"/>
            </w:pPr>
            <w:r>
              <w:rPr>
                <w:rFonts w:ascii="Arial" w:cs="Arial" w:eastAsia="Arial" w:hAnsi="Arial"/>
                <w:b/>
                <w:bCs/>
                <w:color w:val="1F4E79"/>
                <w:sz w:val="20"/>
                <w:szCs w:val="20"/>
              </w:rPr>
              <w:t xml:space="preserve">05</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80"/>
            </w:tcMar>
            <w:vAlign w:val="center"/>
          </w:tcPr>
          <w:p>
            <w:r>
              <w:rPr>
                <w:rFonts w:ascii="Arial" w:cs="Arial" w:eastAsia="Arial" w:hAnsi="Arial"/>
                <w:b/>
                <w:bCs/>
                <w:color w:val="2E75B6"/>
                <w:sz w:val="19"/>
                <w:szCs w:val="19"/>
              </w:rPr>
              <w:t xml:space="preserve">Contract Type</w:t>
            </w:r>
          </w:p>
        </w:tc>
        <w:tc>
          <w:tcPr>
            <w:tcW w:type="dxa" w:w="64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80"/>
            </w:tcMar>
            <w:vAlign w:val="center"/>
          </w:tcPr>
          <w:p>
            <w:r>
              <w:rPr>
                <w:rFonts w:ascii="Arial" w:cs="Arial" w:eastAsia="Arial" w:hAnsi="Arial"/>
                <w:color w:val="374151"/>
                <w:sz w:val="19"/>
                <w:szCs w:val="19"/>
              </w:rPr>
              <w:t xml:space="preserve">Month-to-Month: 42.7% | 1-Year: 11.3% | 2-Year: 2.8%. A 15x gap between flexible and committed customers.</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rFonts w:ascii="Arial" w:cs="Arial" w:eastAsia="Arial" w:hAnsi="Arial"/>
                <w:b/>
                <w:bCs/>
                <w:color w:val="1F4E79"/>
                <w:sz w:val="20"/>
                <w:szCs w:val="20"/>
              </w:rPr>
              <w:t xml:space="preserve">06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center"/>
          </w:tcPr>
          <w:p>
            <w:r>
              <w:rPr>
                <w:rFonts w:ascii="Arial" w:cs="Arial" w:eastAsia="Arial" w:hAnsi="Arial"/>
                <w:b/>
                <w:bCs/>
                <w:color w:val="2E75B6"/>
                <w:sz w:val="19"/>
                <w:szCs w:val="19"/>
              </w:rPr>
              <w:t xml:space="preserve">Internet Service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center"/>
          </w:tcPr>
          <w:p>
            <w:r>
              <w:rPr>
                <w:rFonts w:ascii="Arial" w:cs="Arial" w:eastAsia="Arial" w:hAnsi="Arial"/>
                <w:color w:val="374151"/>
                <w:sz w:val="19"/>
                <w:szCs w:val="19"/>
              </w:rPr>
              <w:t xml:space="preserve">Fibre Optic users churn at 41.9%; DSL at 19.0%; No Internet at 7.4%. Fibre users need attention.</w:t>
            </w:r>
          </w:p>
        </w:tc>
      </w:tr>
      <w:tr>
        <w:tc>
          <w:tcPr>
            <w:tcW w:type="dxa" w:w="520"/>
            <w:tcBorders>
              <w:top w:val="single" w:color="CCCCCC" w:sz="1"/>
              <w:left w:val="single" w:color="CCCCCC" w:sz="1"/>
              <w:bottom w:val="single" w:color="CCCCCC" w:sz="1"/>
              <w:right w:val="single" w:color="CCCCCC" w:sz="1"/>
            </w:tcBorders>
            <w:shd w:fill="D6E4F0" w:val="clear"/>
            <w:tcMar>
              <w:top w:type="dxa" w:w="100"/>
              <w:left w:type="dxa" w:w="80"/>
              <w:bottom w:type="dxa" w:w="100"/>
              <w:right w:type="dxa" w:w="80"/>
            </w:tcMar>
            <w:vAlign w:val="center"/>
          </w:tcPr>
          <w:p>
            <w:pPr>
              <w:jc w:val="center"/>
            </w:pPr>
            <w:r>
              <w:rPr>
                <w:rFonts w:ascii="Arial" w:cs="Arial" w:eastAsia="Arial" w:hAnsi="Arial"/>
                <w:b/>
                <w:bCs/>
                <w:color w:val="1F4E79"/>
                <w:sz w:val="20"/>
                <w:szCs w:val="20"/>
              </w:rPr>
              <w:t xml:space="preserve">07</w:t>
            </w:r>
          </w:p>
        </w:tc>
        <w:tc>
          <w:tcPr>
            <w:tcW w:type="dxa" w:w="2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80"/>
            </w:tcMar>
            <w:vAlign w:val="center"/>
          </w:tcPr>
          <w:p>
            <w:r>
              <w:rPr>
                <w:rFonts w:ascii="Arial" w:cs="Arial" w:eastAsia="Arial" w:hAnsi="Arial"/>
                <w:b/>
                <w:bCs/>
                <w:color w:val="2E75B6"/>
                <w:sz w:val="19"/>
                <w:szCs w:val="19"/>
              </w:rPr>
              <w:t xml:space="preserve">Add-On Services</w:t>
            </w:r>
          </w:p>
        </w:tc>
        <w:tc>
          <w:tcPr>
            <w:tcW w:type="dxa" w:w="648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80"/>
            </w:tcMar>
            <w:vAlign w:val="center"/>
          </w:tcPr>
          <w:p>
            <w:r>
              <w:rPr>
                <w:rFonts w:ascii="Arial" w:cs="Arial" w:eastAsia="Arial" w:hAnsi="Arial"/>
                <w:color w:val="374151"/>
                <w:sz w:val="19"/>
                <w:szCs w:val="19"/>
              </w:rPr>
              <w:t xml:space="preserve">Without Online Security: 31.8% churn; With: 14.6%. Without Tech Support: 31.6%; With: 15.2%. Add-ons reduce churn.</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rFonts w:ascii="Arial" w:cs="Arial" w:eastAsia="Arial" w:hAnsi="Arial"/>
                <w:b/>
                <w:bCs/>
                <w:color w:val="1F4E79"/>
                <w:sz w:val="20"/>
                <w:szCs w:val="20"/>
              </w:rPr>
              <w:t xml:space="preserve">08</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center"/>
          </w:tcPr>
          <w:p>
            <w:r>
              <w:rPr>
                <w:rFonts w:ascii="Arial" w:cs="Arial" w:eastAsia="Arial" w:hAnsi="Arial"/>
                <w:b/>
                <w:bCs/>
                <w:color w:val="2E75B6"/>
                <w:sz w:val="19"/>
                <w:szCs w:val="19"/>
              </w:rPr>
              <w:t xml:space="preserve">Payment Method</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vAlign w:val="center"/>
          </w:tcPr>
          <w:p>
            <w:r>
              <w:rPr>
                <w:rFonts w:ascii="Arial" w:cs="Arial" w:eastAsia="Arial" w:hAnsi="Arial"/>
                <w:color w:val="374151"/>
                <w:sz w:val="19"/>
                <w:szCs w:val="19"/>
              </w:rPr>
              <w:t xml:space="preserve">Electronic Check: 45.3% churn vs. Credit Card Auto: 15.2%. Auto-pay users are nearly 3x more loyal.</w:t>
            </w:r>
          </w:p>
        </w:tc>
      </w:tr>
    </w:tbl>
    <w:p>
      <w:pPr>
        <w:spacing w:after="100" w:before="100"/>
      </w:pPr>
      <w:r>
        <w:t xml:space="preserve"/>
      </w:r>
    </w:p>
    <w:p>
      <w:pPr>
        <w:pBdr>
          <w:bottom w:val="single" w:color="E2E8F0" w:sz="4" w:space="1"/>
        </w:pBdr>
        <w:spacing w:after="120" w:before="120"/>
      </w:pPr>
      <w:r>
        <w:t xml:space="preserve"/>
      </w:r>
    </w:p>
    <w:p>
      <w:pPr>
        <w:shd w:fill="2E75B6" w:val="clear"/>
        <w:spacing w:after="180" w:before="280"/>
        <w:ind w:left="0"/>
        <w:jc w:val="left"/>
      </w:pPr>
      <w:r>
        <w:rPr>
          <w:rFonts w:ascii="Arial" w:cs="Arial" w:eastAsia="Arial" w:hAnsi="Arial"/>
          <w:b/>
          <w:bCs/>
          <w:color w:val="D6E4F0"/>
          <w:sz w:val="22"/>
          <w:szCs w:val="22"/>
        </w:rPr>
        <w:t xml:space="preserve">  05  </w:t>
      </w:r>
      <w:r>
        <w:rPr>
          <w:rFonts w:ascii="Arial" w:cs="Arial" w:eastAsia="Arial" w:hAnsi="Arial"/>
          <w:b/>
          <w:bCs/>
          <w:color w:val="FFFFFF"/>
          <w:sz w:val="24"/>
          <w:szCs w:val="24"/>
        </w:rPr>
        <w:t xml:space="preserve">HIGH-RISK CUSTOMER SEGMENTS</w:t>
      </w:r>
    </w:p>
    <w:p>
      <w:pPr>
        <w:spacing w:after="60" w:before="60"/>
      </w:pPr>
      <w:r>
        <w:t xml:space="preserve"/>
      </w:r>
    </w:p>
    <w:p>
      <w:pPr>
        <w:spacing w:after="80" w:before="60"/>
      </w:pPr>
      <w:r>
        <w:rPr>
          <w:rFonts w:ascii="Arial" w:cs="Arial" w:eastAsia="Arial" w:hAnsi="Arial"/>
          <w:color w:val="374151"/>
          <w:sz w:val="21"/>
          <w:szCs w:val="21"/>
        </w:rPr>
        <w:t xml:space="preserve">Based on combined factors, the following customer profiles represent the highest churn risk:</w:t>
      </w:r>
    </w:p>
    <w:p>
      <w:pPr>
        <w:spacing w:after="60" w:before="60"/>
      </w:pPr>
      <w:r>
        <w:t xml:space="preserve"/>
      </w:r>
    </w:p>
    <w:p>
      <w:pPr>
        <w:pStyle w:val="ListParagraph"/>
        <w:numPr>
          <w:ilvl w:val="0"/>
          <w:numId w:val="2"/>
        </w:numPr>
        <w:spacing w:after="60" w:before="60"/>
      </w:pPr>
      <w:r>
        <w:rPr>
          <w:rFonts w:ascii="Arial" w:cs="Arial" w:eastAsia="Arial" w:hAnsi="Arial"/>
          <w:color w:val="374151"/>
          <w:sz w:val="21"/>
          <w:szCs w:val="21"/>
        </w:rPr>
        <w:t xml:space="preserve">New month-to-month customers (tenure &lt; 12 months) paying via Electronic Check — estimated churn risk exceeds 55%.</w:t>
      </w:r>
    </w:p>
    <w:p>
      <w:pPr>
        <w:pStyle w:val="ListParagraph"/>
        <w:numPr>
          <w:ilvl w:val="0"/>
          <w:numId w:val="2"/>
        </w:numPr>
        <w:spacing w:after="60" w:before="60"/>
      </w:pPr>
      <w:r>
        <w:rPr>
          <w:rFonts w:ascii="Arial" w:cs="Arial" w:eastAsia="Arial" w:hAnsi="Arial"/>
          <w:color w:val="374151"/>
          <w:sz w:val="21"/>
          <w:szCs w:val="21"/>
        </w:rPr>
        <w:t xml:space="preserve">Senior citizens on month-to-month contracts — compounded risk from both age segment (41.7%) and contract type (42.7%).</w:t>
      </w:r>
    </w:p>
    <w:p>
      <w:pPr>
        <w:pStyle w:val="ListParagraph"/>
        <w:numPr>
          <w:ilvl w:val="0"/>
          <w:numId w:val="2"/>
        </w:numPr>
        <w:spacing w:after="60" w:before="60"/>
      </w:pPr>
      <w:r>
        <w:rPr>
          <w:rFonts w:ascii="Arial" w:cs="Arial" w:eastAsia="Arial" w:hAnsi="Arial"/>
          <w:color w:val="374151"/>
          <w:sz w:val="21"/>
          <w:szCs w:val="21"/>
        </w:rPr>
        <w:t xml:space="preserve">Fibre Optic internet subscribers without any protective add-on services — churn rate approaches 45%+.</w:t>
      </w:r>
    </w:p>
    <w:p>
      <w:pPr>
        <w:pStyle w:val="ListParagraph"/>
        <w:numPr>
          <w:ilvl w:val="0"/>
          <w:numId w:val="2"/>
        </w:numPr>
        <w:spacing w:after="60" w:before="60"/>
      </w:pPr>
      <w:r>
        <w:rPr>
          <w:rFonts w:ascii="Arial" w:cs="Arial" w:eastAsia="Arial" w:hAnsi="Arial"/>
          <w:color w:val="374151"/>
          <w:sz w:val="21"/>
          <w:szCs w:val="21"/>
        </w:rPr>
        <w:t xml:space="preserve">Customers with no partner, no dependents, and no add-on services — reduced ecosystem stickiness correlates with higher churn.</w:t>
      </w:r>
    </w:p>
    <w:p>
      <w:pPr>
        <w:spacing w:after="100" w:before="100"/>
      </w:pPr>
      <w:r>
        <w:t xml:space="preserve"/>
      </w:r>
    </w:p>
    <w:p>
      <w:pPr>
        <w:pBdr>
          <w:bottom w:val="single" w:color="E2E8F0" w:sz="4" w:space="1"/>
        </w:pBdr>
        <w:spacing w:after="120" w:before="120"/>
      </w:pPr>
      <w:r>
        <w:t xml:space="preserve"/>
      </w:r>
    </w:p>
    <w:p>
      <w:pPr>
        <w:shd w:fill="2E75B6" w:val="clear"/>
        <w:spacing w:after="180" w:before="280"/>
        <w:ind w:left="0"/>
        <w:jc w:val="left"/>
      </w:pPr>
      <w:r>
        <w:rPr>
          <w:rFonts w:ascii="Arial" w:cs="Arial" w:eastAsia="Arial" w:hAnsi="Arial"/>
          <w:b/>
          <w:bCs/>
          <w:color w:val="D6E4F0"/>
          <w:sz w:val="22"/>
          <w:szCs w:val="22"/>
        </w:rPr>
        <w:t xml:space="preserve">  06  </w:t>
      </w:r>
      <w:r>
        <w:rPr>
          <w:rFonts w:ascii="Arial" w:cs="Arial" w:eastAsia="Arial" w:hAnsi="Arial"/>
          <w:b/>
          <w:bCs/>
          <w:color w:val="FFFFFF"/>
          <w:sz w:val="24"/>
          <w:szCs w:val="24"/>
        </w:rPr>
        <w:t xml:space="preserve">STRATEGIC RECOMMENDATIONS</w:t>
      </w:r>
    </w:p>
    <w:p>
      <w:pPr>
        <w:spacing w:after="60" w:before="60"/>
      </w:pPr>
      <w:r>
        <w:t xml:space="preserve"/>
      </w:r>
    </w:p>
    <w:p>
      <w:pPr>
        <w:spacing w:after="80" w:before="60"/>
      </w:pPr>
      <w:r>
        <w:rPr>
          <w:rFonts w:ascii="Arial" w:cs="Arial" w:eastAsia="Arial" w:hAnsi="Arial"/>
          <w:color w:val="374151"/>
          <w:sz w:val="21"/>
          <w:szCs w:val="21"/>
        </w:rPr>
        <w:t xml:space="preserve">The following actions are recommended in order of potential churn reduction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3440"/>
        <w:gridCol w:w="4000"/>
        <w:gridCol w:w="1600"/>
      </w:tblGrid>
      <w:tr>
        <w:tc>
          <w:tcPr>
            <w:tcW w:type="dxa" w:w="320"/>
            <w:gridSpan w:val="1"/>
            <w:tcBorders>
              <w:top w:val="single" w:color="1F4E79" w:sz="1"/>
              <w:left w:val="single" w:color="1F4E79" w:sz="1"/>
              <w:bottom w:val="single" w:color="1F4E79" w:sz="1"/>
              <w:right w:val="single" w:color="1F4E79"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w:t>
            </w:r>
          </w:p>
        </w:tc>
        <w:tc>
          <w:tcPr>
            <w:tcW w:type="dxa" w:w="3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Recommendation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80"/>
            </w:tcMar>
          </w:tcPr>
          <w:p>
            <w:r>
              <w:rPr>
                <w:rFonts w:ascii="Arial" w:cs="Arial" w:eastAsia="Arial" w:hAnsi="Arial"/>
                <w:b/>
                <w:bCs/>
                <w:color w:val="FFFFFF"/>
                <w:sz w:val="18"/>
                <w:szCs w:val="18"/>
              </w:rPr>
              <w:t xml:space="preserve">Target Segment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Impact</w:t>
            </w:r>
          </w:p>
        </w:tc>
      </w:tr>
      <w:tr>
        <w:tc>
          <w:tcPr>
            <w:tcW w:type="dxa" w:w="320"/>
            <w:tcBorders>
              <w:top w:val="single" w:color="CCCCCC" w:sz="1"/>
              <w:left w:val="single" w:color="CCCCCC" w:sz="1"/>
              <w:bottom w:val="single" w:color="CCCCCC" w:sz="1"/>
              <w:right w:val="single" w:color="CCCCCC" w:sz="1"/>
            </w:tcBorders>
            <w:shd w:fill="F5F7FA" w:val="clear"/>
            <w:tcMar>
              <w:top w:type="dxa" w:w="100"/>
              <w:left w:type="dxa" w:w="80"/>
              <w:bottom w:type="dxa" w:w="100"/>
              <w:right w:type="dxa" w:w="80"/>
            </w:tcMar>
            <w:vAlign w:val="center"/>
          </w:tcPr>
          <w:p>
            <w:pPr>
              <w:jc w:val="center"/>
            </w:pPr>
            <w:r>
              <w:rPr>
                <w:rFonts w:ascii="Arial" w:cs="Arial" w:eastAsia="Arial" w:hAnsi="Arial"/>
                <w:b/>
                <w:bCs/>
                <w:color w:val="2E75B6"/>
                <w:sz w:val="20"/>
                <w:szCs w:val="20"/>
              </w:rPr>
              <w:t xml:space="preserve">P1</w:t>
            </w:r>
          </w:p>
        </w:tc>
        <w:tc>
          <w:tcPr>
            <w:tcW w:type="dxa" w:w="344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80"/>
            </w:tcMar>
          </w:tcPr>
          <w:p>
            <w:r>
              <w:rPr>
                <w:rFonts w:ascii="Arial" w:cs="Arial" w:eastAsia="Arial" w:hAnsi="Arial"/>
                <w:color w:val="374151"/>
                <w:sz w:val="19"/>
                <w:szCs w:val="19"/>
              </w:rPr>
              <w:t xml:space="preserve">Launch a 90-day onboarding campaign with check-ins, tutorials, and loyalty discounts for new customers in their first 3 months</w:t>
            </w:r>
          </w:p>
        </w:tc>
        <w:tc>
          <w:tcPr>
            <w:tcW w:type="dxa" w:w="4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80"/>
            </w:tcMar>
          </w:tcPr>
          <w:p>
            <w:r>
              <w:rPr>
                <w:rFonts w:ascii="Arial" w:cs="Arial" w:eastAsia="Arial" w:hAnsi="Arial"/>
                <w:b/>
                <w:bCs/>
                <w:color w:val="2E75B6"/>
                <w:sz w:val="19"/>
                <w:szCs w:val="19"/>
              </w:rPr>
              <w:t xml:space="preserve">New customers, tenure &lt; 3 months (churn: 47.7%)</w:t>
            </w:r>
          </w:p>
        </w:tc>
        <w:tc>
          <w:tcPr>
            <w:tcW w:type="dxa" w:w="1600"/>
            <w:tcBorders>
              <w:top w:val="single" w:color="CCCCCC" w:sz="1"/>
              <w:left w:val="single" w:color="CCCCCC" w:sz="1"/>
              <w:bottom w:val="single" w:color="CCCCCC" w:sz="1"/>
              <w:right w:val="single" w:color="CCCCCC" w:sz="1"/>
            </w:tcBorders>
            <w:shd w:fill="FCEA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HIGH</w:t>
            </w:r>
          </w:p>
        </w:tc>
      </w:tr>
      <w:tr>
        <w:tc>
          <w:tcPr>
            <w:tcW w:type="dxa" w:w="32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rFonts w:ascii="Arial" w:cs="Arial" w:eastAsia="Arial" w:hAnsi="Arial"/>
                <w:b/>
                <w:bCs/>
                <w:color w:val="2E75B6"/>
                <w:sz w:val="20"/>
                <w:szCs w:val="20"/>
              </w:rPr>
              <w:t xml:space="preserve">P1</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374151"/>
                <w:sz w:val="19"/>
                <w:szCs w:val="19"/>
              </w:rPr>
              <w:t xml:space="preserve">Offer incentives (bill credits, free months) to migrate month-to-month customers to 1-year or 2-year contracts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2E75B6"/>
                <w:sz w:val="19"/>
                <w:szCs w:val="19"/>
              </w:rPr>
              <w:t xml:space="preserve">Month-to-Month subscribers (42.7% churn, 55% of base)</w:t>
            </w:r>
          </w:p>
        </w:tc>
        <w:tc>
          <w:tcPr>
            <w:tcW w:type="dxa" w:w="1600"/>
            <w:tcBorders>
              <w:top w:val="single" w:color="CCCCCC" w:sz="1"/>
              <w:left w:val="single" w:color="CCCCCC" w:sz="1"/>
              <w:bottom w:val="single" w:color="CCCCCC" w:sz="1"/>
              <w:right w:val="single" w:color="CCCCCC" w:sz="1"/>
            </w:tcBorders>
            <w:shd w:fill="FCEAEA" w:val="clear"/>
            <w:tcMar>
              <w:top w:type="dxa" w:w="100"/>
              <w:left w:type="dxa" w:w="80"/>
              <w:bottom w:type="dxa" w:w="100"/>
              <w:right w:type="dxa" w:w="80"/>
            </w:tcMar>
            <w:vAlign w:val="center"/>
          </w:tcPr>
          <w:p>
            <w:pPr>
              <w:jc w:val="center"/>
            </w:pPr>
            <w:r>
              <w:rPr>
                <w:rFonts w:ascii="Arial" w:cs="Arial" w:eastAsia="Arial" w:hAnsi="Arial"/>
                <w:b/>
                <w:bCs/>
                <w:color w:val="C0392B"/>
                <w:sz w:val="18"/>
                <w:szCs w:val="18"/>
              </w:rPr>
              <w:t xml:space="preserve">HIGH</w:t>
            </w:r>
          </w:p>
        </w:tc>
      </w:tr>
      <w:tr>
        <w:tc>
          <w:tcPr>
            <w:tcW w:type="dxa" w:w="320"/>
            <w:tcBorders>
              <w:top w:val="single" w:color="CCCCCC" w:sz="1"/>
              <w:left w:val="single" w:color="CCCCCC" w:sz="1"/>
              <w:bottom w:val="single" w:color="CCCCCC" w:sz="1"/>
              <w:right w:val="single" w:color="CCCCCC" w:sz="1"/>
            </w:tcBorders>
            <w:shd w:fill="F5F7FA" w:val="clear"/>
            <w:tcMar>
              <w:top w:type="dxa" w:w="100"/>
              <w:left w:type="dxa" w:w="80"/>
              <w:bottom w:type="dxa" w:w="100"/>
              <w:right w:type="dxa" w:w="80"/>
            </w:tcMar>
            <w:vAlign w:val="center"/>
          </w:tcPr>
          <w:p>
            <w:pPr>
              <w:jc w:val="center"/>
            </w:pPr>
            <w:r>
              <w:rPr>
                <w:rFonts w:ascii="Arial" w:cs="Arial" w:eastAsia="Arial" w:hAnsi="Arial"/>
                <w:b/>
                <w:bCs/>
                <w:color w:val="2E75B6"/>
                <w:sz w:val="20"/>
                <w:szCs w:val="20"/>
              </w:rPr>
              <w:t xml:space="preserve">P2</w:t>
            </w:r>
          </w:p>
        </w:tc>
        <w:tc>
          <w:tcPr>
            <w:tcW w:type="dxa" w:w="344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80"/>
            </w:tcMar>
          </w:tcPr>
          <w:p>
            <w:r>
              <w:rPr>
                <w:rFonts w:ascii="Arial" w:cs="Arial" w:eastAsia="Arial" w:hAnsi="Arial"/>
                <w:color w:val="374151"/>
                <w:sz w:val="19"/>
                <w:szCs w:val="19"/>
              </w:rPr>
              <w:t xml:space="preserve">Run auto-pay enrollment campaigns with a small monthly discount (~$2-5) for switching from Electronic Check</w:t>
            </w:r>
          </w:p>
        </w:tc>
        <w:tc>
          <w:tcPr>
            <w:tcW w:type="dxa" w:w="4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80"/>
            </w:tcMar>
          </w:tcPr>
          <w:p>
            <w:r>
              <w:rPr>
                <w:rFonts w:ascii="Arial" w:cs="Arial" w:eastAsia="Arial" w:hAnsi="Arial"/>
                <w:b/>
                <w:bCs/>
                <w:color w:val="2E75B6"/>
                <w:sz w:val="19"/>
                <w:szCs w:val="19"/>
              </w:rPr>
              <w:t xml:space="preserve">Electronic Check users (45.3% churn, 33.6% of base)</w:t>
            </w:r>
          </w:p>
        </w:tc>
        <w:tc>
          <w:tcPr>
            <w:tcW w:type="dxa" w:w="1600"/>
            <w:tcBorders>
              <w:top w:val="single" w:color="CCCCCC" w:sz="1"/>
              <w:left w:val="single" w:color="CCCCCC" w:sz="1"/>
              <w:bottom w:val="single" w:color="CCCCCC" w:sz="1"/>
              <w:right w:val="single" w:color="CCCCCC" w:sz="1"/>
            </w:tcBorders>
            <w:shd w:fill="FEF3CD" w:val="clear"/>
            <w:tcMar>
              <w:top w:type="dxa" w:w="100"/>
              <w:left w:type="dxa" w:w="80"/>
              <w:bottom w:type="dxa" w:w="100"/>
              <w:right w:type="dxa" w:w="80"/>
            </w:tcMar>
            <w:vAlign w:val="center"/>
          </w:tcPr>
          <w:p>
            <w:pPr>
              <w:jc w:val="center"/>
            </w:pPr>
            <w:r>
              <w:rPr>
                <w:rFonts w:ascii="Arial" w:cs="Arial" w:eastAsia="Arial" w:hAnsi="Arial"/>
                <w:b/>
                <w:bCs/>
                <w:color w:val="B7791F"/>
                <w:sz w:val="18"/>
                <w:szCs w:val="18"/>
              </w:rPr>
              <w:t xml:space="preserve">HIGH</w:t>
            </w:r>
          </w:p>
        </w:tc>
      </w:tr>
      <w:tr>
        <w:tc>
          <w:tcPr>
            <w:tcW w:type="dxa" w:w="32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rFonts w:ascii="Arial" w:cs="Arial" w:eastAsia="Arial" w:hAnsi="Arial"/>
                <w:b/>
                <w:bCs/>
                <w:color w:val="2E75B6"/>
                <w:sz w:val="20"/>
                <w:szCs w:val="20"/>
              </w:rPr>
              <w:t xml:space="preserve">P2</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374151"/>
                <w:sz w:val="19"/>
                <w:szCs w:val="19"/>
              </w:rPr>
              <w:t xml:space="preserve">Create a Senior Care programme with dedicated support, simplified billing, and proactive service checks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2E75B6"/>
                <w:sz w:val="19"/>
                <w:szCs w:val="19"/>
              </w:rPr>
              <w:t xml:space="preserve">Senior Citizens (41.7% churn, 16.2% of base)</w:t>
            </w:r>
          </w:p>
        </w:tc>
        <w:tc>
          <w:tcPr>
            <w:tcW w:type="dxa" w:w="1600"/>
            <w:tcBorders>
              <w:top w:val="single" w:color="CCCCCC" w:sz="1"/>
              <w:left w:val="single" w:color="CCCCCC" w:sz="1"/>
              <w:bottom w:val="single" w:color="CCCCCC" w:sz="1"/>
              <w:right w:val="single" w:color="CCCCCC" w:sz="1"/>
            </w:tcBorders>
            <w:shd w:fill="FEF3CD" w:val="clear"/>
            <w:tcMar>
              <w:top w:type="dxa" w:w="100"/>
              <w:left w:type="dxa" w:w="80"/>
              <w:bottom w:type="dxa" w:w="100"/>
              <w:right w:type="dxa" w:w="80"/>
            </w:tcMar>
            <w:vAlign w:val="center"/>
          </w:tcPr>
          <w:p>
            <w:pPr>
              <w:jc w:val="center"/>
            </w:pPr>
            <w:r>
              <w:rPr>
                <w:rFonts w:ascii="Arial" w:cs="Arial" w:eastAsia="Arial" w:hAnsi="Arial"/>
                <w:b/>
                <w:bCs/>
                <w:color w:val="B7791F"/>
                <w:sz w:val="18"/>
                <w:szCs w:val="18"/>
              </w:rPr>
              <w:t xml:space="preserve">MED</w:t>
            </w:r>
          </w:p>
        </w:tc>
      </w:tr>
      <w:tr>
        <w:tc>
          <w:tcPr>
            <w:tcW w:type="dxa" w:w="320"/>
            <w:tcBorders>
              <w:top w:val="single" w:color="CCCCCC" w:sz="1"/>
              <w:left w:val="single" w:color="CCCCCC" w:sz="1"/>
              <w:bottom w:val="single" w:color="CCCCCC" w:sz="1"/>
              <w:right w:val="single" w:color="CCCCCC" w:sz="1"/>
            </w:tcBorders>
            <w:shd w:fill="F5F7FA" w:val="clear"/>
            <w:tcMar>
              <w:top w:type="dxa" w:w="100"/>
              <w:left w:type="dxa" w:w="80"/>
              <w:bottom w:type="dxa" w:w="100"/>
              <w:right w:type="dxa" w:w="80"/>
            </w:tcMar>
            <w:vAlign w:val="center"/>
          </w:tcPr>
          <w:p>
            <w:pPr>
              <w:jc w:val="center"/>
            </w:pPr>
            <w:r>
              <w:rPr>
                <w:rFonts w:ascii="Arial" w:cs="Arial" w:eastAsia="Arial" w:hAnsi="Arial"/>
                <w:b/>
                <w:bCs/>
                <w:color w:val="2E75B6"/>
                <w:sz w:val="20"/>
                <w:szCs w:val="20"/>
              </w:rPr>
              <w:t xml:space="preserve">P3</w:t>
            </w:r>
          </w:p>
        </w:tc>
        <w:tc>
          <w:tcPr>
            <w:tcW w:type="dxa" w:w="344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80"/>
            </w:tcMar>
          </w:tcPr>
          <w:p>
            <w:r>
              <w:rPr>
                <w:rFonts w:ascii="Arial" w:cs="Arial" w:eastAsia="Arial" w:hAnsi="Arial"/>
                <w:color w:val="374151"/>
                <w:sz w:val="19"/>
                <w:szCs w:val="19"/>
              </w:rPr>
              <w:t xml:space="preserve">Bundle Online Security and Tech Support as free 3-month trials for at-risk unsubscribed customers</w:t>
            </w:r>
          </w:p>
        </w:tc>
        <w:tc>
          <w:tcPr>
            <w:tcW w:type="dxa" w:w="4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80"/>
            </w:tcMar>
          </w:tcPr>
          <w:p>
            <w:r>
              <w:rPr>
                <w:rFonts w:ascii="Arial" w:cs="Arial" w:eastAsia="Arial" w:hAnsi="Arial"/>
                <w:b/>
                <w:bCs/>
                <w:color w:val="2E75B6"/>
                <w:sz w:val="19"/>
                <w:szCs w:val="19"/>
              </w:rPr>
              <w:t xml:space="preserve">Customers without add-ons (31%+ churn)</w:t>
            </w:r>
          </w:p>
        </w:tc>
        <w:tc>
          <w:tcPr>
            <w:tcW w:type="dxa" w:w="1600"/>
            <w:tcBorders>
              <w:top w:val="single" w:color="CCCCCC" w:sz="1"/>
              <w:left w:val="single" w:color="CCCCCC" w:sz="1"/>
              <w:bottom w:val="single" w:color="CCCCCC" w:sz="1"/>
              <w:right w:val="single" w:color="CCCCCC" w:sz="1"/>
            </w:tcBorders>
            <w:shd w:fill="FEF3CD" w:val="clear"/>
            <w:tcMar>
              <w:top w:type="dxa" w:w="100"/>
              <w:left w:type="dxa" w:w="80"/>
              <w:bottom w:type="dxa" w:w="100"/>
              <w:right w:type="dxa" w:w="80"/>
            </w:tcMar>
            <w:vAlign w:val="center"/>
          </w:tcPr>
          <w:p>
            <w:pPr>
              <w:jc w:val="center"/>
            </w:pPr>
            <w:r>
              <w:rPr>
                <w:rFonts w:ascii="Arial" w:cs="Arial" w:eastAsia="Arial" w:hAnsi="Arial"/>
                <w:b/>
                <w:bCs/>
                <w:color w:val="B7791F"/>
                <w:sz w:val="18"/>
                <w:szCs w:val="18"/>
              </w:rPr>
              <w:t xml:space="preserve">MED</w:t>
            </w:r>
          </w:p>
        </w:tc>
      </w:tr>
      <w:tr>
        <w:tc>
          <w:tcPr>
            <w:tcW w:type="dxa" w:w="32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rFonts w:ascii="Arial" w:cs="Arial" w:eastAsia="Arial" w:hAnsi="Arial"/>
                <w:b/>
                <w:bCs/>
                <w:color w:val="2E75B6"/>
                <w:sz w:val="20"/>
                <w:szCs w:val="20"/>
              </w:rPr>
              <w:t xml:space="preserve">P3</w:t>
            </w:r>
          </w:p>
        </w:tc>
        <w:tc>
          <w:tcPr>
            <w:tcW w:type="dxa" w:w="3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color w:val="374151"/>
                <w:sz w:val="19"/>
                <w:szCs w:val="19"/>
              </w:rPr>
              <w:t xml:space="preserve">Investigate Fibre Optic service quality and pricing; survey churned Fibre customers for root cause feedback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80"/>
            </w:tcMar>
          </w:tcPr>
          <w:p>
            <w:r>
              <w:rPr>
                <w:rFonts w:ascii="Arial" w:cs="Arial" w:eastAsia="Arial" w:hAnsi="Arial"/>
                <w:b/>
                <w:bCs/>
                <w:color w:val="2E75B6"/>
                <w:sz w:val="19"/>
                <w:szCs w:val="19"/>
              </w:rPr>
              <w:t xml:space="preserve">Fibre Optic subscribers (41.9% churn, 43.9% of base)</w:t>
            </w:r>
          </w:p>
        </w:tc>
        <w:tc>
          <w:tcPr>
            <w:tcW w:type="dxa" w:w="1600"/>
            <w:tcBorders>
              <w:top w:val="single" w:color="CCCCCC" w:sz="1"/>
              <w:left w:val="single" w:color="CCCCCC" w:sz="1"/>
              <w:bottom w:val="single" w:color="CCCCCC" w:sz="1"/>
              <w:right w:val="single" w:color="CCCCCC" w:sz="1"/>
            </w:tcBorders>
            <w:shd w:fill="D5F0E3" w:val="clear"/>
            <w:tcMar>
              <w:top w:type="dxa" w:w="100"/>
              <w:left w:type="dxa" w:w="80"/>
              <w:bottom w:type="dxa" w:w="100"/>
              <w:right w:type="dxa" w:w="80"/>
            </w:tcMar>
            <w:vAlign w:val="center"/>
          </w:tcPr>
          <w:p>
            <w:pPr>
              <w:jc w:val="center"/>
            </w:pPr>
            <w:r>
              <w:rPr>
                <w:rFonts w:ascii="Arial" w:cs="Arial" w:eastAsia="Arial" w:hAnsi="Arial"/>
                <w:b/>
                <w:bCs/>
                <w:color w:val="1A7A4A"/>
                <w:sz w:val="18"/>
                <w:szCs w:val="18"/>
              </w:rPr>
              <w:t xml:space="preserve">MED</w:t>
            </w:r>
          </w:p>
        </w:tc>
      </w:tr>
      <w:tr>
        <w:tc>
          <w:tcPr>
            <w:tcW w:type="dxa" w:w="320"/>
            <w:tcBorders>
              <w:top w:val="single" w:color="CCCCCC" w:sz="1"/>
              <w:left w:val="single" w:color="CCCCCC" w:sz="1"/>
              <w:bottom w:val="single" w:color="CCCCCC" w:sz="1"/>
              <w:right w:val="single" w:color="CCCCCC" w:sz="1"/>
            </w:tcBorders>
            <w:shd w:fill="F5F7FA" w:val="clear"/>
            <w:tcMar>
              <w:top w:type="dxa" w:w="100"/>
              <w:left w:type="dxa" w:w="80"/>
              <w:bottom w:type="dxa" w:w="100"/>
              <w:right w:type="dxa" w:w="80"/>
            </w:tcMar>
            <w:vAlign w:val="center"/>
          </w:tcPr>
          <w:p>
            <w:pPr>
              <w:jc w:val="center"/>
            </w:pPr>
            <w:r>
              <w:rPr>
                <w:rFonts w:ascii="Arial" w:cs="Arial" w:eastAsia="Arial" w:hAnsi="Arial"/>
                <w:b/>
                <w:bCs/>
                <w:color w:val="2E75B6"/>
                <w:sz w:val="20"/>
                <w:szCs w:val="20"/>
              </w:rPr>
              <w:t xml:space="preserve">P4</w:t>
            </w:r>
          </w:p>
        </w:tc>
        <w:tc>
          <w:tcPr>
            <w:tcW w:type="dxa" w:w="344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80"/>
            </w:tcMar>
          </w:tcPr>
          <w:p>
            <w:r>
              <w:rPr>
                <w:rFonts w:ascii="Arial" w:cs="Arial" w:eastAsia="Arial" w:hAnsi="Arial"/>
                <w:color w:val="374151"/>
                <w:sz w:val="19"/>
                <w:szCs w:val="19"/>
              </w:rPr>
              <w:t xml:space="preserve">Develop a predictive churn model using contract type, tenure, payment method, and senior status as primary features</w:t>
            </w:r>
          </w:p>
        </w:tc>
        <w:tc>
          <w:tcPr>
            <w:tcW w:type="dxa" w:w="4000"/>
            <w:tcBorders>
              <w:top w:val="single" w:color="CCCCCC" w:sz="1"/>
              <w:left w:val="single" w:color="CCCCCC" w:sz="1"/>
              <w:bottom w:val="single" w:color="CCCCCC" w:sz="1"/>
              <w:right w:val="single" w:color="CCCCCC" w:sz="1"/>
            </w:tcBorders>
            <w:shd w:fill="F5F7FA" w:val="clear"/>
            <w:tcMar>
              <w:top w:type="dxa" w:w="100"/>
              <w:left w:type="dxa" w:w="120"/>
              <w:bottom w:type="dxa" w:w="100"/>
              <w:right w:type="dxa" w:w="80"/>
            </w:tcMar>
          </w:tcPr>
          <w:p>
            <w:r>
              <w:rPr>
                <w:rFonts w:ascii="Arial" w:cs="Arial" w:eastAsia="Arial" w:hAnsi="Arial"/>
                <w:b/>
                <w:bCs/>
                <w:color w:val="2E75B6"/>
                <w:sz w:val="19"/>
                <w:szCs w:val="19"/>
              </w:rPr>
              <w:t xml:space="preserve">All customer segments</w:t>
            </w:r>
          </w:p>
        </w:tc>
        <w:tc>
          <w:tcPr>
            <w:tcW w:type="dxa" w:w="1600"/>
            <w:tcBorders>
              <w:top w:val="single" w:color="CCCCCC" w:sz="1"/>
              <w:left w:val="single" w:color="CCCCCC" w:sz="1"/>
              <w:bottom w:val="single" w:color="CCCCCC" w:sz="1"/>
              <w:right w:val="single" w:color="CCCCCC" w:sz="1"/>
            </w:tcBorders>
            <w:shd w:fill="D5F0E3" w:val="clear"/>
            <w:tcMar>
              <w:top w:type="dxa" w:w="100"/>
              <w:left w:type="dxa" w:w="80"/>
              <w:bottom w:type="dxa" w:w="100"/>
              <w:right w:type="dxa" w:w="80"/>
            </w:tcMar>
            <w:vAlign w:val="center"/>
          </w:tcPr>
          <w:p>
            <w:pPr>
              <w:jc w:val="center"/>
            </w:pPr>
            <w:r>
              <w:rPr>
                <w:rFonts w:ascii="Arial" w:cs="Arial" w:eastAsia="Arial" w:hAnsi="Arial"/>
                <w:b/>
                <w:bCs/>
                <w:color w:val="1A7A4A"/>
                <w:sz w:val="18"/>
                <w:szCs w:val="18"/>
              </w:rPr>
              <w:t xml:space="preserve">LOW</w:t>
            </w:r>
          </w:p>
        </w:tc>
      </w:tr>
    </w:tbl>
    <w:p>
      <w:pPr>
        <w:spacing w:after="100" w:before="100"/>
      </w:pPr>
      <w:r>
        <w:t xml:space="preserve"/>
      </w:r>
    </w:p>
    <w:p>
      <w:pPr>
        <w:pBdr>
          <w:bottom w:val="single" w:color="E2E8F0" w:sz="4" w:space="1"/>
        </w:pBdr>
        <w:spacing w:after="120" w:before="120"/>
      </w:pPr>
      <w:r>
        <w:t xml:space="preserve"/>
      </w:r>
    </w:p>
    <w:p>
      <w:pPr>
        <w:shd w:fill="2E75B6" w:val="clear"/>
        <w:spacing w:after="180" w:before="280"/>
        <w:ind w:left="0"/>
        <w:jc w:val="left"/>
      </w:pPr>
      <w:r>
        <w:rPr>
          <w:rFonts w:ascii="Arial" w:cs="Arial" w:eastAsia="Arial" w:hAnsi="Arial"/>
          <w:b/>
          <w:bCs/>
          <w:color w:val="D6E4F0"/>
          <w:sz w:val="22"/>
          <w:szCs w:val="22"/>
        </w:rPr>
        <w:t xml:space="preserve">  07  </w:t>
      </w:r>
      <w:r>
        <w:rPr>
          <w:rFonts w:ascii="Arial" w:cs="Arial" w:eastAsia="Arial" w:hAnsi="Arial"/>
          <w:b/>
          <w:bCs/>
          <w:color w:val="FFFFFF"/>
          <w:sz w:val="24"/>
          <w:szCs w:val="24"/>
        </w:rPr>
        <w:t xml:space="preserve">CONCLUSION</w:t>
      </w:r>
    </w:p>
    <w:p>
      <w:pPr>
        <w:spacing w:after="60" w:before="60"/>
      </w:pPr>
      <w:r>
        <w:t xml:space="preserve"/>
      </w:r>
    </w:p>
    <w:p>
      <w:pPr>
        <w:spacing w:after="80" w:before="60"/>
      </w:pPr>
      <w:r>
        <w:rPr>
          <w:rFonts w:ascii="Arial" w:cs="Arial" w:eastAsia="Arial" w:hAnsi="Arial"/>
          <w:color w:val="374151"/>
          <w:sz w:val="21"/>
          <w:szCs w:val="21"/>
        </w:rPr>
        <w:t xml:space="preserve">The Telecom Customer Churn Analysis reveals a 26.54% attrition rate — approximately 1 in 4 customers. The root causes are clear and actionable:</w:t>
      </w:r>
    </w:p>
    <w:p>
      <w:pPr>
        <w:spacing w:after="60" w:before="60"/>
      </w:pPr>
      <w:r>
        <w:t xml:space="preserve"/>
      </w:r>
    </w:p>
    <w:p>
      <w:pPr>
        <w:pStyle w:val="ListParagraph"/>
        <w:numPr>
          <w:ilvl w:val="0"/>
          <w:numId w:val="2"/>
        </w:numPr>
        <w:spacing w:after="60" w:before="60"/>
      </w:pPr>
      <w:r>
        <w:rPr>
          <w:rFonts w:ascii="Arial" w:cs="Arial" w:eastAsia="Arial" w:hAnsi="Arial"/>
          <w:color w:val="374151"/>
          <w:sz w:val="21"/>
          <w:szCs w:val="21"/>
        </w:rPr>
        <w:t xml:space="preserve">Contract flexibility is the single biggest structural risk. Over half the customer base (55%) is on month-to-month contracts with a 42.7% churn rate.</w:t>
      </w:r>
    </w:p>
    <w:p>
      <w:pPr>
        <w:pStyle w:val="ListParagraph"/>
        <w:numPr>
          <w:ilvl w:val="0"/>
          <w:numId w:val="2"/>
        </w:numPr>
        <w:spacing w:after="60" w:before="60"/>
      </w:pPr>
      <w:r>
        <w:rPr>
          <w:rFonts w:ascii="Arial" w:cs="Arial" w:eastAsia="Arial" w:hAnsi="Arial"/>
          <w:color w:val="374151"/>
          <w:sz w:val="21"/>
          <w:szCs w:val="21"/>
        </w:rPr>
        <w:t xml:space="preserve">Early-stage customers are the most vulnerable. Those with tenure under 12 months churn at 47.7%, making the first year the critical retention window.</w:t>
      </w:r>
    </w:p>
    <w:p>
      <w:pPr>
        <w:pStyle w:val="ListParagraph"/>
        <w:numPr>
          <w:ilvl w:val="0"/>
          <w:numId w:val="2"/>
        </w:numPr>
        <w:spacing w:after="60" w:before="60"/>
      </w:pPr>
      <w:r>
        <w:rPr>
          <w:rFonts w:ascii="Arial" w:cs="Arial" w:eastAsia="Arial" w:hAnsi="Arial"/>
          <w:color w:val="374151"/>
          <w:sz w:val="21"/>
          <w:szCs w:val="21"/>
        </w:rPr>
        <w:t xml:space="preserve">Payment method is a strong proxy for engagement. Electronic Check users (45.3% churn) vs. auto-pay users (15.2%) reveals a 3x loyalty gap.</w:t>
      </w:r>
    </w:p>
    <w:p>
      <w:pPr>
        <w:pStyle w:val="ListParagraph"/>
        <w:numPr>
          <w:ilvl w:val="0"/>
          <w:numId w:val="2"/>
        </w:numPr>
        <w:spacing w:after="60" w:before="60"/>
      </w:pPr>
      <w:r>
        <w:rPr>
          <w:rFonts w:ascii="Arial" w:cs="Arial" w:eastAsia="Arial" w:hAnsi="Arial"/>
          <w:color w:val="374151"/>
          <w:sz w:val="21"/>
          <w:szCs w:val="21"/>
        </w:rPr>
        <w:t xml:space="preserve">Add-on services reduce churn significantly. Customers with Online Security or Tech Support churn at ~15% vs. ~32% for those without.</w:t>
      </w:r>
    </w:p>
    <w:p>
      <w:pPr>
        <w:spacing w:after="60" w:before="60"/>
      </w:pPr>
      <w:r>
        <w:t xml:space="preserve"/>
      </w:r>
    </w:p>
    <w:p>
      <w:pPr>
        <w:spacing w:after="80" w:before="60"/>
      </w:pPr>
      <w:r>
        <w:rPr>
          <w:rFonts w:ascii="Arial" w:cs="Arial" w:eastAsia="Arial" w:hAnsi="Arial"/>
          <w:color w:val="374151"/>
          <w:sz w:val="21"/>
          <w:szCs w:val="21"/>
        </w:rPr>
        <w:t xml:space="preserve">Gender has negligible influence and should not drive segmentation decisions. Senior citizens, though a minority (16.2%), demand targeted attention given their disproportionate churn rate (41.7%). Fibre Optic users warrant a dedicated service quality review.</w:t>
      </w:r>
    </w:p>
    <w:p>
      <w:pPr>
        <w:spacing w:after="60" w:before="60"/>
      </w:pPr>
      <w:r>
        <w:t xml:space="preserve"/>
      </w:r>
    </w:p>
    <w:p>
      <w:pPr>
        <w:spacing w:after="80" w:before="60"/>
      </w:pPr>
      <w:r>
        <w:rPr>
          <w:rFonts w:ascii="Arial" w:cs="Arial" w:eastAsia="Arial" w:hAnsi="Arial"/>
          <w:color w:val="374151"/>
          <w:sz w:val="21"/>
          <w:szCs w:val="21"/>
        </w:rPr>
        <w:t xml:space="preserve">The immediate priority should be twofold: (1) converting month-to-month customers to longer-term contracts, and (2) improving the first-year customer experience. A machine learning churn prediction model is the recommended next step to enable proactive, personalised retention outreach.</w:t>
      </w:r>
    </w:p>
    <w:p>
      <w:pPr>
        <w:spacing w:after="120" w:before="120"/>
      </w:pPr>
      <w:r>
        <w:t xml:space="preserve"/>
      </w:r>
    </w:p>
    <w:p>
      <w:pPr>
        <w:pBdr>
          <w:top w:val="single" w:color="2E75B6" w:sz="6" w:space="6"/>
        </w:pBdr>
        <w:spacing w:after="60" w:before="160"/>
        <w:jc w:val="center"/>
      </w:pPr>
      <w:r>
        <w:rPr>
          <w:rFonts w:ascii="Arial" w:cs="Arial" w:eastAsia="Arial" w:hAnsi="Arial"/>
          <w:i/>
          <w:iCs/>
          <w:color w:val="6B7280"/>
          <w:sz w:val="16"/>
          <w:szCs w:val="16"/>
        </w:rPr>
        <w:t xml:space="preserve">Telecom Customer Churn Analysis  |  Exploratory Data Analysis  |  Python · Pandas · Seaborn · Matplotlib</w:t>
      </w:r>
    </w:p>
    <w:p>
      <w:pPr>
        <w:spacing w:after="60" w:before="0"/>
        <w:jc w:val="center"/>
      </w:pPr>
      <w:r>
        <w:rPr>
          <w:rFonts w:ascii="Arial" w:cs="Arial" w:eastAsia="Arial" w:hAnsi="Arial"/>
          <w:color w:val="6B7280"/>
          <w:sz w:val="16"/>
          <w:szCs w:val="16"/>
        </w:rPr>
        <w:t xml:space="preserve">Dataset: 7,043 customers  |  21 variables  |  Churn Rate: 26.54%</w:t>
      </w:r>
    </w:p>
    <w:sectPr>
      <w:pgSz w:w="12240" w:h="15840"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2026-05-06T06:22:04.101Z</dcterms:created>
  <dcterms:modified xsi:type="dcterms:W3CDTF">2026-05-06T06:22:04.101Z</dcterms:modified>
</cp:coreProperties>
</file>

<file path=docProps/custom.xml><?xml version="1.0" encoding="utf-8"?>
<Properties xmlns="http://schemas.openxmlformats.org/officeDocument/2006/custom-properties" xmlns:vt="http://schemas.openxmlformats.org/officeDocument/2006/docPropsVTypes"/>
</file>