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Segoe UI Semibold" w:hAnsi="Segoe UI Semibold"/>
          <w:color w:val="1F4E79"/>
        </w:rPr>
        <w:t>Phase 1 Documentation: Infrastructure &amp; Real-Time Data Simulation Layer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Executive Summary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 xml:space="preserve">This document provides a comprehensive guide to </w:t>
      </w:r>
      <w:r>
        <w:rPr>
          <w:rFonts w:ascii="Segoe UI" w:hAnsi="Segoe UI"/>
          <w:b/>
          <w:sz w:val="20"/>
        </w:rPr>
        <w:t>Phase 1</w:t>
      </w:r>
      <w:r>
        <w:rPr>
          <w:rFonts w:ascii="Segoe UI" w:hAnsi="Segoe UI"/>
          <w:sz w:val="20"/>
        </w:rPr>
        <w:t xml:space="preserve"> of the </w:t>
      </w:r>
      <w:r>
        <w:rPr>
          <w:rFonts w:ascii="Segoe UI" w:hAnsi="Segoe UI"/>
          <w:b/>
          <w:sz w:val="20"/>
        </w:rPr>
        <w:t>Real-Time Fraud Detection Console</w:t>
      </w:r>
      <w:r>
        <w:rPr>
          <w:rFonts w:ascii="Segoe UI" w:hAnsi="Segoe UI"/>
          <w:sz w:val="20"/>
        </w:rPr>
        <w:t xml:space="preserve"> project for Big Data Analytics.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In this phase, we established:</w:t>
      </w:r>
    </w:p>
    <w:p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distributed streaming infrastructure</w:t>
      </w:r>
      <w:r>
        <w:rPr>
          <w:rFonts w:ascii="Segoe UI" w:hAnsi="Segoe UI"/>
          <w:sz w:val="20"/>
        </w:rPr>
        <w:t xml:space="preserve"> setup (</w:t>
      </w:r>
      <w:r>
        <w:rPr>
          <w:rFonts w:ascii="Segoe UI" w:hAnsi="Segoe UI"/>
          <w:color w:val="B42828"/>
          <w:sz w:val="20"/>
        </w:rPr>
        <w:t>docker/docker-compose.yml</w:t>
      </w:r>
      <w:r>
        <w:rPr>
          <w:rFonts w:ascii="Segoe UI" w:hAnsi="Segoe UI"/>
          <w:sz w:val="20"/>
        </w:rPr>
        <w:t>).</w:t>
      </w:r>
    </w:p>
    <w:p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realistic synthetic banking transaction simulator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simulator/transaction_generator.py</w:t>
      </w:r>
      <w:r>
        <w:rPr>
          <w:rFonts w:ascii="Segoe UI" w:hAnsi="Segoe UI"/>
          <w:sz w:val="20"/>
        </w:rPr>
        <w:t>).</w:t>
      </w:r>
    </w:p>
    <w:p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4-pattern real-world fraud injection engine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simulator/fraud_injector.py</w:t>
      </w:r>
      <w:r>
        <w:rPr>
          <w:rFonts w:ascii="Segoe UI" w:hAnsi="Segoe UI"/>
          <w:sz w:val="20"/>
        </w:rPr>
        <w:t>).</w:t>
      </w:r>
    </w:p>
    <w:p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Apache Kafka publish-subscribe message producer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simulator/kafka_producer.py</w:t>
      </w:r>
      <w:r>
        <w:rPr>
          <w:rFonts w:ascii="Segoe UI" w:hAnsi="Segoe UI"/>
          <w:sz w:val="20"/>
        </w:rPr>
        <w:t>) with fallback stream buffer support.</w:t>
      </w:r>
    </w:p>
    <w:p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stream verification consumer tool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streaming/consumer_test.py</w:t>
      </w:r>
      <w:r>
        <w:rPr>
          <w:rFonts w:ascii="Segoe UI" w:hAnsi="Segoe UI"/>
          <w:sz w:val="20"/>
        </w:rPr>
        <w:t>).</w:t>
      </w:r>
    </w:p>
    <w:p>
      <w:pPr>
        <w:pStyle w:val="ListNumber"/>
        <w:spacing w:before="20" w:after="40"/>
      </w:pPr>
      <w:r>
        <w:rPr>
          <w:rFonts w:ascii="Segoe UI" w:hAnsi="Segoe UI"/>
          <w:sz w:val="20"/>
        </w:rPr>
        <w:t xml:space="preserve">The </w:t>
      </w:r>
      <w:r>
        <w:rPr>
          <w:rFonts w:ascii="Segoe UI" w:hAnsi="Segoe UI"/>
          <w:b/>
          <w:sz w:val="20"/>
        </w:rPr>
        <w:t>offline calibration seed dataset generator</w:t>
      </w:r>
      <w:r>
        <w:rPr>
          <w:rFonts w:ascii="Segoe UI" w:hAnsi="Segoe UI"/>
          <w:sz w:val="20"/>
        </w:rPr>
        <w:t xml:space="preserve"> (</w:t>
      </w:r>
      <w:r>
        <w:rPr>
          <w:rFonts w:ascii="Segoe UI" w:hAnsi="Segoe UI"/>
          <w:color w:val="B42828"/>
          <w:sz w:val="20"/>
        </w:rPr>
        <w:t>data/seed_transactions.csv</w:t>
      </w:r>
      <w:r>
        <w:rPr>
          <w:rFonts w:ascii="Segoe UI" w:hAnsi="Segoe UI"/>
          <w:sz w:val="20"/>
        </w:rPr>
        <w:t>).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1. Big Data Concepts &amp; Architectural Foundations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1.1 The 3 V's in Financial Stream Ingestion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Volume</w:t>
      </w:r>
      <w:r>
        <w:rPr>
          <w:rFonts w:ascii="Segoe UI" w:hAnsi="Segoe UI"/>
          <w:sz w:val="20"/>
        </w:rPr>
        <w:t>: Banks process millions of payments daily across credit cards, wire transfers, and digital wallets.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Velocity</w:t>
      </w:r>
      <w:r>
        <w:rPr>
          <w:rFonts w:ascii="Segoe UI" w:hAnsi="Segoe UI"/>
          <w:sz w:val="20"/>
        </w:rPr>
        <w:t>: Transactions must be ingested, scored against fraud rules, and persisted in sub-second latency windows (milliseconds) before card approval or decline.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Variety</w:t>
      </w:r>
      <w:r>
        <w:rPr>
          <w:rFonts w:ascii="Segoe UI" w:hAnsi="Segoe UI"/>
          <w:sz w:val="20"/>
        </w:rPr>
        <w:t>: Combining structured fields (amount, timestamps, merchant IDs) with geospatial coordinates (</w:t>
      </w:r>
      <w:r>
        <w:rPr>
          <w:rFonts w:ascii="Segoe UI" w:hAnsi="Segoe UI"/>
          <w:color w:val="B42828"/>
          <w:sz w:val="20"/>
        </w:rPr>
        <w:t>lat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lon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city</w:t>
      </w:r>
      <w:r>
        <w:rPr>
          <w:rFonts w:ascii="Segoe UI" w:hAnsi="Segoe UI"/>
          <w:sz w:val="20"/>
        </w:rPr>
        <w:t>), network identifiers (</w:t>
      </w:r>
      <w:r>
        <w:rPr>
          <w:rFonts w:ascii="Segoe UI" w:hAnsi="Segoe UI"/>
          <w:color w:val="B42828"/>
          <w:sz w:val="20"/>
        </w:rPr>
        <w:t>IP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device_id</w:t>
      </w:r>
      <w:r>
        <w:rPr>
          <w:rFonts w:ascii="Segoe UI" w:hAnsi="Segoe UI"/>
          <w:sz w:val="20"/>
        </w:rPr>
        <w:t>), and historical account behavior.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1.2 Pub-Sub Ingestion Architecture with Apache Kafka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 xml:space="preserve">Traditional request-response architectures collapse under traffic spikes. </w:t>
      </w:r>
      <w:r>
        <w:rPr>
          <w:rFonts w:ascii="Segoe UI" w:hAnsi="Segoe UI"/>
          <w:b/>
          <w:sz w:val="20"/>
        </w:rPr>
        <w:t>Apache Kafka</w:t>
      </w:r>
      <w:r>
        <w:rPr>
          <w:rFonts w:ascii="Segoe UI" w:hAnsi="Segoe UI"/>
          <w:sz w:val="20"/>
        </w:rPr>
        <w:t xml:space="preserve"> decouples data producers (POS machines, online checkout portals, mobile apps) from stream consumers (Spark Structured Streaming engines, NoSQL stores, monitoring dashboards).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+------------------------+        +--------------------------+        +------------------------+</w:t>
              <w:br/>
              <w:t xml:space="preserve"> | Transaction Simulator  | -----&gt; |   Apache Kafka Broker    | -----&gt; |   Spark / Consumer     |</w:t>
              <w:br/>
              <w:t xml:space="preserve"> | (Banking Producer)     |        | Topic: banking-txns      |        |   Verification Engine  |</w:t>
              <w:br/>
              <w:t xml:space="preserve"> +------------------------+        +--------------------------+        +------------------------+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sz w:val="20"/>
        </w:rPr>
        <w:t>Key Benefits of Kafka in this Pipeline: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Durable Buffering</w:t>
      </w:r>
      <w:r>
        <w:rPr>
          <w:rFonts w:ascii="Segoe UI" w:hAnsi="Segoe UI"/>
          <w:sz w:val="20"/>
        </w:rPr>
        <w:t>: Offsets and stores incoming events sequentially.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High Throughput</w:t>
      </w:r>
      <w:r>
        <w:rPr>
          <w:rFonts w:ascii="Segoe UI" w:hAnsi="Segoe UI"/>
          <w:sz w:val="20"/>
        </w:rPr>
        <w:t>: Can ingest hundreds of thousands of messages per second with minimal latency.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Fault Tolerance &amp; Scalability</w:t>
      </w:r>
      <w:r>
        <w:rPr>
          <w:rFonts w:ascii="Segoe UI" w:hAnsi="Segoe UI"/>
          <w:sz w:val="20"/>
        </w:rPr>
        <w:t>: Partitioned log architecture allows horizontal scaling across consumer groups.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2. Component Walkthrough &amp; Data Schema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2.1 Transaction Payload Schema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Each ingested event is formatted as a JSON record containing: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transaction_id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 xml:space="preserve">Unique UUID identifier (e.g., </w:t>
            </w:r>
            <w:r>
              <w:rPr>
                <w:rFonts w:ascii="Segoe UI" w:hAnsi="Segoe UI"/>
                <w:color w:val="B42828"/>
                <w:sz w:val="18"/>
              </w:rPr>
              <w:t>TXN-932769117BD9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account_id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 xml:space="preserve">Customer account reference (e.g., </w:t>
            </w:r>
            <w:r>
              <w:rPr>
                <w:rFonts w:ascii="Segoe UI" w:hAnsi="Segoe UI"/>
                <w:color w:val="B42828"/>
                <w:sz w:val="18"/>
              </w:rPr>
              <w:t>ACC-100042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card_number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Masked credit card number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timestamp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ISO-8601 UTC timestamp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amount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Float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Transaction amount in USD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merchant_id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Merchant entity ID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merchant_name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Business name and category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category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Merchant domain (Retail, Grocery, Gambling, Crypto, etc.)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location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Object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{ latitude, longitude, city, country }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device_id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Device hardware fingerprint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ip_address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Network IP address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distance_from_home_km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Float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Calculated Haversine distance from home city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is_fraud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 xml:space="preserve">Ground truth flag: </w:t>
            </w:r>
            <w:r>
              <w:rPr>
                <w:rFonts w:ascii="Segoe UI" w:hAnsi="Segoe UI"/>
                <w:color w:val="B42828"/>
                <w:sz w:val="18"/>
              </w:rPr>
              <w:t>0</w:t>
            </w:r>
            <w:r>
              <w:rPr>
                <w:rFonts w:ascii="Segoe UI" w:hAnsi="Segoe UI"/>
                <w:sz w:val="18"/>
              </w:rPr>
              <w:t xml:space="preserve"> (Normal), </w:t>
            </w:r>
            <w:r>
              <w:rPr>
                <w:rFonts w:ascii="Segoe UI" w:hAnsi="Segoe UI"/>
                <w:color w:val="B42828"/>
                <w:sz w:val="18"/>
              </w:rPr>
              <w:t>1</w:t>
            </w:r>
            <w:r>
              <w:rPr>
                <w:rFonts w:ascii="Segoe UI" w:hAnsi="Segoe UI"/>
                <w:sz w:val="18"/>
              </w:rPr>
              <w:t xml:space="preserve"> (Fraudulent)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fraud_type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Pattern classification (</w:t>
            </w:r>
            <w:r>
              <w:rPr>
                <w:rFonts w:ascii="Segoe UI" w:hAnsi="Segoe UI"/>
                <w:color w:val="B42828"/>
                <w:sz w:val="18"/>
              </w:rPr>
              <w:t>NORMAL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HIGH_AMOUNT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IMPOSSIBLE_VELOCITY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ODD_HOURS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Segoe UI" w:hAnsi="Segoe UI"/>
                <w:color w:val="B42828"/>
                <w:sz w:val="18"/>
              </w:rPr>
              <w:t>HIGH_RISK_MERCHANT</w:t>
            </w:r>
            <w:r>
              <w:rPr>
                <w:rFonts w:ascii="Segoe UI" w:hAnsi="Segoe UI"/>
                <w:sz w:val="18"/>
              </w:rPr>
              <w:t>)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2.2 Fraud Pattern Simulation Engine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 xml:space="preserve">To reflect realistic banking fraud vectors, the simulator embeds a controlled percentage of anomalies (configurable, default </w:t>
      </w:r>
      <w:r>
        <w:rPr>
          <w:rFonts w:ascii="Segoe UI" w:hAnsi="Segoe UI"/>
          <w:color w:val="B42828"/>
          <w:sz w:val="20"/>
        </w:rPr>
        <w:t>8.0%</w:t>
      </w:r>
      <w:r>
        <w:rPr>
          <w:rFonts w:ascii="Segoe UI" w:hAnsi="Segoe UI"/>
          <w:sz w:val="20"/>
        </w:rPr>
        <w:t>):</w:t>
      </w:r>
    </w:p>
    <w:p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HIGH_AMOUNT</w:t>
      </w:r>
      <w:r>
        <w:rPr>
          <w:rFonts w:ascii="Segoe UI" w:hAnsi="Segoe UI"/>
          <w:sz w:val="20"/>
        </w:rPr>
        <w:t>: Anomalous purchase spike ($2,500 - $9,500) significantly higher than the account's baseline standard deviation.</w:t>
      </w:r>
    </w:p>
    <w:p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IMPOSSIBLE_VELOCITY</w:t>
      </w:r>
      <w:r>
        <w:rPr>
          <w:rFonts w:ascii="Segoe UI" w:hAnsi="Segoe UI"/>
          <w:sz w:val="20"/>
        </w:rPr>
        <w:t xml:space="preserve">: Geospatial anomaly where consecutive transactions occur in cities separated by thousands of kilometers within minutes (e.g., New York then Los Angeles), yielding impossible travel speed (&gt; 800 km/h). Calculated using the </w:t>
      </w:r>
      <w:r>
        <w:rPr>
          <w:rFonts w:ascii="Segoe UI" w:hAnsi="Segoe UI"/>
          <w:b/>
          <w:sz w:val="20"/>
        </w:rPr>
        <w:t>Haversine Formula</w:t>
      </w:r>
      <w:r>
        <w:rPr>
          <w:rFonts w:ascii="Segoe UI" w:hAnsi="Segoe UI"/>
          <w:sz w:val="20"/>
        </w:rPr>
        <w:t>: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$$d = 2R \arcsin\left(\sqrt{\sin^2\left(\frac{\Delta \phi}{2}\right) + \cos(\phi_1)\cos(\phi_2)\sin^2\left(\frac{\Delta \lambda}{2}\right)}\right)$$</w:t>
      </w:r>
    </w:p>
    <w:p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ODD_HOURS</w:t>
      </w:r>
      <w:r>
        <w:rPr>
          <w:rFonts w:ascii="Segoe UI" w:hAnsi="Segoe UI"/>
          <w:sz w:val="20"/>
        </w:rPr>
        <w:t>: Burst of high-value transactions forced between 01:00 AM and 04:00 AM local time.</w:t>
      </w:r>
    </w:p>
    <w:p>
      <w:pPr>
        <w:pStyle w:val="ListNumber"/>
        <w:spacing w:before="20" w:after="40"/>
      </w:pPr>
      <w:r>
        <w:rPr>
          <w:rFonts w:ascii="Segoe UI" w:hAnsi="Segoe UI"/>
          <w:b/>
          <w:sz w:val="20"/>
        </w:rPr>
        <w:t>HIGH_RISK_MERCHANT</w:t>
      </w:r>
      <w:r>
        <w:rPr>
          <w:rFonts w:ascii="Segoe UI" w:hAnsi="Segoe UI"/>
          <w:sz w:val="20"/>
        </w:rPr>
        <w:t>: Sudden high-value transactions at high-risk merchant categories (</w:t>
      </w:r>
      <w:r>
        <w:rPr>
          <w:rFonts w:ascii="Segoe UI" w:hAnsi="Segoe UI"/>
          <w:color w:val="B42828"/>
          <w:sz w:val="20"/>
        </w:rPr>
        <w:t>Gambling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Crypto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Luxury</w:t>
      </w:r>
      <w:r>
        <w:rPr>
          <w:rFonts w:ascii="Segoe UI" w:hAnsi="Segoe UI"/>
          <w:sz w:val="20"/>
        </w:rPr>
        <w:t>) for accounts with dormant or low-risk historical profiles.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3. Containerized Infrastructure (`docker/docker-compose.yml`)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The multi-container stack runs via Docker Compose: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Port Mapping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Zookeeper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2181:2181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Manages Kafka cluster state, leader elections, and topic metadata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Kafka Broker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9092</w:t>
            </w:r>
            <w:r>
              <w:rPr>
                <w:rFonts w:ascii="Segoe UI" w:hAnsi="Segoe UI"/>
                <w:sz w:val="18"/>
              </w:rPr>
              <w:t xml:space="preserve"> (Int), </w:t>
            </w:r>
            <w:r>
              <w:rPr>
                <w:rFonts w:ascii="Segoe UI" w:hAnsi="Segoe UI"/>
                <w:color w:val="B42828"/>
                <w:sz w:val="18"/>
              </w:rPr>
              <w:t>9094</w:t>
            </w:r>
            <w:r>
              <w:rPr>
                <w:rFonts w:ascii="Segoe UI" w:hAnsi="Segoe UI"/>
                <w:sz w:val="18"/>
              </w:rPr>
              <w:t xml:space="preserve"> (Host)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Ingestion message broker holding transaction stream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MongoDB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27017:27017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Hot storage NoSQL store for sub-second alert lookups and live console feed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Spark Master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8080</w:t>
            </w:r>
            <w:r>
              <w:rPr>
                <w:rFonts w:ascii="Segoe UI" w:hAnsi="Segoe UI"/>
                <w:sz w:val="18"/>
              </w:rPr>
              <w:t xml:space="preserve"> (UI), </w:t>
            </w:r>
            <w:r>
              <w:rPr>
                <w:rFonts w:ascii="Segoe UI" w:hAnsi="Segoe UI"/>
                <w:color w:val="B42828"/>
                <w:sz w:val="18"/>
              </w:rPr>
              <w:t>7077</w:t>
            </w:r>
            <w:r>
              <w:rPr>
                <w:rFonts w:ascii="Segoe UI" w:hAnsi="Segoe UI"/>
                <w:sz w:val="18"/>
              </w:rPr>
              <w:t xml:space="preserve"> (RPC)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Distributed cluster coordinator for real-time Spark Structured Streaming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Spark Worker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color w:val="B42828"/>
                <w:sz w:val="18"/>
              </w:rPr>
              <w:t>8081</w:t>
            </w:r>
            <w:r>
              <w:rPr>
                <w:rFonts w:ascii="Segoe UI" w:hAnsi="Segoe UI"/>
                <w:sz w:val="18"/>
              </w:rPr>
              <w:t xml:space="preserve"> (UI)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Computes micro-batches and scores incoming Kafka stream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4. How to Run Phase 1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4.1 Running Unit Tests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Execute the unit test suite to verify data schemas, distance math, profile creation, and fraud injection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-m unittest tests/test_simulator.py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4.2 Simulating &amp; Producing the Live Ingestion Stream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Start the live transaction producer (streams 5 msgs/sec by default):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main.py --mode stream --rate 5 --count 100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i/>
          <w:sz w:val="20"/>
        </w:rPr>
        <w:t>Note: If Docker/Kafka is active, events are published directly to the Kafka broker. If running standalone, events are logged to the console and stored in `data/simulated_stream.jsonl` fallback log.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4.3 Consuming &amp; Verifying the Stream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Launch the real-time stream consumer verifier: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main.py --mode consume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4.4 Generating Offline Calibration Seed Dataset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Create a 1,000-record CSV dataset for baseline statistical calibration and offline ML model training: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python main.py --mode seed --count 1000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5. Summary &amp; Next Steps for Phase 2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Phase 1 successfully establishes the streaming producer, fraud injector engine, Kafka broker ingestion pipeline, seed dataset, and verification suite.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 xml:space="preserve">In </w:t>
      </w:r>
      <w:r>
        <w:rPr>
          <w:rFonts w:ascii="Segoe UI" w:hAnsi="Segoe UI"/>
          <w:b/>
          <w:sz w:val="20"/>
        </w:rPr>
        <w:t>Phase 2</w:t>
      </w:r>
      <w:r>
        <w:rPr>
          <w:rFonts w:ascii="Segoe UI" w:hAnsi="Segoe UI"/>
          <w:sz w:val="20"/>
        </w:rPr>
        <w:t xml:space="preserve">, we will implement </w:t>
      </w:r>
      <w:r>
        <w:rPr>
          <w:rFonts w:ascii="Segoe UI" w:hAnsi="Segoe UI"/>
          <w:b/>
          <w:sz w:val="20"/>
        </w:rPr>
        <w:t>Apache Spark Structured Streaming</w:t>
      </w:r>
      <w:r>
        <w:rPr>
          <w:rFonts w:ascii="Segoe UI" w:hAnsi="Segoe UI"/>
          <w:sz w:val="20"/>
        </w:rPr>
        <w:t xml:space="preserve"> to read micro-batches from Kafka in real time, apply stateful window aggregations, calculate dynamic fraud risk scores, and flag suspicious transactions instantly.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