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F5C99"/>
          <w:sz w:val="40"/>
          <w:szCs w:val="40"/>
        </w:rPr>
        <w:t xml:space="preserve">ABLATION STUDY DESIGN GUIDE</w:t>
      </w:r>
    </w:p>
    <w:p>
      <w:pPr>
        <w:spacing w:after="40" w:before="0"/>
        <w:jc w:val="center"/>
      </w:pPr>
      <w:r>
        <w:rPr>
          <w:rFonts w:ascii="Arial" w:cs="Arial" w:eastAsia="Arial" w:hAnsi="Arial"/>
          <w:color w:val="2E75B6"/>
          <w:sz w:val="24"/>
          <w:szCs w:val="24"/>
        </w:rPr>
        <w:t xml:space="preserve">AgroTrack: RAG + LoRA Framework for Smallholder Agriculture</w:t>
      </w:r>
    </w:p>
    <w:p>
      <w:pPr>
        <w:spacing w:after="40" w:before="0"/>
        <w:jc w:val="center"/>
      </w:pPr>
      <w:r>
        <w:rPr>
          <w:rFonts w:ascii="Arial" w:cs="Arial" w:eastAsia="Arial" w:hAnsi="Arial"/>
          <w:i/>
          <w:iCs/>
          <w:color w:val="595959"/>
          <w:sz w:val="20"/>
          <w:szCs w:val="20"/>
        </w:rPr>
        <w:t xml:space="preserve">Prepared to address Q1 Review Gaps 2, 4, and 6  |  June 2026</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1. Overview and Purpose</w:t>
      </w:r>
    </w:p>
    <w:p>
      <w:pPr>
        <w:spacing w:after="60" w:before="60"/>
      </w:pPr>
      <w:r>
        <w:rPr>
          <w:rFonts w:ascii="Arial" w:cs="Arial" w:eastAsia="Arial" w:hAnsi="Arial"/>
          <w:sz w:val="22"/>
          <w:szCs w:val="22"/>
        </w:rPr>
        <w:t xml:space="preserve">An ablation study systematically removes or replaces individual components of the AgroTrack pipeline to prove that each design choice genuinely contributes to system performance. Without this, reviewers cannot determine whether the claimed results arise from the architecture itself or from incidental factors such as data quality or model size.</w:t>
      </w:r>
    </w:p>
    <w:p>
      <w:pPr>
        <w:spacing w:after="60" w:before="60"/>
      </w:pPr>
    </w:p>
    <w:p>
      <w:pPr>
        <w:spacing w:after="60" w:before="60"/>
      </w:pPr>
      <w:r>
        <w:rPr>
          <w:rFonts w:ascii="Arial" w:cs="Arial" w:eastAsia="Arial" w:hAnsi="Arial"/>
          <w:sz w:val="22"/>
          <w:szCs w:val="22"/>
        </w:rPr>
        <w:t xml:space="preserve">This guide covers seven ablation experiments. Each experiment isolates one architectural dimension, specifies configurations to test, identifies metrics to measure, and provides a results table template ready for insertion into the paper.</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2. Experiment 1 — RAG Component Ablation</w:t>
      </w:r>
    </w:p>
    <w:p>
      <w:pPr>
        <w:pStyle w:val="Heading2"/>
        <w:spacing w:after="80" w:before="240"/>
      </w:pPr>
      <w:r>
        <w:rPr>
          <w:rFonts w:ascii="Arial" w:cs="Arial" w:eastAsia="Arial" w:hAnsi="Arial"/>
          <w:b/>
          <w:bCs/>
          <w:color w:val="2E75B6"/>
          <w:sz w:val="24"/>
          <w:szCs w:val="24"/>
        </w:rPr>
        <w:t xml:space="preserve">2.1 Objective</w:t>
      </w:r>
    </w:p>
    <w:p>
      <w:pPr>
        <w:spacing w:after="60" w:before="60"/>
      </w:pPr>
      <w:r>
        <w:rPr>
          <w:rFonts w:ascii="Arial" w:cs="Arial" w:eastAsia="Arial" w:hAnsi="Arial"/>
          <w:sz w:val="22"/>
          <w:szCs w:val="22"/>
        </w:rPr>
        <w:t xml:space="preserve">Quantify the independent and combined contribution of the Retrieval-Augmented Generation (RAG) module and LoRA fine-tuning to hallucination reduction and answer quality. This is the most critical ablation for Q1 acceptance.</w:t>
      </w:r>
    </w:p>
    <w:p>
      <w:pPr>
        <w:pStyle w:val="Heading2"/>
        <w:spacing w:after="80" w:before="240"/>
      </w:pPr>
      <w:r>
        <w:rPr>
          <w:rFonts w:ascii="Arial" w:cs="Arial" w:eastAsia="Arial" w:hAnsi="Arial"/>
          <w:b/>
          <w:bCs/>
          <w:color w:val="2E75B6"/>
          <w:sz w:val="24"/>
          <w:szCs w:val="24"/>
        </w:rPr>
        <w:t xml:space="preserve">2.2 Configurations to Test</w:t>
      </w:r>
    </w:p>
    <w:p>
      <w:pPr>
        <w:pStyle w:val="ListParagraph"/>
        <w:numPr>
          <w:ilvl w:val="0"/>
          <w:numId w:val="2"/>
        </w:numPr>
        <w:spacing w:after="50" w:before="50"/>
      </w:pPr>
      <w:r>
        <w:rPr>
          <w:rFonts w:ascii="Arial" w:cs="Arial" w:eastAsia="Arial" w:hAnsi="Arial"/>
          <w:sz w:val="22"/>
          <w:szCs w:val="22"/>
        </w:rPr>
        <w:t xml:space="preserve">A1 — Base LLM only: Mistral Large 2 with no retrieval and no fine-tuning (zero-shot baseline).</w:t>
      </w:r>
    </w:p>
    <w:p>
      <w:pPr>
        <w:pStyle w:val="ListParagraph"/>
        <w:numPr>
          <w:ilvl w:val="0"/>
          <w:numId w:val="2"/>
        </w:numPr>
        <w:spacing w:after="50" w:before="50"/>
      </w:pPr>
      <w:r>
        <w:rPr>
          <w:rFonts w:ascii="Arial" w:cs="Arial" w:eastAsia="Arial" w:hAnsi="Arial"/>
          <w:sz w:val="22"/>
          <w:szCs w:val="22"/>
        </w:rPr>
        <w:t xml:space="preserve">A2 — RAG only: Mistral Large 2 + Milvus retrieval, no LoRA fine-tuning.</w:t>
      </w:r>
    </w:p>
    <w:p>
      <w:pPr>
        <w:pStyle w:val="ListParagraph"/>
        <w:numPr>
          <w:ilvl w:val="0"/>
          <w:numId w:val="2"/>
        </w:numPr>
        <w:spacing w:after="50" w:before="50"/>
      </w:pPr>
      <w:r>
        <w:rPr>
          <w:rFonts w:ascii="Arial" w:cs="Arial" w:eastAsia="Arial" w:hAnsi="Arial"/>
          <w:sz w:val="22"/>
          <w:szCs w:val="22"/>
        </w:rPr>
        <w:t xml:space="preserve">A3 — LoRA only: Fine-tuned Mistral Large 2 (r=4), no retrieval context injected.</w:t>
      </w:r>
    </w:p>
    <w:p>
      <w:pPr>
        <w:pStyle w:val="ListParagraph"/>
        <w:numPr>
          <w:ilvl w:val="0"/>
          <w:numId w:val="2"/>
        </w:numPr>
        <w:spacing w:after="50" w:before="50"/>
      </w:pPr>
      <w:r>
        <w:rPr>
          <w:rFonts w:ascii="Arial" w:cs="Arial" w:eastAsia="Arial" w:hAnsi="Arial"/>
          <w:sz w:val="22"/>
          <w:szCs w:val="22"/>
        </w:rPr>
        <w:t xml:space="preserve">A4 — RAG + LoRA: Complete AgroTrack pipeline (the full system being proposed).</w:t>
      </w:r>
    </w:p>
    <w:p>
      <w:pPr>
        <w:pStyle w:val="Heading2"/>
        <w:spacing w:after="80" w:before="240"/>
      </w:pPr>
      <w:r>
        <w:rPr>
          <w:rFonts w:ascii="Arial" w:cs="Arial" w:eastAsia="Arial" w:hAnsi="Arial"/>
          <w:b/>
          <w:bCs/>
          <w:color w:val="2E75B6"/>
          <w:sz w:val="24"/>
          <w:szCs w:val="24"/>
        </w:rPr>
        <w:t xml:space="preserve">2.3 Evaluation Metrics</w:t>
      </w:r>
    </w:p>
    <w:p>
      <w:pPr>
        <w:pStyle w:val="ListParagraph"/>
        <w:numPr>
          <w:ilvl w:val="0"/>
          <w:numId w:val="2"/>
        </w:numPr>
        <w:spacing w:after="50" w:before="50"/>
      </w:pPr>
      <w:r>
        <w:rPr>
          <w:rFonts w:ascii="Arial" w:cs="Arial" w:eastAsia="Arial" w:hAnsi="Arial"/>
          <w:sz w:val="22"/>
          <w:szCs w:val="22"/>
        </w:rPr>
        <w:t xml:space="preserve">Hallucination rate (% of responses with factually incorrect agronomic claims, judged by two agronomist annotators)</w:t>
      </w:r>
    </w:p>
    <w:p>
      <w:pPr>
        <w:pStyle w:val="ListParagraph"/>
        <w:numPr>
          <w:ilvl w:val="0"/>
          <w:numId w:val="2"/>
        </w:numPr>
        <w:spacing w:after="50" w:before="50"/>
      </w:pPr>
      <w:r>
        <w:rPr>
          <w:rFonts w:ascii="Arial" w:cs="Arial" w:eastAsia="Arial" w:hAnsi="Arial"/>
          <w:sz w:val="22"/>
          <w:szCs w:val="22"/>
        </w:rPr>
        <w:t xml:space="preserve">Answer relevance score using RAGAS framework</w:t>
      </w:r>
    </w:p>
    <w:p>
      <w:pPr>
        <w:pStyle w:val="ListParagraph"/>
        <w:numPr>
          <w:ilvl w:val="0"/>
          <w:numId w:val="2"/>
        </w:numPr>
        <w:spacing w:after="50" w:before="50"/>
      </w:pPr>
      <w:r>
        <w:rPr>
          <w:rFonts w:ascii="Arial" w:cs="Arial" w:eastAsia="Arial" w:hAnsi="Arial"/>
          <w:sz w:val="22"/>
          <w:szCs w:val="22"/>
        </w:rPr>
        <w:t xml:space="preserve">Factual accuracy on a held-out 200-query agronomic QA benchmark</w:t>
      </w:r>
    </w:p>
    <w:p>
      <w:pPr>
        <w:pStyle w:val="ListParagraph"/>
        <w:numPr>
          <w:ilvl w:val="0"/>
          <w:numId w:val="2"/>
        </w:numPr>
        <w:spacing w:after="50" w:before="50"/>
      </w:pPr>
      <w:r>
        <w:rPr>
          <w:rFonts w:ascii="Arial" w:cs="Arial" w:eastAsia="Arial" w:hAnsi="Arial"/>
          <w:sz w:val="22"/>
          <w:szCs w:val="22"/>
        </w:rPr>
        <w:t xml:space="preserve">End-to-end response latency (ms)</w:t>
      </w:r>
    </w:p>
    <w:p>
      <w:pPr>
        <w:pStyle w:val="Heading2"/>
        <w:spacing w:after="80" w:before="240"/>
      </w:pPr>
      <w:r>
        <w:rPr>
          <w:rFonts w:ascii="Arial" w:cs="Arial" w:eastAsia="Arial" w:hAnsi="Arial"/>
          <w:b/>
          <w:bCs/>
          <w:color w:val="2E75B6"/>
          <w:sz w:val="24"/>
          <w:szCs w:val="24"/>
        </w:rPr>
        <w:t xml:space="preserve">2.4 Results Table Template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600"/>
        <w:gridCol w:w="1600"/>
        <w:gridCol w:w="1560"/>
        <w:gridCol w:w="700"/>
      </w:tblGrid>
      <w:tr>
        <w:trPr>
          <w:tblHeader/>
        </w:trPr>
        <w:tc>
          <w:tcPr>
            <w:tcW w:type="dxa" w:w="22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Configuration</w:t>
            </w:r>
          </w:p>
        </w:tc>
        <w:tc>
          <w:tcPr>
            <w:tcW w:type="dxa" w:w="17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Description</w:t>
            </w:r>
          </w:p>
        </w:tc>
        <w:tc>
          <w:tcPr>
            <w:tcW w:type="dxa" w:w="16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Hallucination Rate</w:t>
            </w:r>
          </w:p>
        </w:tc>
        <w:tc>
          <w:tcPr>
            <w:tcW w:type="dxa" w:w="16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Answer Relevance</w:t>
            </w:r>
          </w:p>
        </w:tc>
        <w:tc>
          <w:tcPr>
            <w:tcW w:type="dxa" w:w="156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Latency</w:t>
            </w:r>
          </w:p>
        </w:tc>
        <w:tc>
          <w:tcPr>
            <w:tcW w:type="dxa" w:w="7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Recommended</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bCs/>
                <w:sz w:val="20"/>
                <w:szCs w:val="20"/>
              </w:rPr>
              <w:t xml:space="preserve">A1 — Base LLM only</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No retrieval, no LoRA</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~20%</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Low</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N/A</w:t>
            </w:r>
          </w:p>
        </w:tc>
        <w:tc>
          <w:tcPr>
            <w:tcW w:type="dxa" w:w="7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22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bCs/>
                <w:sz w:val="20"/>
                <w:szCs w:val="20"/>
              </w:rPr>
              <w:t xml:space="preserve">A2 — RAG only</w:t>
            </w:r>
          </w:p>
        </w:tc>
        <w:tc>
          <w:tcPr>
            <w:tcW w:type="dxa" w:w="17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Milvus retrieval, no LoRA</w:t>
            </w:r>
          </w:p>
        </w:tc>
        <w:tc>
          <w:tcPr>
            <w:tcW w:type="dxa" w:w="1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BF8F00"/>
                <w:sz w:val="20"/>
                <w:szCs w:val="20"/>
              </w:rPr>
              <w:t xml:space="preserve">~4%</w:t>
            </w:r>
          </w:p>
        </w:tc>
        <w:tc>
          <w:tcPr>
            <w:tcW w:type="dxa" w:w="1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15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000000"/>
                <w:sz w:val="20"/>
                <w:szCs w:val="20"/>
              </w:rPr>
              <w:t xml:space="preserve">45ms</w:t>
            </w:r>
          </w:p>
        </w:tc>
        <w:tc>
          <w:tcPr>
            <w:tcW w:type="dxa" w:w="7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bCs/>
                <w:sz w:val="20"/>
                <w:szCs w:val="20"/>
              </w:rPr>
              <w:t xml:space="preserve">A3 — LoRA only</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Fine-tuned model, no retrieval</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Medium-High</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N/A</w:t>
            </w:r>
          </w:p>
        </w:tc>
        <w:tc>
          <w:tcPr>
            <w:tcW w:type="dxa" w:w="7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22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bCs/>
                <w:sz w:val="20"/>
                <w:szCs w:val="20"/>
              </w:rPr>
              <w:t xml:space="preserve">A4 — RAG + LoRA (Full)</w:t>
            </w:r>
          </w:p>
        </w:tc>
        <w:tc>
          <w:tcPr>
            <w:tcW w:type="dxa" w:w="17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Complete AgroTrack pipeline</w:t>
            </w:r>
          </w:p>
        </w:tc>
        <w:tc>
          <w:tcPr>
            <w:tcW w:type="dxa" w:w="1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&lt;2%</w:t>
            </w:r>
          </w:p>
        </w:tc>
        <w:tc>
          <w:tcPr>
            <w:tcW w:type="dxa" w:w="1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5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000000"/>
                <w:sz w:val="20"/>
                <w:szCs w:val="20"/>
              </w:rPr>
              <w:t xml:space="preserve">45ms</w:t>
            </w:r>
          </w:p>
        </w:tc>
        <w:tc>
          <w:tcPr>
            <w:tcW w:type="dxa" w:w="7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YES</w:t>
            </w:r>
          </w:p>
        </w:tc>
      </w:tr>
    </w:tbl>
    <w:p>
      <w:pPr>
        <w:spacing w:after="60" w:before="60"/>
      </w:pPr>
    </w:p>
    <w:p>
      <w:pPr>
        <w:spacing w:after="60" w:before="60"/>
      </w:pPr>
      <w:r>
        <w:rPr>
          <w:rFonts w:ascii="Arial" w:cs="Arial" w:eastAsia="Arial" w:hAnsi="Arial"/>
          <w:i/>
          <w:iCs/>
          <w:color w:val="595959"/>
          <w:sz w:val="20"/>
          <w:szCs w:val="20"/>
        </w:rPr>
        <w:t xml:space="preserve">Note: Fill in actual measured values from experiments before submission. Green = best; amber = acceptable; red = poor.</w:t>
      </w:r>
    </w:p>
    <w:p>
      <w:pPr>
        <w:pStyle w:val="Heading2"/>
        <w:spacing w:after="80" w:before="240"/>
      </w:pPr>
      <w:r>
        <w:rPr>
          <w:rFonts w:ascii="Arial" w:cs="Arial" w:eastAsia="Arial" w:hAnsi="Arial"/>
          <w:b/>
          <w:bCs/>
          <w:color w:val="2E75B6"/>
          <w:sz w:val="24"/>
          <w:szCs w:val="24"/>
        </w:rPr>
        <w:t xml:space="preserve">2.5 Expected Outcome</w:t>
      </w:r>
    </w:p>
    <w:p>
      <w:pPr>
        <w:spacing w:after="60" w:before="60"/>
      </w:pPr>
      <w:r>
        <w:rPr>
          <w:rFonts w:ascii="Arial" w:cs="Arial" w:eastAsia="Arial" w:hAnsi="Arial"/>
          <w:sz w:val="22"/>
          <w:szCs w:val="22"/>
        </w:rPr>
        <w:t xml:space="preserve">A4 (full system) should achieve the lowest hallucination rate and highest answer relevance, demonstrating that RAG and LoRA are complementary rather than redundant. The gap between A2 and A4 quantifies LoRA's marginal contribution; the gap between A3 and A4 quantifies retrieval's contribution.</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3. Experiment 2 — Retrieval Top-k Ablation</w:t>
      </w:r>
    </w:p>
    <w:p>
      <w:pPr>
        <w:pStyle w:val="Heading2"/>
        <w:spacing w:after="80" w:before="240"/>
      </w:pPr>
      <w:r>
        <w:rPr>
          <w:rFonts w:ascii="Arial" w:cs="Arial" w:eastAsia="Arial" w:hAnsi="Arial"/>
          <w:b/>
          <w:bCs/>
          <w:color w:val="2E75B6"/>
          <w:sz w:val="24"/>
          <w:szCs w:val="24"/>
        </w:rPr>
        <w:t xml:space="preserve">3.1 Objective</w:t>
      </w:r>
    </w:p>
    <w:p>
      <w:pPr>
        <w:spacing w:after="60" w:before="60"/>
      </w:pPr>
      <w:r>
        <w:rPr>
          <w:rFonts w:ascii="Arial" w:cs="Arial" w:eastAsia="Arial" w:hAnsi="Arial"/>
          <w:sz w:val="22"/>
          <w:szCs w:val="22"/>
        </w:rPr>
        <w:t xml:space="preserve">Justify the choice of k=5 retrieved chunks by demonstrating that fewer chunks reduce answer quality and more chunks increase latency without proportional quality gains.</w:t>
      </w:r>
    </w:p>
    <w:p>
      <w:pPr>
        <w:pStyle w:val="Heading2"/>
        <w:spacing w:after="80" w:before="240"/>
      </w:pPr>
      <w:r>
        <w:rPr>
          <w:rFonts w:ascii="Arial" w:cs="Arial" w:eastAsia="Arial" w:hAnsi="Arial"/>
          <w:b/>
          <w:bCs/>
          <w:color w:val="2E75B6"/>
          <w:sz w:val="24"/>
          <w:szCs w:val="24"/>
        </w:rPr>
        <w:t xml:space="preserve">3.2 Configurations to Test</w:t>
      </w:r>
    </w:p>
    <w:p>
      <w:pPr>
        <w:spacing w:after="60" w:before="60"/>
      </w:pPr>
      <w:r>
        <w:rPr>
          <w:rFonts w:ascii="Arial" w:cs="Arial" w:eastAsia="Arial" w:hAnsi="Arial"/>
          <w:sz w:val="22"/>
          <w:szCs w:val="22"/>
        </w:rPr>
        <w:t xml:space="preserve">Hold all other parameters constant (HNSW index, 1000-token chunks, r=4 LoRA). Vary only k:</w:t>
      </w:r>
    </w:p>
    <w:p>
      <w:pPr>
        <w:pStyle w:val="ListParagraph"/>
        <w:numPr>
          <w:ilvl w:val="0"/>
          <w:numId w:val="2"/>
        </w:numPr>
        <w:spacing w:after="50" w:before="50"/>
      </w:pPr>
      <w:r>
        <w:rPr>
          <w:rFonts w:ascii="Arial" w:cs="Arial" w:eastAsia="Arial" w:hAnsi="Arial"/>
          <w:sz w:val="22"/>
          <w:szCs w:val="22"/>
        </w:rPr>
        <w:t xml:space="preserve">k = 1, 3, 5 (current), 7, 10</w:t>
      </w:r>
    </w:p>
    <w:p>
      <w:pPr>
        <w:pStyle w:val="Heading2"/>
        <w:spacing w:after="80" w:before="240"/>
      </w:pPr>
      <w:r>
        <w:rPr>
          <w:rFonts w:ascii="Arial" w:cs="Arial" w:eastAsia="Arial" w:hAnsi="Arial"/>
          <w:b/>
          <w:bCs/>
          <w:color w:val="2E75B6"/>
          <w:sz w:val="24"/>
          <w:szCs w:val="24"/>
        </w:rPr>
        <w:t xml:space="preserve">3.3 Evaluation Metrics</w:t>
      </w:r>
    </w:p>
    <w:p>
      <w:pPr>
        <w:pStyle w:val="ListParagraph"/>
        <w:numPr>
          <w:ilvl w:val="0"/>
          <w:numId w:val="2"/>
        </w:numPr>
        <w:spacing w:after="50" w:before="50"/>
      </w:pPr>
      <w:r>
        <w:rPr>
          <w:rFonts w:ascii="Arial" w:cs="Arial" w:eastAsia="Arial" w:hAnsi="Arial"/>
          <w:sz w:val="22"/>
          <w:szCs w:val="22"/>
        </w:rPr>
        <w:t xml:space="preserve">Answer quality score (RAGAS or expert rating 1–5)</w:t>
      </w:r>
    </w:p>
    <w:p>
      <w:pPr>
        <w:pStyle w:val="ListParagraph"/>
        <w:numPr>
          <w:ilvl w:val="0"/>
          <w:numId w:val="2"/>
        </w:numPr>
        <w:spacing w:after="50" w:before="50"/>
      </w:pPr>
      <w:r>
        <w:rPr>
          <w:rFonts w:ascii="Arial" w:cs="Arial" w:eastAsia="Arial" w:hAnsi="Arial"/>
          <w:sz w:val="22"/>
          <w:szCs w:val="22"/>
        </w:rPr>
        <w:t xml:space="preserve">Retrieval latency (ms)</w:t>
      </w:r>
    </w:p>
    <w:p>
      <w:pPr>
        <w:pStyle w:val="ListParagraph"/>
        <w:numPr>
          <w:ilvl w:val="0"/>
          <w:numId w:val="2"/>
        </w:numPr>
        <w:spacing w:after="50" w:before="50"/>
      </w:pPr>
      <w:r>
        <w:rPr>
          <w:rFonts w:ascii="Arial" w:cs="Arial" w:eastAsia="Arial" w:hAnsi="Arial"/>
          <w:sz w:val="22"/>
          <w:szCs w:val="22"/>
        </w:rPr>
        <w:t xml:space="preserve">Token count of assembled prompt (affects cost and context window usage)</w:t>
      </w:r>
    </w:p>
    <w:p>
      <w:pPr>
        <w:pStyle w:val="Heading2"/>
        <w:spacing w:after="80" w:before="240"/>
      </w:pPr>
      <w:r>
        <w:rPr>
          <w:rFonts w:ascii="Arial" w:cs="Arial" w:eastAsia="Arial" w:hAnsi="Arial"/>
          <w:b/>
          <w:bCs/>
          <w:color w:val="2E75B6"/>
          <w:sz w:val="24"/>
          <w:szCs w:val="24"/>
        </w:rPr>
        <w:t xml:space="preserve">3.4 Results Table Template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800"/>
        <w:gridCol w:w="1800"/>
        <w:gridCol w:w="600"/>
      </w:tblGrid>
      <w:tr>
        <w:trPr>
          <w:tblHeader/>
        </w:trPr>
        <w:tc>
          <w:tcPr>
            <w:tcW w:type="dxa" w:w="156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k Value</w:t>
            </w:r>
          </w:p>
        </w:tc>
        <w:tc>
          <w:tcPr>
            <w:tcW w:type="dxa" w:w="1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Context Coverage</w:t>
            </w:r>
          </w:p>
        </w:tc>
        <w:tc>
          <w:tcPr>
            <w:tcW w:type="dxa" w:w="1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Answer Quality</w:t>
            </w:r>
          </w:p>
        </w:tc>
        <w:tc>
          <w:tcPr>
            <w:tcW w:type="dxa" w:w="1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Latency</w:t>
            </w:r>
          </w:p>
        </w:tc>
        <w:tc>
          <w:tcPr>
            <w:tcW w:type="dxa" w:w="1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Overall Score</w:t>
            </w:r>
          </w:p>
        </w:tc>
        <w:tc>
          <w:tcPr>
            <w:tcW w:type="dxa" w:w="6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Best</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k = 1</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Minimal context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Low</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Very Fast (&lt;20ms)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Low</w:t>
            </w:r>
          </w:p>
        </w:tc>
        <w:tc>
          <w:tcPr>
            <w:tcW w:type="dxa" w:w="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k = 3</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Focused context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Fast (30ms)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15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bCs/>
                <w:sz w:val="20"/>
                <w:szCs w:val="20"/>
              </w:rPr>
              <w:t xml:space="preserve">k = 5</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Balanced (current)</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000000"/>
                <w:sz w:val="20"/>
                <w:szCs w:val="20"/>
              </w:rPr>
              <w:t xml:space="preserve">Optimal (45ms)</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k = 7</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Richer context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Moderate (65ms)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k = 10</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Dense context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Slow (90ms+)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Low</w:t>
            </w:r>
          </w:p>
        </w:tc>
        <w:tc>
          <w:tcPr>
            <w:tcW w:type="dxa" w:w="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bl>
    <w:p>
      <w:pPr>
        <w:spacing w:after="60" w:before="60"/>
      </w:pPr>
    </w:p>
    <w:p>
      <w:pPr>
        <w:spacing w:after="60" w:before="60"/>
      </w:pPr>
      <w:r>
        <w:rPr>
          <w:rFonts w:ascii="Arial" w:cs="Arial" w:eastAsia="Arial" w:hAnsi="Arial"/>
          <w:i/>
          <w:iCs/>
          <w:color w:val="595959"/>
          <w:sz w:val="20"/>
          <w:szCs w:val="20"/>
        </w:rPr>
        <w:t xml:space="preserve">Note: Plot answer quality vs. latency as a trade-off curve in the paper figure. The elbow point should land at k=5.</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4. Experiment 3 — ANN Index Type Ablation</w:t>
      </w:r>
    </w:p>
    <w:p>
      <w:pPr>
        <w:pStyle w:val="Heading2"/>
        <w:spacing w:after="80" w:before="240"/>
      </w:pPr>
      <w:r>
        <w:rPr>
          <w:rFonts w:ascii="Arial" w:cs="Arial" w:eastAsia="Arial" w:hAnsi="Arial"/>
          <w:b/>
          <w:bCs/>
          <w:color w:val="2E75B6"/>
          <w:sz w:val="24"/>
          <w:szCs w:val="24"/>
        </w:rPr>
        <w:t xml:space="preserve">4.1 Objective</w:t>
      </w:r>
    </w:p>
    <w:p>
      <w:pPr>
        <w:spacing w:after="60" w:before="60"/>
      </w:pPr>
      <w:r>
        <w:rPr>
          <w:rFonts w:ascii="Arial" w:cs="Arial" w:eastAsia="Arial" w:hAnsi="Arial"/>
          <w:sz w:val="22"/>
          <w:szCs w:val="22"/>
        </w:rPr>
        <w:t xml:space="preserve">Justify the selection of HNSW (Hierarchical Navigable Small World) over alternative approximate nearest-neighbour indexes by demonstrating the best precision-latency trade-off across the 50,000-chunk corpus.</w:t>
      </w:r>
    </w:p>
    <w:p>
      <w:pPr>
        <w:pStyle w:val="Heading2"/>
        <w:spacing w:after="80" w:before="240"/>
      </w:pPr>
      <w:r>
        <w:rPr>
          <w:rFonts w:ascii="Arial" w:cs="Arial" w:eastAsia="Arial" w:hAnsi="Arial"/>
          <w:b/>
          <w:bCs/>
          <w:color w:val="2E75B6"/>
          <w:sz w:val="24"/>
          <w:szCs w:val="24"/>
        </w:rPr>
        <w:t xml:space="preserve">4.2 Configurations to Test</w:t>
      </w:r>
    </w:p>
    <w:p>
      <w:pPr>
        <w:pStyle w:val="ListParagraph"/>
        <w:numPr>
          <w:ilvl w:val="0"/>
          <w:numId w:val="2"/>
        </w:numPr>
        <w:spacing w:after="50" w:before="50"/>
      </w:pPr>
      <w:r>
        <w:rPr>
          <w:rFonts w:ascii="Arial" w:cs="Arial" w:eastAsia="Arial" w:hAnsi="Arial"/>
          <w:sz w:val="22"/>
          <w:szCs w:val="22"/>
        </w:rPr>
        <w:t xml:space="preserve">Flat index (brute-force exact search) — upper-bound accuracy baseline</w:t>
      </w:r>
    </w:p>
    <w:p>
      <w:pPr>
        <w:pStyle w:val="ListParagraph"/>
        <w:numPr>
          <w:ilvl w:val="0"/>
          <w:numId w:val="2"/>
        </w:numPr>
        <w:spacing w:after="50" w:before="50"/>
      </w:pPr>
      <w:r>
        <w:rPr>
          <w:rFonts w:ascii="Arial" w:cs="Arial" w:eastAsia="Arial" w:hAnsi="Arial"/>
          <w:sz w:val="22"/>
          <w:szCs w:val="22"/>
        </w:rPr>
        <w:t xml:space="preserve">IVF-PQ (Inverted File with Product Quantization) — memory-efficient competitor</w:t>
      </w:r>
    </w:p>
    <w:p>
      <w:pPr>
        <w:pStyle w:val="ListParagraph"/>
        <w:numPr>
          <w:ilvl w:val="0"/>
          <w:numId w:val="2"/>
        </w:numPr>
        <w:spacing w:after="50" w:before="50"/>
      </w:pPr>
      <w:r>
        <w:rPr>
          <w:rFonts w:ascii="Arial" w:cs="Arial" w:eastAsia="Arial" w:hAnsi="Arial"/>
          <w:sz w:val="22"/>
          <w:szCs w:val="22"/>
        </w:rPr>
        <w:t xml:space="preserve">HNSW (current) — graph-based ANN</w:t>
      </w:r>
    </w:p>
    <w:p>
      <w:pPr>
        <w:pStyle w:val="Heading2"/>
        <w:spacing w:after="80" w:before="240"/>
      </w:pPr>
      <w:r>
        <w:rPr>
          <w:rFonts w:ascii="Arial" w:cs="Arial" w:eastAsia="Arial" w:hAnsi="Arial"/>
          <w:b/>
          <w:bCs/>
          <w:color w:val="2E75B6"/>
          <w:sz w:val="24"/>
          <w:szCs w:val="24"/>
        </w:rPr>
        <w:t xml:space="preserve">4.3 Evaluation Metrics</w:t>
      </w:r>
    </w:p>
    <w:p>
      <w:pPr>
        <w:pStyle w:val="ListParagraph"/>
        <w:numPr>
          <w:ilvl w:val="0"/>
          <w:numId w:val="2"/>
        </w:numPr>
        <w:spacing w:after="50" w:before="50"/>
      </w:pPr>
      <w:r>
        <w:rPr>
          <w:rFonts w:ascii="Arial" w:cs="Arial" w:eastAsia="Arial" w:hAnsi="Arial"/>
          <w:sz w:val="22"/>
          <w:szCs w:val="22"/>
        </w:rPr>
        <w:t xml:space="preserve">Precision@5 and Recall@5 on a 200-query annotated relevance set</w:t>
      </w:r>
    </w:p>
    <w:p>
      <w:pPr>
        <w:pStyle w:val="ListParagraph"/>
        <w:numPr>
          <w:ilvl w:val="0"/>
          <w:numId w:val="2"/>
        </w:numPr>
        <w:spacing w:after="50" w:before="50"/>
      </w:pPr>
      <w:r>
        <w:rPr>
          <w:rFonts w:ascii="Arial" w:cs="Arial" w:eastAsia="Arial" w:hAnsi="Arial"/>
          <w:sz w:val="22"/>
          <w:szCs w:val="22"/>
        </w:rPr>
        <w:t xml:space="preserve">Retrieval latency at 50,000 chunks</w:t>
      </w:r>
    </w:p>
    <w:p>
      <w:pPr>
        <w:pStyle w:val="ListParagraph"/>
        <w:numPr>
          <w:ilvl w:val="0"/>
          <w:numId w:val="2"/>
        </w:numPr>
        <w:spacing w:after="50" w:before="50"/>
      </w:pPr>
      <w:r>
        <w:rPr>
          <w:rFonts w:ascii="Arial" w:cs="Arial" w:eastAsia="Arial" w:hAnsi="Arial"/>
          <w:sz w:val="22"/>
          <w:szCs w:val="22"/>
        </w:rPr>
        <w:t xml:space="preserve">Memory consumption of the index</w:t>
      </w:r>
    </w:p>
    <w:p>
      <w:pPr>
        <w:pStyle w:val="Heading2"/>
        <w:spacing w:after="80" w:before="240"/>
      </w:pPr>
      <w:r>
        <w:rPr>
          <w:rFonts w:ascii="Arial" w:cs="Arial" w:eastAsia="Arial" w:hAnsi="Arial"/>
          <w:b/>
          <w:bCs/>
          <w:color w:val="2E75B6"/>
          <w:sz w:val="24"/>
          <w:szCs w:val="24"/>
        </w:rPr>
        <w:t xml:space="preserve">4.4 Results Table Template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60"/>
        <w:gridCol w:w="1600"/>
        <w:gridCol w:w="1700"/>
        <w:gridCol w:w="800"/>
      </w:tblGrid>
      <w:tr>
        <w:trPr>
          <w:tblHeader/>
        </w:trPr>
        <w:tc>
          <w:tcPr>
            <w:tcW w:type="dxa" w:w="1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Index Type</w:t>
            </w:r>
          </w:p>
        </w:tc>
        <w:tc>
          <w:tcPr>
            <w:tcW w:type="dxa" w:w="17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Method</w:t>
            </w:r>
          </w:p>
        </w:tc>
        <w:tc>
          <w:tcPr>
            <w:tcW w:type="dxa" w:w="176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Precision@5</w:t>
            </w:r>
          </w:p>
        </w:tc>
        <w:tc>
          <w:tcPr>
            <w:tcW w:type="dxa" w:w="16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Recall@5</w:t>
            </w:r>
          </w:p>
        </w:tc>
        <w:tc>
          <w:tcPr>
            <w:tcW w:type="dxa" w:w="17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Latency</w:t>
            </w:r>
          </w:p>
        </w:tc>
        <w:tc>
          <w:tcPr>
            <w:tcW w:type="dxa" w:w="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Chosen</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Flat (Brute-force)</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Exact search</w:t>
            </w:r>
          </w:p>
        </w:tc>
        <w:tc>
          <w:tcPr>
            <w:tcW w:type="dxa" w:w="1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100%</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100%</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&gt;500ms</w:t>
            </w:r>
          </w:p>
        </w:tc>
        <w:tc>
          <w:tcPr>
            <w:tcW w:type="dxa" w:w="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IVF-PQ</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Inverted index + PQ</w:t>
            </w:r>
          </w:p>
        </w:tc>
        <w:tc>
          <w:tcPr>
            <w:tcW w:type="dxa" w:w="1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~92%</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~90%</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~30ms</w:t>
            </w:r>
          </w:p>
        </w:tc>
        <w:tc>
          <w:tcPr>
            <w:tcW w:type="dxa" w:w="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1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bCs/>
                <w:sz w:val="20"/>
                <w:szCs w:val="20"/>
              </w:rPr>
              <w:t xml:space="preserve">HNSW (current)</w:t>
            </w:r>
          </w:p>
        </w:tc>
        <w:tc>
          <w:tcPr>
            <w:tcW w:type="dxa" w:w="17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Graph-based ANN</w:t>
            </w:r>
          </w:p>
        </w:tc>
        <w:tc>
          <w:tcPr>
            <w:tcW w:type="dxa" w:w="17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~98%</w:t>
            </w:r>
          </w:p>
        </w:tc>
        <w:tc>
          <w:tcPr>
            <w:tcW w:type="dxa" w:w="1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~97%</w:t>
            </w:r>
          </w:p>
        </w:tc>
        <w:tc>
          <w:tcPr>
            <w:tcW w:type="dxa" w:w="17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45ms</w:t>
            </w:r>
          </w:p>
        </w:tc>
        <w:tc>
          <w:tcPr>
            <w:tcW w:type="dxa" w:w="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YES</w:t>
            </w:r>
          </w:p>
        </w:tc>
      </w:tr>
    </w:tbl>
    <w:p>
      <w:pPr>
        <w:spacing w:after="60" w:before="60"/>
      </w:pPr>
    </w:p>
    <w:p>
      <w:pPr>
        <w:spacing w:after="60" w:before="60"/>
      </w:pPr>
      <w:r>
        <w:rPr>
          <w:rFonts w:ascii="Arial" w:cs="Arial" w:eastAsia="Arial" w:hAnsi="Arial"/>
          <w:i/>
          <w:iCs/>
          <w:color w:val="595959"/>
          <w:sz w:val="20"/>
          <w:szCs w:val="20"/>
        </w:rPr>
        <w:t xml:space="preserve">Note: Flat search is the accuracy gold standard but operationally infeasible at production load. HNSW should achieve near-Flat accuracy at a fraction of the latency.</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5. Experiment 4 — LoRA Rank (r) Ablation</w:t>
      </w:r>
    </w:p>
    <w:p>
      <w:pPr>
        <w:pStyle w:val="Heading2"/>
        <w:spacing w:after="80" w:before="240"/>
      </w:pPr>
      <w:r>
        <w:rPr>
          <w:rFonts w:ascii="Arial" w:cs="Arial" w:eastAsia="Arial" w:hAnsi="Arial"/>
          <w:b/>
          <w:bCs/>
          <w:color w:val="2E75B6"/>
          <w:sz w:val="24"/>
          <w:szCs w:val="24"/>
        </w:rPr>
        <w:t xml:space="preserve">5.1 Objective</w:t>
      </w:r>
    </w:p>
    <w:p>
      <w:pPr>
        <w:spacing w:after="60" w:before="60"/>
      </w:pPr>
      <w:r>
        <w:rPr>
          <w:rFonts w:ascii="Arial" w:cs="Arial" w:eastAsia="Arial" w:hAnsi="Arial"/>
          <w:sz w:val="22"/>
          <w:szCs w:val="22"/>
        </w:rPr>
        <w:t xml:space="preserve">Demonstrate that r=4 is the optimal rank for the AgroTrack fine-tuning task by constructing a performance-efficiency curve across a range of ranks from r=1 to full fine-tuning. This directly addresses reviewer concerns about the unjustified rank selection.</w:t>
      </w:r>
    </w:p>
    <w:p>
      <w:pPr>
        <w:pStyle w:val="Heading2"/>
        <w:spacing w:after="80" w:before="240"/>
      </w:pPr>
      <w:r>
        <w:rPr>
          <w:rFonts w:ascii="Arial" w:cs="Arial" w:eastAsia="Arial" w:hAnsi="Arial"/>
          <w:b/>
          <w:bCs/>
          <w:color w:val="2E75B6"/>
          <w:sz w:val="24"/>
          <w:szCs w:val="24"/>
        </w:rPr>
        <w:t xml:space="preserve">5.2 Configurations to Test</w:t>
      </w:r>
    </w:p>
    <w:p>
      <w:pPr>
        <w:pStyle w:val="ListParagraph"/>
        <w:numPr>
          <w:ilvl w:val="0"/>
          <w:numId w:val="2"/>
        </w:numPr>
        <w:spacing w:after="50" w:before="50"/>
      </w:pPr>
      <w:r>
        <w:rPr>
          <w:rFonts w:ascii="Arial" w:cs="Arial" w:eastAsia="Arial" w:hAnsi="Arial"/>
          <w:sz w:val="22"/>
          <w:szCs w:val="22"/>
        </w:rPr>
        <w:t xml:space="preserve">r = 1, 4 (current), 8, 16, and full fine-tuning (if compute allows, or estimate from published benchmarks)</w:t>
      </w:r>
    </w:p>
    <w:p>
      <w:pPr>
        <w:pStyle w:val="Heading2"/>
        <w:spacing w:after="80" w:before="240"/>
      </w:pPr>
      <w:r>
        <w:rPr>
          <w:rFonts w:ascii="Arial" w:cs="Arial" w:eastAsia="Arial" w:hAnsi="Arial"/>
          <w:b/>
          <w:bCs/>
          <w:color w:val="2E75B6"/>
          <w:sz w:val="24"/>
          <w:szCs w:val="24"/>
        </w:rPr>
        <w:t xml:space="preserve">5.3 Evaluation Metrics</w:t>
      </w:r>
    </w:p>
    <w:p>
      <w:pPr>
        <w:pStyle w:val="ListParagraph"/>
        <w:numPr>
          <w:ilvl w:val="0"/>
          <w:numId w:val="2"/>
        </w:numPr>
        <w:spacing w:after="50" w:before="50"/>
      </w:pPr>
      <w:r>
        <w:rPr>
          <w:rFonts w:ascii="Arial" w:cs="Arial" w:eastAsia="Arial" w:hAnsi="Arial"/>
          <w:sz w:val="22"/>
          <w:szCs w:val="22"/>
        </w:rPr>
        <w:t xml:space="preserve">BLEU-4 and ROUGE-L on held-out agronomic instruction-following test set (500 examples)</w:t>
      </w:r>
    </w:p>
    <w:p>
      <w:pPr>
        <w:pStyle w:val="ListParagraph"/>
        <w:numPr>
          <w:ilvl w:val="0"/>
          <w:numId w:val="2"/>
        </w:numPr>
        <w:spacing w:after="50" w:before="50"/>
      </w:pPr>
      <w:r>
        <w:rPr>
          <w:rFonts w:ascii="Arial" w:cs="Arial" w:eastAsia="Arial" w:hAnsi="Arial"/>
          <w:sz w:val="22"/>
          <w:szCs w:val="22"/>
        </w:rPr>
        <w:t xml:space="preserve">Trainable parameter count</w:t>
      </w:r>
    </w:p>
    <w:p>
      <w:pPr>
        <w:pStyle w:val="ListParagraph"/>
        <w:numPr>
          <w:ilvl w:val="0"/>
          <w:numId w:val="2"/>
        </w:numPr>
        <w:spacing w:after="50" w:before="50"/>
      </w:pPr>
      <w:r>
        <w:rPr>
          <w:rFonts w:ascii="Arial" w:cs="Arial" w:eastAsia="Arial" w:hAnsi="Arial"/>
          <w:sz w:val="22"/>
          <w:szCs w:val="22"/>
        </w:rPr>
        <w:t xml:space="preserve">GPU memory consumption during fine-tuning</w:t>
      </w:r>
    </w:p>
    <w:p>
      <w:pPr>
        <w:pStyle w:val="ListParagraph"/>
        <w:numPr>
          <w:ilvl w:val="0"/>
          <w:numId w:val="2"/>
        </w:numPr>
        <w:spacing w:after="50" w:before="50"/>
      </w:pPr>
      <w:r>
        <w:rPr>
          <w:rFonts w:ascii="Arial" w:cs="Arial" w:eastAsia="Arial" w:hAnsi="Arial"/>
          <w:sz w:val="22"/>
          <w:szCs w:val="22"/>
        </w:rPr>
        <w:t xml:space="preserve">Training wall-clock time on 4x A100-40GB</w:t>
      </w:r>
    </w:p>
    <w:p>
      <w:pPr>
        <w:pStyle w:val="Heading2"/>
        <w:spacing w:after="80" w:before="240"/>
      </w:pPr>
      <w:r>
        <w:rPr>
          <w:rFonts w:ascii="Arial" w:cs="Arial" w:eastAsia="Arial" w:hAnsi="Arial"/>
          <w:b/>
          <w:bCs/>
          <w:color w:val="2E75B6"/>
          <w:sz w:val="24"/>
          <w:szCs w:val="24"/>
        </w:rPr>
        <w:t xml:space="preserve">5.4 Results Table Template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1600"/>
        <w:gridCol w:w="1560"/>
        <w:gridCol w:w="1200"/>
      </w:tblGrid>
      <w:tr>
        <w:trPr>
          <w:tblHeader/>
        </w:trPr>
        <w:tc>
          <w:tcPr>
            <w:tcW w:type="dxa" w:w="12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Rank r</w:t>
            </w:r>
          </w:p>
        </w:tc>
        <w:tc>
          <w:tcPr>
            <w:tcW w:type="dxa" w:w="20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Trainable Params</w:t>
            </w:r>
          </w:p>
        </w:tc>
        <w:tc>
          <w:tcPr>
            <w:tcW w:type="dxa" w:w="1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QA Score</w:t>
            </w:r>
          </w:p>
        </w:tc>
        <w:tc>
          <w:tcPr>
            <w:tcW w:type="dxa" w:w="16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GPU Memory vs r=4</w:t>
            </w:r>
          </w:p>
        </w:tc>
        <w:tc>
          <w:tcPr>
            <w:tcW w:type="dxa" w:w="156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Verdict</w:t>
            </w:r>
          </w:p>
        </w:tc>
        <w:tc>
          <w:tcPr>
            <w:tcW w:type="dxa" w:w="12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Best</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r = 1</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~8K</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Low</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375623"/>
                <w:sz w:val="20"/>
                <w:szCs w:val="20"/>
              </w:rPr>
              <w:t xml:space="preserve">1×</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Minimal</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12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bCs/>
                <w:sz w:val="20"/>
                <w:szCs w:val="20"/>
              </w:rPr>
              <w:t xml:space="preserve">r = 4 (current)</w:t>
            </w:r>
          </w:p>
        </w:tc>
        <w:tc>
          <w:tcPr>
            <w:tcW w:type="dxa" w:w="20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000000"/>
                <w:sz w:val="20"/>
                <w:szCs w:val="20"/>
              </w:rPr>
              <w:t xml:space="preserve">~32K</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1×</w:t>
            </w:r>
          </w:p>
        </w:tc>
        <w:tc>
          <w:tcPr>
            <w:tcW w:type="dxa" w:w="15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Optimal</w:t>
            </w:r>
          </w:p>
        </w:tc>
        <w:tc>
          <w:tcPr>
            <w:tcW w:type="dxa" w:w="12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YES</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r = 8</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~65K</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1.3×</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Good</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r = 16</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~131K</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1.7×</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Diminish.</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Full fine-tune</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~123B</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375623"/>
                <w:sz w:val="20"/>
                <w:szCs w:val="20"/>
              </w:rPr>
              <w:t xml:space="preserve">Highest</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80×+</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Not viable</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bl>
    <w:p>
      <w:pPr>
        <w:spacing w:after="60" w:before="60"/>
      </w:pPr>
    </w:p>
    <w:p>
      <w:pPr>
        <w:spacing w:after="60" w:before="60"/>
      </w:pPr>
      <w:r>
        <w:rPr>
          <w:rFonts w:ascii="Arial" w:cs="Arial" w:eastAsia="Arial" w:hAnsi="Arial"/>
          <w:i/>
          <w:iCs/>
          <w:color w:val="595959"/>
          <w:sz w:val="20"/>
          <w:szCs w:val="20"/>
        </w:rPr>
        <w:t xml:space="preserve">Note: r=4 should be the sweet spot where quality plateaus before significantly increasing trainable parameters. If r=8 shows meaningfully higher QA scores, reconsider the final configuration.</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6. Experiment 5 — Data Source (ETL Tier) Ablation</w:t>
      </w:r>
    </w:p>
    <w:p>
      <w:pPr>
        <w:pStyle w:val="Heading2"/>
        <w:spacing w:after="80" w:before="240"/>
      </w:pPr>
      <w:r>
        <w:rPr>
          <w:rFonts w:ascii="Arial" w:cs="Arial" w:eastAsia="Arial" w:hAnsi="Arial"/>
          <w:b/>
          <w:bCs/>
          <w:color w:val="2E75B6"/>
          <w:sz w:val="24"/>
          <w:szCs w:val="24"/>
        </w:rPr>
        <w:t xml:space="preserve">6.1 Objective</w:t>
      </w:r>
    </w:p>
    <w:p>
      <w:pPr>
        <w:spacing w:after="60" w:before="60"/>
      </w:pPr>
      <w:r>
        <w:rPr>
          <w:rFonts w:ascii="Arial" w:cs="Arial" w:eastAsia="Arial" w:hAnsi="Arial"/>
          <w:sz w:val="22"/>
          <w:szCs w:val="22"/>
        </w:rPr>
        <w:t xml:space="preserve">Validate the two-tier ETL architecture by proving that both static ICAR documents and dynamic IMD/AGMARKNET telemetry are independently necessary. Removing either tier should demonstrably degrade a different category of agronomic queries.</w:t>
      </w:r>
    </w:p>
    <w:p>
      <w:pPr>
        <w:pStyle w:val="Heading2"/>
        <w:spacing w:after="80" w:before="240"/>
      </w:pPr>
      <w:r>
        <w:rPr>
          <w:rFonts w:ascii="Arial" w:cs="Arial" w:eastAsia="Arial" w:hAnsi="Arial"/>
          <w:b/>
          <w:bCs/>
          <w:color w:val="2E75B6"/>
          <w:sz w:val="24"/>
          <w:szCs w:val="24"/>
        </w:rPr>
        <w:t xml:space="preserve">6.2 Configurations to Test</w:t>
      </w:r>
    </w:p>
    <w:p>
      <w:pPr>
        <w:pStyle w:val="ListParagraph"/>
        <w:numPr>
          <w:ilvl w:val="0"/>
          <w:numId w:val="2"/>
        </w:numPr>
        <w:spacing w:after="50" w:before="50"/>
      </w:pPr>
      <w:r>
        <w:rPr>
          <w:rFonts w:ascii="Arial" w:cs="Arial" w:eastAsia="Arial" w:hAnsi="Arial"/>
          <w:sz w:val="22"/>
          <w:szCs w:val="22"/>
        </w:rPr>
        <w:t xml:space="preserve">Static ICAR corpus only — no real-time weather or pricing injected into context</w:t>
      </w:r>
    </w:p>
    <w:p>
      <w:pPr>
        <w:pStyle w:val="ListParagraph"/>
        <w:numPr>
          <w:ilvl w:val="0"/>
          <w:numId w:val="2"/>
        </w:numPr>
        <w:spacing w:after="50" w:before="50"/>
      </w:pPr>
      <w:r>
        <w:rPr>
          <w:rFonts w:ascii="Arial" w:cs="Arial" w:eastAsia="Arial" w:hAnsi="Arial"/>
          <w:sz w:val="22"/>
          <w:szCs w:val="22"/>
        </w:rPr>
        <w:t xml:space="preserve">Dynamic telemetry only — live IMD/AGMARKNET data, no ICAR document retrieval</w:t>
      </w:r>
    </w:p>
    <w:p>
      <w:pPr>
        <w:pStyle w:val="ListParagraph"/>
        <w:numPr>
          <w:ilvl w:val="0"/>
          <w:numId w:val="2"/>
        </w:numPr>
        <w:spacing w:after="50" w:before="50"/>
      </w:pPr>
      <w:r>
        <w:rPr>
          <w:rFonts w:ascii="Arial" w:cs="Arial" w:eastAsia="Arial" w:hAnsi="Arial"/>
          <w:sz w:val="22"/>
          <w:szCs w:val="22"/>
        </w:rPr>
        <w:t xml:space="preserve">Full dual-tier system — both static and dynamic sources (current AgroTrack)</w:t>
      </w:r>
    </w:p>
    <w:p>
      <w:pPr>
        <w:pStyle w:val="Heading2"/>
        <w:spacing w:after="80" w:before="240"/>
      </w:pPr>
      <w:r>
        <w:rPr>
          <w:rFonts w:ascii="Arial" w:cs="Arial" w:eastAsia="Arial" w:hAnsi="Arial"/>
          <w:b/>
          <w:bCs/>
          <w:color w:val="2E75B6"/>
          <w:sz w:val="24"/>
          <w:szCs w:val="24"/>
        </w:rPr>
        <w:t xml:space="preserve">6.3 Evaluation Metrics</w:t>
      </w:r>
    </w:p>
    <w:p>
      <w:pPr>
        <w:spacing w:after="60" w:before="60"/>
      </w:pPr>
      <w:r>
        <w:rPr>
          <w:rFonts w:ascii="Arial" w:cs="Arial" w:eastAsia="Arial" w:hAnsi="Arial"/>
          <w:sz w:val="22"/>
          <w:szCs w:val="22"/>
        </w:rPr>
        <w:t xml:space="preserve">Use two separate query subsets to isolate the contribution of each tier:</w:t>
      </w:r>
    </w:p>
    <w:p>
      <w:pPr>
        <w:pStyle w:val="ListParagraph"/>
        <w:numPr>
          <w:ilvl w:val="0"/>
          <w:numId w:val="2"/>
        </w:numPr>
        <w:spacing w:after="50" w:before="50"/>
      </w:pPr>
      <w:r>
        <w:rPr>
          <w:rFonts w:ascii="Arial" w:cs="Arial" w:eastAsia="Arial" w:hAnsi="Arial"/>
          <w:sz w:val="22"/>
          <w:szCs w:val="22"/>
        </w:rPr>
        <w:t xml:space="preserve">Weather-dependent queries (e.g., 'Should I apply fertiliser given tomorrow's forecast?') — tests dynamic IMD tier</w:t>
      </w:r>
    </w:p>
    <w:p>
      <w:pPr>
        <w:pStyle w:val="ListParagraph"/>
        <w:numPr>
          <w:ilvl w:val="0"/>
          <w:numId w:val="2"/>
        </w:numPr>
        <w:spacing w:after="50" w:before="50"/>
      </w:pPr>
      <w:r>
        <w:rPr>
          <w:rFonts w:ascii="Arial" w:cs="Arial" w:eastAsia="Arial" w:hAnsi="Arial"/>
          <w:sz w:val="22"/>
          <w:szCs w:val="22"/>
        </w:rPr>
        <w:t xml:space="preserve">Agronomic knowledge queries (e.g., 'What is the recommended nitrogen dose for kharif paddy in loamy soil?') — tests static ICAR tier</w:t>
      </w:r>
    </w:p>
    <w:p>
      <w:pPr>
        <w:pStyle w:val="ListParagraph"/>
        <w:numPr>
          <w:ilvl w:val="0"/>
          <w:numId w:val="2"/>
        </w:numPr>
        <w:spacing w:after="50" w:before="50"/>
      </w:pPr>
      <w:r>
        <w:rPr>
          <w:rFonts w:ascii="Arial" w:cs="Arial" w:eastAsia="Arial" w:hAnsi="Arial"/>
          <w:sz w:val="22"/>
          <w:szCs w:val="22"/>
        </w:rPr>
        <w:t xml:space="preserve">Market-timing queries (e.g., 'Is this a good week to sell my wheat given current mandi prices?') — tests AGMARKNET tier</w:t>
      </w:r>
    </w:p>
    <w:p>
      <w:pPr>
        <w:pStyle w:val="Heading2"/>
        <w:spacing w:after="80" w:before="240"/>
      </w:pPr>
      <w:r>
        <w:rPr>
          <w:rFonts w:ascii="Arial" w:cs="Arial" w:eastAsia="Arial" w:hAnsi="Arial"/>
          <w:b/>
          <w:bCs/>
          <w:color w:val="2E75B6"/>
          <w:sz w:val="24"/>
          <w:szCs w:val="24"/>
        </w:rPr>
        <w:t xml:space="preserve">6.4 Results Table Template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1760"/>
        <w:gridCol w:w="800"/>
      </w:tblGrid>
      <w:tr>
        <w:trPr>
          <w:tblHeader/>
        </w:trPr>
        <w:tc>
          <w:tcPr>
            <w:tcW w:type="dxa" w:w="26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Data Configuration</w:t>
            </w:r>
          </w:p>
        </w:tc>
        <w:tc>
          <w:tcPr>
            <w:tcW w:type="dxa" w:w="22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Description</w:t>
            </w:r>
          </w:p>
        </w:tc>
        <w:tc>
          <w:tcPr>
            <w:tcW w:type="dxa" w:w="20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Agronomic Accuracy</w:t>
            </w:r>
          </w:p>
        </w:tc>
        <w:tc>
          <w:tcPr>
            <w:tcW w:type="dxa" w:w="176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Market Accuracy</w:t>
            </w:r>
          </w:p>
        </w:tc>
        <w:tc>
          <w:tcPr>
            <w:tcW w:type="dxa" w:w="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Best</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Static ICAR only</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ICAR docs only, no live telemetry</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Low</w:t>
            </w:r>
          </w:p>
        </w:tc>
        <w:tc>
          <w:tcPr>
            <w:tcW w:type="dxa" w:w="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Dynamic only</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IMD/AGMARKNET only, no ICAR corpus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Low</w:t>
            </w:r>
          </w:p>
        </w:tc>
        <w:tc>
          <w:tcPr>
            <w:tcW w:type="dxa" w:w="1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2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bCs/>
                <w:sz w:val="20"/>
                <w:szCs w:val="20"/>
              </w:rPr>
              <w:t xml:space="preserve">Both — Full AgroTrack</w:t>
            </w:r>
          </w:p>
        </w:tc>
        <w:tc>
          <w:tcPr>
            <w:tcW w:type="dxa" w:w="22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Dual-tier: ICAR + live weather/price</w:t>
            </w:r>
          </w:p>
        </w:tc>
        <w:tc>
          <w:tcPr>
            <w:tcW w:type="dxa" w:w="20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7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YES</w:t>
            </w:r>
          </w:p>
        </w:tc>
      </w:tr>
    </w:tbl>
    <w:p>
      <w:pPr>
        <w:spacing w:after="60" w:before="60"/>
      </w:pPr>
    </w:p>
    <w:p>
      <w:pPr>
        <w:spacing w:after="60" w:before="60"/>
      </w:pPr>
      <w:r>
        <w:rPr>
          <w:rFonts w:ascii="Arial" w:cs="Arial" w:eastAsia="Arial" w:hAnsi="Arial"/>
          <w:i/>
          <w:iCs/>
          <w:color w:val="595959"/>
          <w:sz w:val="20"/>
          <w:szCs w:val="20"/>
        </w:rPr>
        <w:t xml:space="preserve">Note: This experiment is the key justification for the dual-tier ETL design. Static-only and dynamic-only configurations should each fail on complementary query types.</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7. Experiment 6 — Embedding Model Ablation</w:t>
      </w:r>
    </w:p>
    <w:p>
      <w:pPr>
        <w:pStyle w:val="Heading2"/>
        <w:spacing w:after="80" w:before="240"/>
      </w:pPr>
      <w:r>
        <w:rPr>
          <w:rFonts w:ascii="Arial" w:cs="Arial" w:eastAsia="Arial" w:hAnsi="Arial"/>
          <w:b/>
          <w:bCs/>
          <w:color w:val="2E75B6"/>
          <w:sz w:val="24"/>
          <w:szCs w:val="24"/>
        </w:rPr>
        <w:t xml:space="preserve">7.1 Objective</w:t>
      </w:r>
    </w:p>
    <w:p>
      <w:pPr>
        <w:spacing w:after="60" w:before="60"/>
      </w:pPr>
      <w:r>
        <w:rPr>
          <w:rFonts w:ascii="Arial" w:cs="Arial" w:eastAsia="Arial" w:hAnsi="Arial"/>
          <w:sz w:val="22"/>
          <w:szCs w:val="22"/>
        </w:rPr>
        <w:t xml:space="preserve">Justify the selection of Krutrim Vyakyarth-1-Indic-Embedding over general-purpose multilingual encoders by demonstrating superior retrieval precision on Indian-language and domain-specific agronomic queries.</w:t>
      </w:r>
    </w:p>
    <w:p>
      <w:pPr>
        <w:pStyle w:val="Heading2"/>
        <w:spacing w:after="80" w:before="240"/>
      </w:pPr>
      <w:r>
        <w:rPr>
          <w:rFonts w:ascii="Arial" w:cs="Arial" w:eastAsia="Arial" w:hAnsi="Arial"/>
          <w:b/>
          <w:bCs/>
          <w:color w:val="2E75B6"/>
          <w:sz w:val="24"/>
          <w:szCs w:val="24"/>
        </w:rPr>
        <w:t xml:space="preserve">7.2 Configurations to Test</w:t>
      </w:r>
    </w:p>
    <w:p>
      <w:pPr>
        <w:pStyle w:val="ListParagraph"/>
        <w:numPr>
          <w:ilvl w:val="0"/>
          <w:numId w:val="2"/>
        </w:numPr>
        <w:spacing w:after="50" w:before="50"/>
      </w:pPr>
      <w:r>
        <w:rPr>
          <w:rFonts w:ascii="Arial" w:cs="Arial" w:eastAsia="Arial" w:hAnsi="Arial"/>
          <w:sz w:val="22"/>
          <w:szCs w:val="22"/>
        </w:rPr>
        <w:t xml:space="preserve">Krutrim Vyakyarth-1-Indic-Embedding (current) — 22 Indian languages, domain-adjacent</w:t>
      </w:r>
    </w:p>
    <w:p>
      <w:pPr>
        <w:pStyle w:val="ListParagraph"/>
        <w:numPr>
          <w:ilvl w:val="0"/>
          <w:numId w:val="2"/>
        </w:numPr>
        <w:spacing w:after="50" w:before="50"/>
      </w:pPr>
      <w:r>
        <w:rPr>
          <w:rFonts w:ascii="Arial" w:cs="Arial" w:eastAsia="Arial" w:hAnsi="Arial"/>
          <w:sz w:val="22"/>
          <w:szCs w:val="22"/>
        </w:rPr>
        <w:t xml:space="preserve">multilingual-e5-large — state-of-the-art general multilingual encoder</w:t>
      </w:r>
    </w:p>
    <w:p>
      <w:pPr>
        <w:pStyle w:val="ListParagraph"/>
        <w:numPr>
          <w:ilvl w:val="0"/>
          <w:numId w:val="2"/>
        </w:numPr>
        <w:spacing w:after="50" w:before="50"/>
      </w:pPr>
      <w:r>
        <w:rPr>
          <w:rFonts w:ascii="Arial" w:cs="Arial" w:eastAsia="Arial" w:hAnsi="Arial"/>
          <w:sz w:val="22"/>
          <w:szCs w:val="22"/>
        </w:rPr>
        <w:t xml:space="preserve">text-embedding-3-small — OpenAI English-dominant baseline</w:t>
      </w:r>
    </w:p>
    <w:p>
      <w:pPr>
        <w:pStyle w:val="Heading2"/>
        <w:spacing w:after="80" w:before="240"/>
      </w:pPr>
      <w:r>
        <w:rPr>
          <w:rFonts w:ascii="Arial" w:cs="Arial" w:eastAsia="Arial" w:hAnsi="Arial"/>
          <w:b/>
          <w:bCs/>
          <w:color w:val="2E75B6"/>
          <w:sz w:val="24"/>
          <w:szCs w:val="24"/>
        </w:rPr>
        <w:t xml:space="preserve">7.3 Evaluation Metrics</w:t>
      </w:r>
    </w:p>
    <w:p>
      <w:pPr>
        <w:pStyle w:val="ListParagraph"/>
        <w:numPr>
          <w:ilvl w:val="0"/>
          <w:numId w:val="2"/>
        </w:numPr>
        <w:spacing w:after="50" w:before="50"/>
      </w:pPr>
      <w:r>
        <w:rPr>
          <w:rFonts w:ascii="Arial" w:cs="Arial" w:eastAsia="Arial" w:hAnsi="Arial"/>
          <w:sz w:val="22"/>
          <w:szCs w:val="22"/>
        </w:rPr>
        <w:t xml:space="preserve">Precision@5 and NDCG@10 on a manually annotated query-document relevance set of 200 pairs</w:t>
      </w:r>
    </w:p>
    <w:p>
      <w:pPr>
        <w:pStyle w:val="ListParagraph"/>
        <w:numPr>
          <w:ilvl w:val="0"/>
          <w:numId w:val="2"/>
        </w:numPr>
        <w:spacing w:after="50" w:before="50"/>
      </w:pPr>
      <w:r>
        <w:rPr>
          <w:rFonts w:ascii="Arial" w:cs="Arial" w:eastAsia="Arial" w:hAnsi="Arial"/>
          <w:sz w:val="22"/>
          <w:szCs w:val="22"/>
        </w:rPr>
        <w:t xml:space="preserve">Performance stratified by language: English queries, Hindi queries, regional language queries</w:t>
      </w:r>
    </w:p>
    <w:p>
      <w:pPr>
        <w:pStyle w:val="ListParagraph"/>
        <w:numPr>
          <w:ilvl w:val="0"/>
          <w:numId w:val="2"/>
        </w:numPr>
        <w:spacing w:after="50" w:before="50"/>
      </w:pPr>
      <w:r>
        <w:rPr>
          <w:rFonts w:ascii="Arial" w:cs="Arial" w:eastAsia="Arial" w:hAnsi="Arial"/>
          <w:sz w:val="22"/>
          <w:szCs w:val="22"/>
        </w:rPr>
        <w:t xml:space="preserve">Retrieval latency and embedding inference time</w:t>
      </w:r>
    </w:p>
    <w:p>
      <w:pPr>
        <w:pStyle w:val="Heading2"/>
        <w:spacing w:after="80" w:before="240"/>
      </w:pPr>
      <w:r>
        <w:rPr>
          <w:rFonts w:ascii="Arial" w:cs="Arial" w:eastAsia="Arial" w:hAnsi="Arial"/>
          <w:b/>
          <w:bCs/>
          <w:color w:val="2E75B6"/>
          <w:sz w:val="24"/>
          <w:szCs w:val="24"/>
        </w:rPr>
        <w:t xml:space="preserve">7.4 Results Table Template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600"/>
        <w:gridCol w:w="1560"/>
        <w:gridCol w:w="1500"/>
      </w:tblGrid>
      <w:tr>
        <w:trPr>
          <w:tblHeader/>
        </w:trPr>
        <w:tc>
          <w:tcPr>
            <w:tcW w:type="dxa" w:w="26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Embedding Model</w:t>
            </w:r>
          </w:p>
        </w:tc>
        <w:tc>
          <w:tcPr>
            <w:tcW w:type="dxa" w:w="21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Description</w:t>
            </w:r>
          </w:p>
        </w:tc>
        <w:tc>
          <w:tcPr>
            <w:tcW w:type="dxa" w:w="16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Precision@5</w:t>
            </w:r>
          </w:p>
        </w:tc>
        <w:tc>
          <w:tcPr>
            <w:tcW w:type="dxa" w:w="156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NDCG@10</w:t>
            </w:r>
          </w:p>
        </w:tc>
        <w:tc>
          <w:tcPr>
            <w:tcW w:type="dxa" w:w="15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Best</w:t>
            </w:r>
          </w:p>
        </w:tc>
      </w:tr>
      <w:tr>
        <w:tc>
          <w:tcPr>
            <w:tcW w:type="dxa" w:w="2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bCs/>
                <w:sz w:val="20"/>
                <w:szCs w:val="20"/>
              </w:rPr>
              <w:t xml:space="preserve">Vyakyarth-1 (current)</w:t>
            </w:r>
          </w:p>
        </w:tc>
        <w:tc>
          <w:tcPr>
            <w:tcW w:type="dxa" w:w="21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22 Indian languages, Indic-specific</w:t>
            </w:r>
          </w:p>
        </w:tc>
        <w:tc>
          <w:tcPr>
            <w:tcW w:type="dxa" w:w="16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5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5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YES</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multilingual-e5-large</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General multilingual encoder</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text-embedding-3-small</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OpenAI baseline, English-dominant</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Low</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bl>
    <w:p>
      <w:pPr>
        <w:spacing w:after="60" w:before="60"/>
      </w:pPr>
    </w:p>
    <w:p>
      <w:pPr>
        <w:spacing w:after="60" w:before="60"/>
      </w:pPr>
      <w:r>
        <w:rPr>
          <w:rFonts w:ascii="Arial" w:cs="Arial" w:eastAsia="Arial" w:hAnsi="Arial"/>
          <w:i/>
          <w:iCs/>
          <w:color w:val="595959"/>
          <w:sz w:val="20"/>
          <w:szCs w:val="20"/>
        </w:rPr>
        <w:t xml:space="preserve">Note: If multilingual-e5-large matches or exceeds Vyakyarth-1 on precision, the encoder choice should be reconsidered or the justification rewritten to reflect the actual evidence.</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8. Experiment 7 — Chunk Size Ablation</w:t>
      </w:r>
    </w:p>
    <w:p>
      <w:pPr>
        <w:pStyle w:val="Heading2"/>
        <w:spacing w:after="80" w:before="240"/>
      </w:pPr>
      <w:r>
        <w:rPr>
          <w:rFonts w:ascii="Arial" w:cs="Arial" w:eastAsia="Arial" w:hAnsi="Arial"/>
          <w:b/>
          <w:bCs/>
          <w:color w:val="2E75B6"/>
          <w:sz w:val="24"/>
          <w:szCs w:val="24"/>
        </w:rPr>
        <w:t xml:space="preserve">8.1 Objective</w:t>
      </w:r>
    </w:p>
    <w:p>
      <w:pPr>
        <w:spacing w:after="60" w:before="60"/>
      </w:pPr>
      <w:r>
        <w:rPr>
          <w:rFonts w:ascii="Arial" w:cs="Arial" w:eastAsia="Arial" w:hAnsi="Arial"/>
          <w:sz w:val="22"/>
          <w:szCs w:val="22"/>
        </w:rPr>
        <w:t xml:space="preserve">Justify the ETL design choice of 1,000-token chunks with 200-token overlap by testing smaller and larger chunk sizes and measuring the impact on retrieval relevance and answer coherence.</w:t>
      </w:r>
    </w:p>
    <w:p>
      <w:pPr>
        <w:pStyle w:val="Heading2"/>
        <w:spacing w:after="80" w:before="240"/>
      </w:pPr>
      <w:r>
        <w:rPr>
          <w:rFonts w:ascii="Arial" w:cs="Arial" w:eastAsia="Arial" w:hAnsi="Arial"/>
          <w:b/>
          <w:bCs/>
          <w:color w:val="2E75B6"/>
          <w:sz w:val="24"/>
          <w:szCs w:val="24"/>
        </w:rPr>
        <w:t xml:space="preserve">8.2 Configurations to Test</w:t>
      </w:r>
    </w:p>
    <w:p>
      <w:pPr>
        <w:pStyle w:val="ListParagraph"/>
        <w:numPr>
          <w:ilvl w:val="0"/>
          <w:numId w:val="2"/>
        </w:numPr>
        <w:spacing w:after="50" w:before="50"/>
      </w:pPr>
      <w:r>
        <w:rPr>
          <w:rFonts w:ascii="Arial" w:cs="Arial" w:eastAsia="Arial" w:hAnsi="Arial"/>
          <w:sz w:val="22"/>
          <w:szCs w:val="22"/>
        </w:rPr>
        <w:t xml:space="preserve">500-token chunks, 100-token overlap — fine-grained, higher precision potential</w:t>
      </w:r>
    </w:p>
    <w:p>
      <w:pPr>
        <w:pStyle w:val="ListParagraph"/>
        <w:numPr>
          <w:ilvl w:val="0"/>
          <w:numId w:val="2"/>
        </w:numPr>
        <w:spacing w:after="50" w:before="50"/>
      </w:pPr>
      <w:r>
        <w:rPr>
          <w:rFonts w:ascii="Arial" w:cs="Arial" w:eastAsia="Arial" w:hAnsi="Arial"/>
          <w:sz w:val="22"/>
          <w:szCs w:val="22"/>
        </w:rPr>
        <w:t xml:space="preserve">1,000-token chunks, 200-token overlap (current) — balanced granularity</w:t>
      </w:r>
    </w:p>
    <w:p>
      <w:pPr>
        <w:pStyle w:val="ListParagraph"/>
        <w:numPr>
          <w:ilvl w:val="0"/>
          <w:numId w:val="2"/>
        </w:numPr>
        <w:spacing w:after="50" w:before="50"/>
      </w:pPr>
      <w:r>
        <w:rPr>
          <w:rFonts w:ascii="Arial" w:cs="Arial" w:eastAsia="Arial" w:hAnsi="Arial"/>
          <w:sz w:val="22"/>
          <w:szCs w:val="22"/>
        </w:rPr>
        <w:t xml:space="preserve">1,500-token chunks, 300-token overlap — richer context per chunk, fewer chunks retrieved</w:t>
      </w:r>
    </w:p>
    <w:p>
      <w:pPr>
        <w:pStyle w:val="Heading2"/>
        <w:spacing w:after="80" w:before="240"/>
      </w:pPr>
      <w:r>
        <w:rPr>
          <w:rFonts w:ascii="Arial" w:cs="Arial" w:eastAsia="Arial" w:hAnsi="Arial"/>
          <w:b/>
          <w:bCs/>
          <w:color w:val="2E75B6"/>
          <w:sz w:val="24"/>
          <w:szCs w:val="24"/>
        </w:rPr>
        <w:t xml:space="preserve">8.3 Evaluation Metrics</w:t>
      </w:r>
    </w:p>
    <w:p>
      <w:pPr>
        <w:pStyle w:val="ListParagraph"/>
        <w:numPr>
          <w:ilvl w:val="0"/>
          <w:numId w:val="2"/>
        </w:numPr>
        <w:spacing w:after="50" w:before="50"/>
      </w:pPr>
      <w:r>
        <w:rPr>
          <w:rFonts w:ascii="Arial" w:cs="Arial" w:eastAsia="Arial" w:hAnsi="Arial"/>
          <w:sz w:val="22"/>
          <w:szCs w:val="22"/>
        </w:rPr>
        <w:t xml:space="preserve">Retrieval relevance score (human-rated 1–5 for top-5 retrieved chunks against query intent)</w:t>
      </w:r>
    </w:p>
    <w:p>
      <w:pPr>
        <w:pStyle w:val="ListParagraph"/>
        <w:numPr>
          <w:ilvl w:val="0"/>
          <w:numId w:val="2"/>
        </w:numPr>
        <w:spacing w:after="50" w:before="50"/>
      </w:pPr>
      <w:r>
        <w:rPr>
          <w:rFonts w:ascii="Arial" w:cs="Arial" w:eastAsia="Arial" w:hAnsi="Arial"/>
          <w:sz w:val="22"/>
          <w:szCs w:val="22"/>
        </w:rPr>
        <w:t xml:space="preserve">Answer coherence judged by agronomist (do retrieved chunks provide self-contained enough context?)</w:t>
      </w:r>
    </w:p>
    <w:p>
      <w:pPr>
        <w:pStyle w:val="ListParagraph"/>
        <w:numPr>
          <w:ilvl w:val="0"/>
          <w:numId w:val="2"/>
        </w:numPr>
        <w:spacing w:after="50" w:before="50"/>
      </w:pPr>
      <w:r>
        <w:rPr>
          <w:rFonts w:ascii="Arial" w:cs="Arial" w:eastAsia="Arial" w:hAnsi="Arial"/>
          <w:sz w:val="22"/>
          <w:szCs w:val="22"/>
        </w:rPr>
        <w:t xml:space="preserve">Total token consumption per query (affects API cost at production scale)</w:t>
      </w:r>
    </w:p>
    <w:p>
      <w:pPr>
        <w:pStyle w:val="Heading2"/>
        <w:spacing w:after="80" w:before="240"/>
      </w:pPr>
      <w:r>
        <w:rPr>
          <w:rFonts w:ascii="Arial" w:cs="Arial" w:eastAsia="Arial" w:hAnsi="Arial"/>
          <w:b/>
          <w:bCs/>
          <w:color w:val="2E75B6"/>
          <w:sz w:val="24"/>
          <w:szCs w:val="24"/>
        </w:rPr>
        <w:t xml:space="preserve">8.4 Results Table Template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900"/>
        <w:gridCol w:w="1900"/>
        <w:gridCol w:w="1800"/>
      </w:tblGrid>
      <w:tr>
        <w:trPr>
          <w:tblHeader/>
        </w:trPr>
        <w:tc>
          <w:tcPr>
            <w:tcW w:type="dxa" w:w="156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Chunk Size</w:t>
            </w:r>
          </w:p>
        </w:tc>
        <w:tc>
          <w:tcPr>
            <w:tcW w:type="dxa" w:w="22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Description</w:t>
            </w:r>
          </w:p>
        </w:tc>
        <w:tc>
          <w:tcPr>
            <w:tcW w:type="dxa" w:w="19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Retrieval Relevance</w:t>
            </w:r>
          </w:p>
        </w:tc>
        <w:tc>
          <w:tcPr>
            <w:tcW w:type="dxa" w:w="19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Answer Coherence</w:t>
            </w:r>
          </w:p>
        </w:tc>
        <w:tc>
          <w:tcPr>
            <w:tcW w:type="dxa" w:w="1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Best</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500 tokens</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Fine-grained, less context per chunk</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Low</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r>
        <w:tc>
          <w:tcPr>
            <w:tcW w:type="dxa" w:w="15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bCs/>
                <w:sz w:val="20"/>
                <w:szCs w:val="20"/>
              </w:rPr>
              <w:t xml:space="preserve">1000 tokens (curr)</w:t>
            </w:r>
          </w:p>
        </w:tc>
        <w:tc>
          <w:tcPr>
            <w:tcW w:type="dxa" w:w="22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Balanced granularity + coverage</w:t>
            </w:r>
          </w:p>
        </w:tc>
        <w:tc>
          <w:tcPr>
            <w:tcW w:type="dxa" w:w="19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9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High</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1500 tokens</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Dense context, higher token cost</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Medium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595959"/>
                <w:sz w:val="20"/>
                <w:szCs w:val="20"/>
              </w:rPr>
              <w:t xml:space="preserve">—</w:t>
            </w:r>
          </w:p>
        </w:tc>
      </w:tr>
    </w:tbl>
    <w:p>
      <w:pPr>
        <w:spacing w:after="60" w:before="60"/>
      </w:pPr>
    </w:p>
    <w:p>
      <w:pPr>
        <w:spacing w:after="60" w:before="60"/>
      </w:pPr>
      <w:r>
        <w:rPr>
          <w:rFonts w:ascii="Arial" w:cs="Arial" w:eastAsia="Arial" w:hAnsi="Arial"/>
          <w:i/>
          <w:iCs/>
          <w:color w:val="595959"/>
          <w:sz w:val="20"/>
          <w:szCs w:val="20"/>
        </w:rPr>
        <w:t xml:space="preserve">Note: Smaller chunks increase the number of documents in the index and may improve precision but risk fragmenting context. Larger chunks reduce fragmentation but increase prompt token cost and may retrieve irrelevant surrounding text.</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9. Practical Implementation Guide</w:t>
      </w:r>
    </w:p>
    <w:p>
      <w:pPr>
        <w:pStyle w:val="Heading2"/>
        <w:spacing w:after="80" w:before="240"/>
      </w:pPr>
      <w:r>
        <w:rPr>
          <w:rFonts w:ascii="Arial" w:cs="Arial" w:eastAsia="Arial" w:hAnsi="Arial"/>
          <w:b/>
          <w:bCs/>
          <w:color w:val="2E75B6"/>
          <w:sz w:val="24"/>
          <w:szCs w:val="24"/>
        </w:rPr>
        <w:t xml:space="preserve">9.1 Compute Budget Estimation</w:t>
      </w:r>
    </w:p>
    <w:p>
      <w:pPr>
        <w:spacing w:after="60" w:before="60"/>
      </w:pPr>
      <w:r>
        <w:rPr>
          <w:rFonts w:ascii="Arial" w:cs="Arial" w:eastAsia="Arial" w:hAnsi="Arial"/>
          <w:sz w:val="22"/>
          <w:szCs w:val="22"/>
        </w:rPr>
        <w:t xml:space="preserve">All seven ablation experiments can be completed within the existing 4x A100-40GB hardware allocation:</w:t>
      </w:r>
    </w:p>
    <w:p>
      <w:pPr>
        <w:pStyle w:val="ListParagraph"/>
        <w:numPr>
          <w:ilvl w:val="0"/>
          <w:numId w:val="2"/>
        </w:numPr>
        <w:spacing w:after="50" w:before="50"/>
      </w:pPr>
      <w:r>
        <w:rPr>
          <w:rFonts w:ascii="Arial" w:cs="Arial" w:eastAsia="Arial" w:hAnsi="Arial"/>
          <w:sz w:val="22"/>
          <w:szCs w:val="22"/>
        </w:rPr>
        <w:t xml:space="preserve">Experiments 1, 2, 3, 5, 6, 7 are inference-time only — no additional training required. Estimated time: 2–4 hours total.</w:t>
      </w:r>
    </w:p>
    <w:p>
      <w:pPr>
        <w:pStyle w:val="ListParagraph"/>
        <w:numPr>
          <w:ilvl w:val="0"/>
          <w:numId w:val="2"/>
        </w:numPr>
        <w:spacing w:after="50" w:before="50"/>
      </w:pPr>
      <w:r>
        <w:rPr>
          <w:rFonts w:ascii="Arial" w:cs="Arial" w:eastAsia="Arial" w:hAnsi="Arial"/>
          <w:sz w:val="22"/>
          <w:szCs w:val="22"/>
        </w:rPr>
        <w:t xml:space="preserve">Experiment 4 (LoRA rank ablation) requires four short training runs (r=1,4,8,16). Estimated time: 8–12 hours total across all variants.</w:t>
      </w:r>
    </w:p>
    <w:p>
      <w:pPr>
        <w:pStyle w:val="ListParagraph"/>
        <w:numPr>
          <w:ilvl w:val="0"/>
          <w:numId w:val="2"/>
        </w:numPr>
        <w:spacing w:after="50" w:before="50"/>
      </w:pPr>
      <w:r>
        <w:rPr>
          <w:rFonts w:ascii="Arial" w:cs="Arial" w:eastAsia="Arial" w:hAnsi="Arial"/>
          <w:sz w:val="22"/>
          <w:szCs w:val="22"/>
        </w:rPr>
        <w:t xml:space="preserve">Total additional compute: approximately 12–16 GPU-hours — well within a single overnight run.</w:t>
      </w:r>
    </w:p>
    <w:p>
      <w:pPr>
        <w:pStyle w:val="Heading2"/>
        <w:spacing w:after="80" w:before="240"/>
      </w:pPr>
      <w:r>
        <w:rPr>
          <w:rFonts w:ascii="Arial" w:cs="Arial" w:eastAsia="Arial" w:hAnsi="Arial"/>
          <w:b/>
          <w:bCs/>
          <w:color w:val="2E75B6"/>
          <w:sz w:val="24"/>
          <w:szCs w:val="24"/>
        </w:rPr>
        <w:t xml:space="preserve">9.2 Evaluation Dataset Requirements</w:t>
      </w:r>
    </w:p>
    <w:p>
      <w:pPr>
        <w:spacing w:after="60" w:before="60"/>
      </w:pPr>
      <w:r>
        <w:rPr>
          <w:rFonts w:ascii="Arial" w:cs="Arial" w:eastAsia="Arial" w:hAnsi="Arial"/>
          <w:sz w:val="22"/>
          <w:szCs w:val="22"/>
        </w:rPr>
        <w:t xml:space="preserve">A shared, fixed evaluation set should be used across all experiments to ensure comparability:</w:t>
      </w:r>
    </w:p>
    <w:p>
      <w:pPr>
        <w:pStyle w:val="ListParagraph"/>
        <w:numPr>
          <w:ilvl w:val="0"/>
          <w:numId w:val="3"/>
        </w:numPr>
        <w:spacing w:after="50" w:before="50"/>
      </w:pPr>
      <w:r>
        <w:rPr>
          <w:rFonts w:ascii="Arial" w:cs="Arial" w:eastAsia="Arial" w:hAnsi="Arial"/>
          <w:sz w:val="22"/>
          <w:szCs w:val="22"/>
        </w:rPr>
        <w:t xml:space="preserve">Compile 200 agronomic queries covering: fertiliser scheduling (50), pest management (50), weather-adjusted advice (50), and market-timing (50).</w:t>
      </w:r>
    </w:p>
    <w:p>
      <w:pPr>
        <w:pStyle w:val="ListParagraph"/>
        <w:numPr>
          <w:ilvl w:val="0"/>
          <w:numId w:val="3"/>
        </w:numPr>
        <w:spacing w:after="50" w:before="50"/>
      </w:pPr>
      <w:r>
        <w:rPr>
          <w:rFonts w:ascii="Arial" w:cs="Arial" w:eastAsia="Arial" w:hAnsi="Arial"/>
          <w:sz w:val="22"/>
          <w:szCs w:val="22"/>
        </w:rPr>
        <w:t xml:space="preserve">Stratify by language: 100 English, 60 Hindi, 40 regional languages (Tamil, Marathi, Bengali combined).</w:t>
      </w:r>
    </w:p>
    <w:p>
      <w:pPr>
        <w:pStyle w:val="ListParagraph"/>
        <w:numPr>
          <w:ilvl w:val="0"/>
          <w:numId w:val="3"/>
        </w:numPr>
        <w:spacing w:after="50" w:before="50"/>
      </w:pPr>
      <w:r>
        <w:rPr>
          <w:rFonts w:ascii="Arial" w:cs="Arial" w:eastAsia="Arial" w:hAnsi="Arial"/>
          <w:sz w:val="22"/>
          <w:szCs w:val="22"/>
        </w:rPr>
        <w:t xml:space="preserve">Have two agronomist domain experts independently annotate ground-truth answers and relevance labels for all 200 queries.</w:t>
      </w:r>
    </w:p>
    <w:p>
      <w:pPr>
        <w:pStyle w:val="ListParagraph"/>
        <w:numPr>
          <w:ilvl w:val="0"/>
          <w:numId w:val="3"/>
        </w:numPr>
        <w:spacing w:after="50" w:before="50"/>
      </w:pPr>
      <w:r>
        <w:rPr>
          <w:rFonts w:ascii="Arial" w:cs="Arial" w:eastAsia="Arial" w:hAnsi="Arial"/>
          <w:sz w:val="22"/>
          <w:szCs w:val="22"/>
        </w:rPr>
        <w:t xml:space="preserve">Compute Cohen's kappa for inter-rater agreement. Report kappa in the paper alongside evaluation results.</w:t>
      </w:r>
    </w:p>
    <w:p>
      <w:pPr>
        <w:pStyle w:val="Heading2"/>
        <w:spacing w:after="80" w:before="240"/>
      </w:pPr>
      <w:r>
        <w:rPr>
          <w:rFonts w:ascii="Arial" w:cs="Arial" w:eastAsia="Arial" w:hAnsi="Arial"/>
          <w:b/>
          <w:bCs/>
          <w:color w:val="2E75B6"/>
          <w:sz w:val="24"/>
          <w:szCs w:val="24"/>
        </w:rPr>
        <w:t xml:space="preserve">9.3 Reporting Requirements for Q1 Journals</w:t>
      </w:r>
    </w:p>
    <w:p>
      <w:pPr>
        <w:spacing w:after="60" w:before="60"/>
      </w:pPr>
      <w:r>
        <w:rPr>
          <w:rFonts w:ascii="Arial" w:cs="Arial" w:eastAsia="Arial" w:hAnsi="Arial"/>
          <w:sz w:val="22"/>
          <w:szCs w:val="22"/>
        </w:rPr>
        <w:t xml:space="preserve">For each ablation experiment, the paper must report:</w:t>
      </w:r>
    </w:p>
    <w:p>
      <w:pPr>
        <w:pStyle w:val="ListParagraph"/>
        <w:numPr>
          <w:ilvl w:val="0"/>
          <w:numId w:val="2"/>
        </w:numPr>
        <w:spacing w:after="50" w:before="50"/>
      </w:pPr>
      <w:r>
        <w:rPr>
          <w:rFonts w:ascii="Arial" w:cs="Arial" w:eastAsia="Arial" w:hAnsi="Arial"/>
          <w:sz w:val="22"/>
          <w:szCs w:val="22"/>
        </w:rPr>
        <w:t xml:space="preserve">Mean and standard deviation across 3 independent runs (to account for stochasticity in generation)</w:t>
      </w:r>
    </w:p>
    <w:p>
      <w:pPr>
        <w:pStyle w:val="ListParagraph"/>
        <w:numPr>
          <w:ilvl w:val="0"/>
          <w:numId w:val="2"/>
        </w:numPr>
        <w:spacing w:after="50" w:before="50"/>
      </w:pPr>
      <w:r>
        <w:rPr>
          <w:rFonts w:ascii="Arial" w:cs="Arial" w:eastAsia="Arial" w:hAnsi="Arial"/>
          <w:sz w:val="22"/>
          <w:szCs w:val="22"/>
        </w:rPr>
        <w:t xml:space="preserve">Statistical significance test (paired t-test or Wilcoxon signed-rank) comparing each variant against the full system (A4)</w:t>
      </w:r>
    </w:p>
    <w:p>
      <w:pPr>
        <w:pStyle w:val="ListParagraph"/>
        <w:numPr>
          <w:ilvl w:val="0"/>
          <w:numId w:val="2"/>
        </w:numPr>
        <w:spacing w:after="50" w:before="50"/>
      </w:pPr>
      <w:r>
        <w:rPr>
          <w:rFonts w:ascii="Arial" w:cs="Arial" w:eastAsia="Arial" w:hAnsi="Arial"/>
          <w:sz w:val="22"/>
          <w:szCs w:val="22"/>
        </w:rPr>
        <w:t xml:space="preserve">p-values with Bonferroni correction for multiple comparisons</w:t>
      </w:r>
    </w:p>
    <w:p>
      <w:pPr>
        <w:pStyle w:val="ListParagraph"/>
        <w:numPr>
          <w:ilvl w:val="0"/>
          <w:numId w:val="2"/>
        </w:numPr>
        <w:spacing w:after="50" w:before="50"/>
      </w:pPr>
      <w:r>
        <w:rPr>
          <w:rFonts w:ascii="Arial" w:cs="Arial" w:eastAsia="Arial" w:hAnsi="Arial"/>
          <w:sz w:val="22"/>
          <w:szCs w:val="22"/>
        </w:rPr>
        <w:t xml:space="preserve">Effect sizes (Cohen's d) in addition to raw metric differences</w:t>
      </w:r>
    </w:p>
    <w:p>
      <w:pPr>
        <w:pStyle w:val="Heading2"/>
        <w:spacing w:after="80" w:before="240"/>
      </w:pPr>
      <w:r>
        <w:rPr>
          <w:rFonts w:ascii="Arial" w:cs="Arial" w:eastAsia="Arial" w:hAnsi="Arial"/>
          <w:b/>
          <w:bCs/>
          <w:color w:val="2E75B6"/>
          <w:sz w:val="24"/>
          <w:szCs w:val="24"/>
        </w:rPr>
        <w:t xml:space="preserve">9.4 Suggested Section Structure in Paper</w:t>
      </w:r>
    </w:p>
    <w:p>
      <w:pPr>
        <w:spacing w:after="60" w:before="60"/>
      </w:pPr>
      <w:r>
        <w:rPr>
          <w:rFonts w:ascii="Arial" w:cs="Arial" w:eastAsia="Arial" w:hAnsi="Arial"/>
          <w:sz w:val="22"/>
          <w:szCs w:val="22"/>
        </w:rPr>
        <w:t xml:space="preserve">Insert the ablation study as a dedicated subsection within Section 7 (Results and Analysis):</w:t>
      </w:r>
    </w:p>
    <w:p>
      <w:pPr>
        <w:pStyle w:val="ListParagraph"/>
        <w:numPr>
          <w:ilvl w:val="0"/>
          <w:numId w:val="3"/>
        </w:numPr>
        <w:spacing w:after="50" w:before="50"/>
      </w:pPr>
      <w:r>
        <w:rPr>
          <w:rFonts w:ascii="Arial" w:cs="Arial" w:eastAsia="Arial" w:hAnsi="Arial"/>
          <w:sz w:val="22"/>
          <w:szCs w:val="22"/>
        </w:rPr>
        <w:t xml:space="preserve">Section 7.X: Ablation Study</w:t>
      </w:r>
    </w:p>
    <w:p>
      <w:pPr>
        <w:pStyle w:val="ListParagraph"/>
        <w:numPr>
          <w:ilvl w:val="0"/>
          <w:numId w:val="3"/>
        </w:numPr>
        <w:spacing w:after="50" w:before="50"/>
      </w:pPr>
      <w:r>
        <w:rPr>
          <w:rFonts w:ascii="Arial" w:cs="Arial" w:eastAsia="Arial" w:hAnsi="Arial"/>
          <w:sz w:val="22"/>
          <w:szCs w:val="22"/>
        </w:rPr>
        <w:t xml:space="preserve">7.X.1: Experimental Setup (evaluation set, hardware, statistical methods)</w:t>
      </w:r>
    </w:p>
    <w:p>
      <w:pPr>
        <w:pStyle w:val="ListParagraph"/>
        <w:numPr>
          <w:ilvl w:val="0"/>
          <w:numId w:val="3"/>
        </w:numPr>
        <w:spacing w:after="50" w:before="50"/>
      </w:pPr>
      <w:r>
        <w:rPr>
          <w:rFonts w:ascii="Arial" w:cs="Arial" w:eastAsia="Arial" w:hAnsi="Arial"/>
          <w:sz w:val="22"/>
          <w:szCs w:val="22"/>
        </w:rPr>
        <w:t xml:space="preserve">7.X.2: Component Ablation (RAG vs. LoRA — Table from Experiment 1)</w:t>
      </w:r>
    </w:p>
    <w:p>
      <w:pPr>
        <w:pStyle w:val="ListParagraph"/>
        <w:numPr>
          <w:ilvl w:val="0"/>
          <w:numId w:val="3"/>
        </w:numPr>
        <w:spacing w:after="50" w:before="50"/>
      </w:pPr>
      <w:r>
        <w:rPr>
          <w:rFonts w:ascii="Arial" w:cs="Arial" w:eastAsia="Arial" w:hAnsi="Arial"/>
          <w:sz w:val="22"/>
          <w:szCs w:val="22"/>
        </w:rPr>
        <w:t xml:space="preserve">7.X.3: Retrieval Configuration (k and index type — Tables from Experiments 2 and 3)</w:t>
      </w:r>
    </w:p>
    <w:p>
      <w:pPr>
        <w:pStyle w:val="ListParagraph"/>
        <w:numPr>
          <w:ilvl w:val="0"/>
          <w:numId w:val="3"/>
        </w:numPr>
        <w:spacing w:after="50" w:before="50"/>
      </w:pPr>
      <w:r>
        <w:rPr>
          <w:rFonts w:ascii="Arial" w:cs="Arial" w:eastAsia="Arial" w:hAnsi="Arial"/>
          <w:sz w:val="22"/>
          <w:szCs w:val="22"/>
        </w:rPr>
        <w:t xml:space="preserve">7.X.4: Fine-Tuning Configuration (LoRA rank — Table from Experiment 4)</w:t>
      </w:r>
    </w:p>
    <w:p>
      <w:pPr>
        <w:pStyle w:val="ListParagraph"/>
        <w:numPr>
          <w:ilvl w:val="0"/>
          <w:numId w:val="3"/>
        </w:numPr>
        <w:spacing w:after="50" w:before="50"/>
      </w:pPr>
      <w:r>
        <w:rPr>
          <w:rFonts w:ascii="Arial" w:cs="Arial" w:eastAsia="Arial" w:hAnsi="Arial"/>
          <w:sz w:val="22"/>
          <w:szCs w:val="22"/>
        </w:rPr>
        <w:t xml:space="preserve">7.X.5: Data Source Ablation (dual-tier ETL — Table from Experiment 5)</w:t>
      </w:r>
    </w:p>
    <w:p>
      <w:pPr>
        <w:pStyle w:val="ListParagraph"/>
        <w:numPr>
          <w:ilvl w:val="0"/>
          <w:numId w:val="3"/>
        </w:numPr>
        <w:spacing w:after="50" w:before="50"/>
      </w:pPr>
      <w:r>
        <w:rPr>
          <w:rFonts w:ascii="Arial" w:cs="Arial" w:eastAsia="Arial" w:hAnsi="Arial"/>
          <w:sz w:val="22"/>
          <w:szCs w:val="22"/>
        </w:rPr>
        <w:t xml:space="preserve">7.X.6: Encoder and Chunking Configuration (Tables from Experiments 6 and 7)</w:t>
      </w:r>
    </w:p>
    <w:p>
      <w:pPr>
        <w:pBdr>
          <w:bottom w:val="single" w:color="2E75B6" w:sz="6" w:space="1"/>
        </w:pBdr>
        <w:spacing w:after="140" w:before="140"/>
      </w:pPr>
    </w:p>
    <w:p>
      <w:pPr>
        <w:pStyle w:val="Heading1"/>
        <w:spacing w:after="120" w:before="360"/>
      </w:pPr>
      <w:r>
        <w:rPr>
          <w:rFonts w:ascii="Arial" w:cs="Arial" w:eastAsia="Arial" w:hAnsi="Arial"/>
          <w:b/>
          <w:bCs/>
          <w:color w:val="1F5C99"/>
          <w:sz w:val="28"/>
          <w:szCs w:val="28"/>
        </w:rPr>
        <w:t xml:space="preserve">10. Summary: Which Gaps Each Experiment Addresses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960"/>
        <w:gridCol w:w="2400"/>
      </w:tblGrid>
      <w:tr>
        <w:trPr>
          <w:tblHeader/>
        </w:trPr>
        <w:tc>
          <w:tcPr>
            <w:tcW w:type="dxa" w:w="8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Exp.</w:t>
            </w:r>
          </w:p>
        </w:tc>
        <w:tc>
          <w:tcPr>
            <w:tcW w:type="dxa" w:w="32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Ablation Experiment</w:t>
            </w:r>
          </w:p>
        </w:tc>
        <w:tc>
          <w:tcPr>
            <w:tcW w:type="dxa" w:w="296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Review Gap Addressed</w:t>
            </w:r>
          </w:p>
        </w:tc>
        <w:tc>
          <w:tcPr>
            <w:tcW w:type="dxa" w:w="2400"/>
            <w:tcBorders>
              <w:top w:val="single" w:color="1F5C99" w:sz="4"/>
              <w:left w:val="single" w:color="1F5C99" w:sz="4"/>
              <w:bottom w:val="single" w:color="1F5C99" w:sz="4"/>
              <w:right w:val="single" w:color="1F5C99" w:sz="4"/>
            </w:tcBorders>
            <w:shd w:fill="1F5C99"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Priority</w:t>
            </w:r>
          </w:p>
        </w:tc>
      </w:tr>
      <w:tr>
        <w:tc>
          <w:tcPr>
            <w:tcW w:type="dxa" w:w="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1</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RAG vs. LoRA component ablation</w:t>
            </w:r>
          </w:p>
        </w:tc>
        <w:tc>
          <w:tcPr>
            <w:tcW w:type="dxa" w:w="29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Gap 2 (Eval. methodology), Gap 4 (Novelty)</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C00000"/>
                <w:sz w:val="20"/>
                <w:szCs w:val="20"/>
              </w:rPr>
              <w:t xml:space="preserve">CRITICAL</w:t>
            </w:r>
          </w:p>
        </w:tc>
      </w:tr>
      <w:tr>
        <w:tc>
          <w:tcPr>
            <w:tcW w:type="dxa" w:w="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000000"/>
                <w:sz w:val="20"/>
                <w:szCs w:val="20"/>
              </w:rPr>
              <w:t xml:space="preserve">2</w:t>
            </w:r>
          </w:p>
        </w:tc>
        <w:tc>
          <w:tcPr>
            <w:tcW w:type="dxa" w:w="32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Retrieval top-k ablation</w:t>
            </w:r>
          </w:p>
        </w:tc>
        <w:tc>
          <w:tcPr>
            <w:tcW w:type="dxa" w:w="29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Gap 2 (Eval. methodology)</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BF8F00"/>
                <w:sz w:val="20"/>
                <w:szCs w:val="20"/>
              </w:rPr>
              <w:t xml:space="preserve">HIGH</w:t>
            </w:r>
          </w:p>
        </w:tc>
      </w:tr>
      <w:tr>
        <w:tc>
          <w:tcPr>
            <w:tcW w:type="dxa" w:w="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3</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ANN index type ablation</w:t>
            </w:r>
          </w:p>
        </w:tc>
        <w:tc>
          <w:tcPr>
            <w:tcW w:type="dxa" w:w="29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Gap 2 (Eval. methodology)</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HIGH</w:t>
            </w:r>
          </w:p>
        </w:tc>
      </w:tr>
      <w:tr>
        <w:tc>
          <w:tcPr>
            <w:tcW w:type="dxa" w:w="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000000"/>
                <w:sz w:val="20"/>
                <w:szCs w:val="20"/>
              </w:rPr>
              <w:t xml:space="preserve">4</w:t>
            </w:r>
          </w:p>
        </w:tc>
        <w:tc>
          <w:tcPr>
            <w:tcW w:type="dxa" w:w="32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LoRA rank (r) ablation</w:t>
            </w:r>
          </w:p>
        </w:tc>
        <w:tc>
          <w:tcPr>
            <w:tcW w:type="dxa" w:w="29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Gap 4 (Novelty), Gap 6 (Statistical rigor)</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C00000"/>
                <w:sz w:val="20"/>
                <w:szCs w:val="20"/>
              </w:rPr>
              <w:t xml:space="preserve">CRITICAL</w:t>
            </w:r>
          </w:p>
        </w:tc>
      </w:tr>
      <w:tr>
        <w:tc>
          <w:tcPr>
            <w:tcW w:type="dxa" w:w="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5</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Data source / ETL tier ablation</w:t>
            </w:r>
          </w:p>
        </w:tc>
        <w:tc>
          <w:tcPr>
            <w:tcW w:type="dxa" w:w="29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Gap 4 (Novelty), Gap 2 (Eval. methodology)</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BF8F00"/>
                <w:sz w:val="20"/>
                <w:szCs w:val="20"/>
              </w:rPr>
              <w:t xml:space="preserve">HIGH</w:t>
            </w:r>
          </w:p>
        </w:tc>
      </w:tr>
      <w:tr>
        <w:tc>
          <w:tcPr>
            <w:tcW w:type="dxa" w:w="8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000000"/>
                <w:sz w:val="20"/>
                <w:szCs w:val="20"/>
              </w:rPr>
              <w:t xml:space="preserve">6</w:t>
            </w:r>
          </w:p>
        </w:tc>
        <w:tc>
          <w:tcPr>
            <w:tcW w:type="dxa" w:w="32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Embedding model ablation</w:t>
            </w:r>
          </w:p>
        </w:tc>
        <w:tc>
          <w:tcPr>
            <w:tcW w:type="dxa" w:w="296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r>
              <w:rPr>
                <w:rFonts w:ascii="Arial" w:cs="Arial" w:eastAsia="Arial" w:hAnsi="Arial"/>
                <w:b w:val="false"/>
                <w:bCs w:val="false"/>
                <w:sz w:val="20"/>
                <w:szCs w:val="20"/>
              </w:rPr>
              <w:t xml:space="preserve">Gap 2 (Eval. methodology)</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30"/>
              <w:bottom w:type="dxa" w:w="100"/>
              <w:right w:type="dxa" w:w="130"/>
            </w:tcMar>
          </w:tcPr>
          <w:p>
            <w:pPr>
              <w:jc w:val="center"/>
            </w:pPr>
            <w:r>
              <w:rPr>
                <w:rFonts w:ascii="Arial" w:cs="Arial" w:eastAsia="Arial" w:hAnsi="Arial"/>
                <w:color w:val="375623"/>
                <w:sz w:val="20"/>
                <w:szCs w:val="20"/>
              </w:rPr>
              <w:t xml:space="preserve">MEDIUM</w:t>
            </w:r>
          </w:p>
        </w:tc>
      </w:tr>
      <w:tr>
        <w:tc>
          <w:tcPr>
            <w:tcW w:type="dxa" w:w="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000000"/>
                <w:sz w:val="20"/>
                <w:szCs w:val="20"/>
              </w:rPr>
              <w:t xml:space="preserve">7</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Chunk size ablation</w:t>
            </w:r>
          </w:p>
        </w:tc>
        <w:tc>
          <w:tcPr>
            <w:tcW w:type="dxa" w:w="29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b w:val="false"/>
                <w:bCs w:val="false"/>
                <w:sz w:val="20"/>
                <w:szCs w:val="20"/>
              </w:rPr>
              <w:t xml:space="preserve">Gap 2 (Eval. methodology)</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center"/>
            </w:pPr>
            <w:r>
              <w:rPr>
                <w:rFonts w:ascii="Arial" w:cs="Arial" w:eastAsia="Arial" w:hAnsi="Arial"/>
                <w:color w:val="375623"/>
                <w:sz w:val="20"/>
                <w:szCs w:val="20"/>
              </w:rPr>
              <w:t xml:space="preserve">MEDIUM</w:t>
            </w:r>
          </w:p>
        </w:tc>
      </w:tr>
    </w:tbl>
    <w:p>
      <w:pPr>
        <w:spacing w:after="60" w:before="60"/>
      </w:pPr>
    </w:p>
    <w:p>
      <w:pPr>
        <w:pBdr>
          <w:bottom w:val="single" w:color="2E75B6" w:sz="6" w:space="1"/>
        </w:pBdr>
        <w:spacing w:after="140" w:before="140"/>
      </w:pPr>
    </w:p>
    <w:p>
      <w:pPr>
        <w:spacing w:after="60" w:before="60"/>
      </w:pPr>
    </w:p>
    <w:p>
      <w:pPr>
        <w:spacing w:after="40" w:before="60"/>
        <w:jc w:val="center"/>
      </w:pPr>
      <w:r>
        <w:rPr>
          <w:rFonts w:ascii="Arial" w:cs="Arial" w:eastAsia="Arial" w:hAnsi="Arial"/>
          <w:b/>
          <w:bCs/>
          <w:i/>
          <w:iCs/>
          <w:color w:val="1F5C99"/>
          <w:sz w:val="22"/>
          <w:szCs w:val="22"/>
        </w:rPr>
        <w:t xml:space="preserve">Completing Experiments 1 and 4 alone will address the two most critical reviewer objections.</w:t>
      </w:r>
    </w:p>
    <w:p>
      <w:pPr>
        <w:spacing w:after="40" w:before="0"/>
        <w:jc w:val="center"/>
      </w:pPr>
      <w:r>
        <w:rPr>
          <w:rFonts w:ascii="Arial" w:cs="Arial" w:eastAsia="Arial" w:hAnsi="Arial"/>
          <w:i/>
          <w:iCs/>
          <w:color w:val="595959"/>
          <w:sz w:val="20"/>
          <w:szCs w:val="20"/>
        </w:rPr>
        <w:t xml:space="preserve">All seven experiments together constitute a complete ablation section meeting Q1 standards.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6" w:space="1"/>
      </w:pBdr>
      <w:spacing w:before="100"/>
      <w:jc w:val="center"/>
    </w:pPr>
    <w:r>
      <w:rPr>
        <w:rFonts w:ascii="Arial" w:cs="Arial" w:eastAsia="Arial" w:hAnsi="Arial"/>
        <w:color w:val="595959"/>
        <w:sz w:val="18"/>
        <w:szCs w:val="18"/>
      </w:rPr>
      <w:t xml:space="preserve">AgroTrack Ablation Study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100"/>
    </w:pPr>
    <w:r>
      <w:rPr>
        <w:rFonts w:ascii="Arial" w:cs="Arial" w:eastAsia="Arial" w:hAnsi="Arial"/>
        <w:color w:val="1F5C99"/>
        <w:sz w:val="18"/>
        <w:szCs w:val="18"/>
      </w:rPr>
      <w:t xml:space="preserve">Ablation Study Design Guide  |  AgroTrack Manuscript</w:t>
    </w:r>
    <w:r>
      <w:rPr>
        <w:rFonts w:ascii="Arial" w:cs="Arial" w:eastAsia="Arial" w:hAnsi="Arial"/>
        <w:color w:val="595959"/>
        <w:sz w:val="18"/>
        <w:szCs w:val="18"/>
      </w:rPr>
      <w:t xml:space="preserve">   |   Prepared for Q1 Journal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2026-06-08T06:37:49.463Z</dcterms:created>
  <dcterms:modified xsi:type="dcterms:W3CDTF">2026-06-08T06:37:49.463Z</dcterms:modified>
</cp:coreProperties>
</file>

<file path=docProps/custom.xml><?xml version="1.0" encoding="utf-8"?>
<Properties xmlns="http://schemas.openxmlformats.org/officeDocument/2006/custom-properties" xmlns:vt="http://schemas.openxmlformats.org/officeDocument/2006/docPropsVTypes"/>
</file>