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40"/>
          <w:szCs w:val="40"/>
        </w:rPr>
        <w:t xml:space="preserve">PEER REVIEW REPORT</w:t>
      </w:r>
    </w:p>
    <w:p>
      <w:pPr>
        <w:spacing w:after="60" w:before="0"/>
        <w:jc w:val="center"/>
      </w:pPr>
      <w:r>
        <w:rPr>
          <w:rFonts w:ascii="Arial" w:cs="Arial" w:eastAsia="Arial" w:hAnsi="Arial"/>
          <w:color w:val="2E75B6"/>
          <w:sz w:val="26"/>
          <w:szCs w:val="26"/>
        </w:rPr>
        <w:t xml:space="preserve">Q1 Journal Evaluation — Manuscript Assessment</w:t>
      </w:r>
    </w:p>
    <w:p>
      <w:pPr>
        <w:spacing w:after="40" w:before="0"/>
        <w:jc w:val="center"/>
      </w:pPr>
      <w:r>
        <w:rPr>
          <w:rFonts w:ascii="Arial" w:cs="Arial" w:eastAsia="Arial" w:hAnsi="Arial"/>
          <w:i/>
          <w:iCs/>
          <w:color w:val="404040"/>
          <w:sz w:val="22"/>
          <w:szCs w:val="22"/>
        </w:rPr>
        <w:t xml:space="preserve">Manuscript: AgroTrack: A Retrieval-Augmented Generation Framework for</w:t>
      </w:r>
    </w:p>
    <w:p>
      <w:pPr>
        <w:spacing w:after="40" w:before="0"/>
        <w:jc w:val="center"/>
      </w:pPr>
      <w:r>
        <w:rPr>
          <w:rFonts w:ascii="Arial" w:cs="Arial" w:eastAsia="Arial" w:hAnsi="Arial"/>
          <w:i/>
          <w:iCs/>
          <w:color w:val="404040"/>
          <w:sz w:val="22"/>
          <w:szCs w:val="22"/>
        </w:rPr>
        <w:t xml:space="preserve">Dynamic, Hyper-Localized Crop Calendar Intelligence in Smallholder Agriculture</w:t>
      </w:r>
    </w:p>
    <w:p>
      <w:pPr>
        <w:spacing w:after="40" w:before="0"/>
        <w:jc w:val="center"/>
      </w:pPr>
      <w:r>
        <w:rPr>
          <w:rFonts w:ascii="Arial" w:cs="Arial" w:eastAsia="Arial" w:hAnsi="Arial"/>
          <w:color w:val="595959"/>
          <w:sz w:val="20"/>
          <w:szCs w:val="20"/>
        </w:rPr>
        <w:t xml:space="preserve">Target Journal: Computers and Electronics in Agriculture (Q1)  |  June 2026</w:t>
      </w:r>
    </w:p>
    <w:p>
      <w:pPr>
        <w:pBdr>
          <w:bottom w:val="single" w:color="2E75B6" w:sz="6" w:space="1"/>
        </w:pBdr>
        <w:spacing w:after="120" w:before="120"/>
      </w:pPr>
    </w:p>
    <w:p>
      <w:pPr>
        <w:pStyle w:val="Heading1"/>
        <w:spacing w:after="120" w:before="360"/>
      </w:pPr>
      <w:r>
        <w:rPr>
          <w:rFonts w:ascii="Arial" w:cs="Arial" w:eastAsia="Arial" w:hAnsi="Arial"/>
          <w:b/>
          <w:bCs/>
          <w:color w:val="1F4E79"/>
          <w:sz w:val="28"/>
          <w:szCs w:val="28"/>
        </w:rPr>
        <w:t xml:space="preserve">1. Overall Assessment</w:t>
      </w:r>
    </w:p>
    <w:p>
      <w:pPr>
        <w:spacing w:after="80" w:before="80"/>
      </w:pPr>
      <w:r>
        <w:rPr>
          <w:rFonts w:ascii="Arial" w:cs="Arial" w:eastAsia="Arial" w:hAnsi="Arial"/>
          <w:sz w:val="22"/>
          <w:szCs w:val="22"/>
        </w:rPr>
        <w:t xml:space="preserve">The manuscript presents a technically interesting RAG+LoRA architecture applied to crop advisory for smallholder agriculture. While the engineering effort is commendable and the socio-economic motivation is compelling, the paper falls substantially short of Q1 publication standards across empirical rigor, experimental validation, and scientific contribution framing.</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00000"/>
          <w:sz w:val="22"/>
          <w:szCs w:val="22"/>
        </w:rPr>
        <w:t xml:space="preserve">Recommendation: </w:t>
      </w:r>
      <w:r>
        <w:rPr>
          <w:rFonts w:ascii="Arial" w:cs="Arial" w:eastAsia="Arial" w:hAnsi="Arial"/>
          <w:b/>
          <w:bCs/>
          <w:color w:val="C00000"/>
          <w:sz w:val="22"/>
          <w:szCs w:val="22"/>
        </w:rPr>
        <w:t xml:space="preserve">Major Revision — Borderline Reject</w:t>
      </w:r>
    </w:p>
    <w:p>
      <w:pPr>
        <w:spacing w:after="80" w:before="80"/>
      </w:pPr>
      <w:r>
        <w:rPr>
          <w:rFonts w:ascii="Arial" w:cs="Arial" w:eastAsia="Arial" w:hAnsi="Arial"/>
          <w:sz w:val="22"/>
          <w:szCs w:val="22"/>
        </w:rPr>
        <w:t xml:space="preserve">The paper should be resubmitted after: (1) at least one full season of field deployment data with statistical outcomes, (2) a rigorous evaluation framework for agronomic response quality, (3) a usability study with actual farmers, and (4) resolution of the author inconsistency flagged below.</w:t>
      </w:r>
    </w:p>
    <w:p>
      <w:pPr>
        <w:pBdr>
          <w:bottom w:val="single" w:color="2E75B6" w:sz="6" w:space="1"/>
        </w:pBdr>
        <w:spacing w:after="120" w:before="120"/>
      </w:pPr>
    </w:p>
    <w:p>
      <w:pPr>
        <w:pStyle w:val="Heading1"/>
        <w:spacing w:after="120" w:before="360"/>
      </w:pPr>
      <w:r>
        <w:rPr>
          <w:rFonts w:ascii="Arial" w:cs="Arial" w:eastAsia="Arial" w:hAnsi="Arial"/>
          <w:b/>
          <w:bCs/>
          <w:color w:val="1F4E79"/>
          <w:sz w:val="28"/>
          <w:szCs w:val="28"/>
        </w:rPr>
        <w:t xml:space="preserve">2. Critical Gaps for Q1 Publication</w:t>
      </w:r>
    </w:p>
    <w:p>
      <w:pPr>
        <w:pStyle w:val="Heading2"/>
        <w:spacing w:after="80" w:before="240"/>
      </w:pPr>
      <w:r>
        <w:rPr>
          <w:rFonts w:ascii="Arial" w:cs="Arial" w:eastAsia="Arial" w:hAnsi="Arial"/>
          <w:b/>
          <w:bCs/>
          <w:color w:val="2E75B6"/>
          <w:sz w:val="24"/>
          <w:szCs w:val="24"/>
        </w:rPr>
        <w:t xml:space="preserve">Gap 1: Absence of Real-World Field Validation [CRITICAL — Disqualifying]</w:t>
      </w:r>
    </w:p>
    <w:p>
      <w:pPr>
        <w:spacing w:after="80" w:before="80"/>
      </w:pPr>
      <w:r>
        <w:rPr>
          <w:rFonts w:ascii="Arial" w:cs="Arial" w:eastAsia="Arial" w:hAnsi="Arial"/>
          <w:sz w:val="22"/>
          <w:szCs w:val="22"/>
        </w:rPr>
        <w:t xml:space="preserve">This is the single most disqualifying issue for a Q1 journal in agricultural systems.</w:t>
      </w:r>
    </w:p>
    <w:p>
      <w:pPr>
        <w:pStyle w:val="ListParagraph"/>
        <w:numPr>
          <w:ilvl w:val="0"/>
          <w:numId w:val="2"/>
        </w:numPr>
        <w:spacing w:after="60" w:before="60"/>
      </w:pPr>
      <w:r>
        <w:rPr>
          <w:rFonts w:ascii="Arial" w:cs="Arial" w:eastAsia="Arial" w:hAnsi="Arial"/>
          <w:sz w:val="22"/>
          <w:szCs w:val="22"/>
        </w:rPr>
        <w:t xml:space="preserve">The 'pilot cohort of 1,200 farmers' is mentioned in Table 4, but no agronomic outcomes from actual farmers are reported — only system performance metrics (latency, failure rate).</w:t>
      </w:r>
    </w:p>
    <w:p>
      <w:pPr>
        <w:pStyle w:val="ListParagraph"/>
        <w:numPr>
          <w:ilvl w:val="0"/>
          <w:numId w:val="2"/>
        </w:numPr>
        <w:spacing w:after="60" w:before="60"/>
      </w:pPr>
      <w:r>
        <w:rPr>
          <w:rFonts w:ascii="Arial" w:cs="Arial" w:eastAsia="Arial" w:hAnsi="Arial"/>
          <w:sz w:val="22"/>
          <w:szCs w:val="22"/>
        </w:rPr>
        <w:t xml:space="preserve">The core agronomic claim — 15–20% nitrogen reduction — is explicitly simulation-based (Section 7.3) with no randomized controlled trial (RCT) or even an observational field study to support it. The authors themselves acknowledge this in Section 8.2, which is a self-undermining admission.</w:t>
      </w:r>
    </w:p>
    <w:p>
      <w:pPr>
        <w:pStyle w:val="ListParagraph"/>
        <w:numPr>
          <w:ilvl w:val="0"/>
          <w:numId w:val="2"/>
        </w:numPr>
        <w:spacing w:after="60" w:before="60"/>
      </w:pPr>
      <w:r>
        <w:rPr>
          <w:rFonts w:ascii="Arial" w:cs="Arial" w:eastAsia="Arial" w:hAnsi="Arial"/>
          <w:sz w:val="22"/>
          <w:szCs w:val="22"/>
        </w:rPr>
        <w:t xml:space="preserve">Q1 journals in this domain require at minimum one growing season of ground-truth data from real farm deployments. A simulation comparison between 'traditional static scheduling' and 'AgroTrack dynamic scheduling' using assumed parameters is not publishable as a primary scientific result.</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2: Weak Evaluation Methodology [CRITICAL]</w:t>
      </w:r>
    </w:p>
    <w:p>
      <w:pPr>
        <w:spacing w:after="80" w:before="80"/>
      </w:pPr>
      <w:r>
        <w:rPr>
          <w:rFonts w:ascii="Arial" w:cs="Arial" w:eastAsia="Arial" w:hAnsi="Arial"/>
          <w:sz w:val="22"/>
          <w:szCs w:val="22"/>
        </w:rPr>
        <w:t xml:space="preserve">2a. Hallucination Rate Metric is Poorly Defined</w:t>
      </w:r>
    </w:p>
    <w:p>
      <w:pPr>
        <w:pStyle w:val="ListParagraph"/>
        <w:numPr>
          <w:ilvl w:val="0"/>
          <w:numId w:val="2"/>
        </w:numPr>
        <w:spacing w:after="60" w:before="60"/>
      </w:pPr>
      <w:r>
        <w:rPr>
          <w:rFonts w:ascii="Arial" w:cs="Arial" w:eastAsia="Arial" w:hAnsi="Arial"/>
          <w:sz w:val="22"/>
          <w:szCs w:val="22"/>
        </w:rPr>
        <w:t xml:space="preserve">A '&lt;2% hallucination rate across 500 adversarial queries' is reported, but the paper does not define how hallucination is operationally measured. Who judged correctness — human annotators, automated metrics (RAGAS, TruLens), or rule-based detection? What was inter-rater agreement?</w:t>
      </w:r>
    </w:p>
    <w:p>
      <w:pPr>
        <w:pStyle w:val="ListParagraph"/>
        <w:numPr>
          <w:ilvl w:val="0"/>
          <w:numId w:val="2"/>
        </w:numPr>
        <w:spacing w:after="60" w:before="60"/>
      </w:pPr>
      <w:r>
        <w:rPr>
          <w:rFonts w:ascii="Arial" w:cs="Arial" w:eastAsia="Arial" w:hAnsi="Arial"/>
          <w:sz w:val="22"/>
          <w:szCs w:val="22"/>
        </w:rPr>
        <w:t xml:space="preserve">The adversarial queries described (banned pesticide names, fictitious compounds) are relatively easy to catch via grounding constraints. They do not test subtle agronomic hallucinations (e.g., incorrect sowing windows by 2 weeks, plausible but wrong fertiliser ratios).</w:t>
      </w:r>
    </w:p>
    <w:p>
      <w:pPr>
        <w:spacing w:after="80" w:before="80"/>
      </w:pPr>
      <w:r>
        <w:rPr>
          <w:rFonts w:ascii="Arial" w:cs="Arial" w:eastAsia="Arial" w:hAnsi="Arial"/>
          <w:sz w:val="22"/>
          <w:szCs w:val="22"/>
        </w:rPr>
        <w:t xml:space="preserve">2b. No Ablation Study on Retrieval Quality</w:t>
      </w:r>
    </w:p>
    <w:p>
      <w:pPr>
        <w:pStyle w:val="ListParagraph"/>
        <w:numPr>
          <w:ilvl w:val="0"/>
          <w:numId w:val="2"/>
        </w:numPr>
        <w:spacing w:after="60" w:before="60"/>
      </w:pPr>
      <w:r>
        <w:rPr>
          <w:rFonts w:ascii="Arial" w:cs="Arial" w:eastAsia="Arial" w:hAnsi="Arial"/>
          <w:sz w:val="22"/>
          <w:szCs w:val="22"/>
        </w:rPr>
        <w:t xml:space="preserve">The paper does not report retrieval precision/recall, MRR (Mean Reciprocal Rank), or NDCG for the vector search. A &lt;50ms latency target says nothing about whether the correct document chunks are being retrieved.</w:t>
      </w:r>
    </w:p>
    <w:p>
      <w:pPr>
        <w:pStyle w:val="ListParagraph"/>
        <w:numPr>
          <w:ilvl w:val="0"/>
          <w:numId w:val="2"/>
        </w:numPr>
        <w:spacing w:after="60" w:before="60"/>
      </w:pPr>
      <w:r>
        <w:rPr>
          <w:rFonts w:ascii="Arial" w:cs="Arial" w:eastAsia="Arial" w:hAnsi="Arial"/>
          <w:sz w:val="22"/>
          <w:szCs w:val="22"/>
        </w:rPr>
        <w:t xml:space="preserve">No comparison between HNSW and alternative ANN indexes (Flat, IVF-PQ) is provided to justify the architectural design choice.</w:t>
      </w:r>
    </w:p>
    <w:p>
      <w:pPr>
        <w:spacing w:after="80" w:before="80"/>
      </w:pPr>
      <w:r>
        <w:rPr>
          <w:rFonts w:ascii="Arial" w:cs="Arial" w:eastAsia="Arial" w:hAnsi="Arial"/>
          <w:sz w:val="22"/>
          <w:szCs w:val="22"/>
        </w:rPr>
        <w:t xml:space="preserve">2c. Farmer Usability Not Evaluated</w:t>
      </w:r>
    </w:p>
    <w:p>
      <w:pPr>
        <w:pStyle w:val="ListParagraph"/>
        <w:numPr>
          <w:ilvl w:val="0"/>
          <w:numId w:val="2"/>
        </w:numPr>
        <w:spacing w:after="60" w:before="60"/>
      </w:pPr>
      <w:r>
        <w:rPr>
          <w:rFonts w:ascii="Arial" w:cs="Arial" w:eastAsia="Arial" w:hAnsi="Arial"/>
          <w:sz w:val="22"/>
          <w:szCs w:val="22"/>
        </w:rPr>
        <w:t xml:space="preserve">There is no user study, task-completion rate, or usability score (SUS, CSAT) from the 1,200-farmer pilot. A system designed for low-literacy smallholders must demonstrate usability, not just technical performance.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3: Literature Review is Narrow and Partially Misaligned [MAJOR]</w:t>
      </w:r>
    </w:p>
    <w:p>
      <w:pPr>
        <w:pStyle w:val="ListParagraph"/>
        <w:numPr>
          <w:ilvl w:val="0"/>
          <w:numId w:val="2"/>
        </w:numPr>
        <w:spacing w:after="60" w:before="60"/>
      </w:pPr>
      <w:r>
        <w:rPr>
          <w:rFonts w:ascii="Arial" w:cs="Arial" w:eastAsia="Arial" w:hAnsi="Arial"/>
          <w:sz w:val="22"/>
          <w:szCs w:val="22"/>
        </w:rPr>
        <w:t xml:space="preserve">The reviewed works (Rivera-Palacio, Prudente, Piazolo, Bahrami) are used as background comparators but none are directly comparable to a RAG-based advisory system. There is no review of existing LLM-for-agriculture systems (e.g., AgriLLM, Farmwise AI, or conversational advisory tools from CGIAR).</w:t>
      </w:r>
    </w:p>
    <w:p>
      <w:pPr>
        <w:pStyle w:val="ListParagraph"/>
        <w:numPr>
          <w:ilvl w:val="0"/>
          <w:numId w:val="2"/>
        </w:numPr>
        <w:spacing w:after="60" w:before="60"/>
      </w:pPr>
      <w:r>
        <w:rPr>
          <w:rFonts w:ascii="Arial" w:cs="Arial" w:eastAsia="Arial" w:hAnsi="Arial"/>
          <w:sz w:val="22"/>
          <w:szCs w:val="22"/>
        </w:rPr>
        <w:t xml:space="preserve">The paper does not cite or engage with the emerging literature on LLM hallucination evaluation in domain-specific settings (RAGAS, FActScoring), which is essential for a paper making reliability claims.</w:t>
      </w:r>
    </w:p>
    <w:p>
      <w:pPr>
        <w:pStyle w:val="ListParagraph"/>
        <w:numPr>
          <w:ilvl w:val="0"/>
          <w:numId w:val="2"/>
        </w:numPr>
        <w:spacing w:after="60" w:before="60"/>
      </w:pPr>
      <w:r>
        <w:rPr>
          <w:rFonts w:ascii="Arial" w:cs="Arial" w:eastAsia="Arial" w:hAnsi="Arial"/>
          <w:sz w:val="22"/>
          <w:szCs w:val="22"/>
        </w:rPr>
        <w:t xml:space="preserve">No ITS or precision agriculture sensor fusion literature is reviewed — a notable gap given the IMD API integration component and the manuscript's potential relevance to the Intelligent Transportation and precision ag communities.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4: Novelty and Scientific Contribution Are Insufficiently Differentiated [MAJOR]</w:t>
      </w:r>
    </w:p>
    <w:p>
      <w:pPr>
        <w:pStyle w:val="ListParagraph"/>
        <w:numPr>
          <w:ilvl w:val="0"/>
          <w:numId w:val="2"/>
        </w:numPr>
        <w:spacing w:after="60" w:before="60"/>
      </w:pPr>
      <w:r>
        <w:rPr>
          <w:rFonts w:ascii="Arial" w:cs="Arial" w:eastAsia="Arial" w:hAnsi="Arial"/>
          <w:sz w:val="22"/>
          <w:szCs w:val="22"/>
        </w:rPr>
        <w:t xml:space="preserve">RAG + LoRA for domain adaptation is not novel as of 2025 — multiple papers applied this combination to agriculture, healthcare, and legal domains before the submission date. The paper does not clearly articulate what is architecturally novel about AgroTrack beyond the application domain.</w:t>
      </w:r>
    </w:p>
    <w:p>
      <w:pPr>
        <w:pStyle w:val="ListParagraph"/>
        <w:numPr>
          <w:ilvl w:val="0"/>
          <w:numId w:val="2"/>
        </w:numPr>
        <w:spacing w:after="60" w:before="60"/>
      </w:pPr>
      <w:r>
        <w:rPr>
          <w:rFonts w:ascii="Arial" w:cs="Arial" w:eastAsia="Arial" w:hAnsi="Arial"/>
          <w:sz w:val="22"/>
          <w:szCs w:val="22"/>
        </w:rPr>
        <w:t xml:space="preserve">The LoRA section (Section 5) reads as a textbook explanation rather than a scientific contribution. The mathematical formulation (Equations 1–2) is reproduced from Hu et al. [2022] with no new derivation, extension, or domain-specific modification.</w:t>
      </w:r>
    </w:p>
    <w:p>
      <w:pPr>
        <w:pStyle w:val="ListParagraph"/>
        <w:numPr>
          <w:ilvl w:val="0"/>
          <w:numId w:val="2"/>
        </w:numPr>
        <w:spacing w:after="60" w:before="60"/>
      </w:pPr>
      <w:r>
        <w:rPr>
          <w:rFonts w:ascii="Arial" w:cs="Arial" w:eastAsia="Arial" w:hAnsi="Arial"/>
          <w:sz w:val="22"/>
          <w:szCs w:val="22"/>
        </w:rPr>
        <w:t xml:space="preserve">The carbon footprint model (Equation 3) applies a standard IPCC Tier 1 formula — this is not a scientific contribution in a Q1 agricultural systems journal.</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5: Dataset and Reproducibility Issues [MAJOR]</w:t>
      </w:r>
    </w:p>
    <w:p>
      <w:pPr>
        <w:pStyle w:val="ListParagraph"/>
        <w:numPr>
          <w:ilvl w:val="0"/>
          <w:numId w:val="2"/>
        </w:numPr>
        <w:spacing w:after="60" w:before="60"/>
      </w:pPr>
      <w:r>
        <w:rPr>
          <w:rFonts w:ascii="Arial" w:cs="Arial" w:eastAsia="Arial" w:hAnsi="Arial"/>
          <w:sz w:val="22"/>
          <w:szCs w:val="22"/>
        </w:rPr>
        <w:t xml:space="preserve">The fine-tuning dataset of 12,000 instruction-output pairs is described as 'generated from ICAR package-of-practices documents' — it is synthetically constructed without validation by agronomists. No inter-annotator agreement or domain expert review protocol is described.</w:t>
      </w:r>
    </w:p>
    <w:p>
      <w:pPr>
        <w:pStyle w:val="ListParagraph"/>
        <w:numPr>
          <w:ilvl w:val="0"/>
          <w:numId w:val="2"/>
        </w:numPr>
        <w:spacing w:after="60" w:before="60"/>
      </w:pPr>
      <w:r>
        <w:rPr>
          <w:rFonts w:ascii="Arial" w:cs="Arial" w:eastAsia="Arial" w:hAnsi="Arial"/>
          <w:sz w:val="22"/>
          <w:szCs w:val="22"/>
        </w:rPr>
        <w:t xml:space="preserve">The dataset is hosted on a personal GitHub repository (Asthana &amp; Sinha, 2024) with no DOI, versioning, or data availability statement meeting FAIR principles (Findable, Accessible, Interoperable, Reusable), which most Q1 journals now mandate.</w:t>
      </w:r>
    </w:p>
    <w:p>
      <w:pPr>
        <w:pStyle w:val="ListParagraph"/>
        <w:numPr>
          <w:ilvl w:val="0"/>
          <w:numId w:val="2"/>
        </w:numPr>
        <w:spacing w:after="60" w:before="60"/>
      </w:pPr>
      <w:r>
        <w:rPr>
          <w:rFonts w:ascii="Arial" w:cs="Arial" w:eastAsia="Arial" w:hAnsi="Arial"/>
          <w:sz w:val="22"/>
          <w:szCs w:val="22"/>
        </w:rPr>
        <w:t xml:space="preserve">The Milvus vector database index and embedding model weights are not made available, making full system reproduction impossible.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6: Statistical Rigor is Absent [MAJOR]</w:t>
      </w:r>
    </w:p>
    <w:p>
      <w:pPr>
        <w:pStyle w:val="ListParagraph"/>
        <w:numPr>
          <w:ilvl w:val="0"/>
          <w:numId w:val="2"/>
        </w:numPr>
        <w:spacing w:after="60" w:before="60"/>
      </w:pPr>
      <w:r>
        <w:rPr>
          <w:rFonts w:ascii="Arial" w:cs="Arial" w:eastAsia="Arial" w:hAnsi="Arial"/>
          <w:sz w:val="22"/>
          <w:szCs w:val="22"/>
        </w:rPr>
        <w:t xml:space="preserve">No confidence intervals, standard deviations, or significance tests are reported for any metric — latency, hallucination rate, or fertiliser simulation outcomes.</w:t>
      </w:r>
    </w:p>
    <w:p>
      <w:pPr>
        <w:pStyle w:val="ListParagraph"/>
        <w:numPr>
          <w:ilvl w:val="0"/>
          <w:numId w:val="2"/>
        </w:numPr>
        <w:spacing w:after="60" w:before="60"/>
      </w:pPr>
      <w:r>
        <w:rPr>
          <w:rFonts w:ascii="Arial" w:cs="Arial" w:eastAsia="Arial" w:hAnsi="Arial"/>
          <w:sz w:val="22"/>
          <w:szCs w:val="22"/>
        </w:rPr>
        <w:t xml:space="preserve">The '500 adversarial test queries' dataset is not described in terms of class balance, query types, or difficulty distribution.</w:t>
      </w:r>
    </w:p>
    <w:p>
      <w:pPr>
        <w:pStyle w:val="ListParagraph"/>
        <w:numPr>
          <w:ilvl w:val="0"/>
          <w:numId w:val="2"/>
        </w:numPr>
        <w:spacing w:after="60" w:before="60"/>
      </w:pPr>
      <w:r>
        <w:rPr>
          <w:rFonts w:ascii="Arial" w:cs="Arial" w:eastAsia="Arial" w:hAnsi="Arial"/>
          <w:sz w:val="22"/>
          <w:szCs w:val="22"/>
        </w:rPr>
        <w:t xml:space="preserve">LoRA training loss curves (Figure 6) show convergence but no test-set perplexity, BLEU, ROUGE, or domain-specific QA benchmark scores are reported.</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7: Scalability and Generalizability Claims Are Unsupported [MODERATE]</w:t>
      </w:r>
    </w:p>
    <w:p>
      <w:pPr>
        <w:pStyle w:val="ListParagraph"/>
        <w:numPr>
          <w:ilvl w:val="0"/>
          <w:numId w:val="2"/>
        </w:numPr>
        <w:spacing w:after="60" w:before="60"/>
      </w:pPr>
      <w:r>
        <w:rPr>
          <w:rFonts w:ascii="Arial" w:cs="Arial" w:eastAsia="Arial" w:hAnsi="Arial"/>
          <w:sz w:val="22"/>
          <w:szCs w:val="22"/>
        </w:rPr>
        <w:t xml:space="preserve">The paper claims applicability across 'all 15 Indian agro-climatic zones' but was only piloted in three districts of Madhya Pradesh — a single agro-climatic zone. This is an unsupported overgeneralization.</w:t>
      </w:r>
    </w:p>
    <w:p>
      <w:pPr>
        <w:pStyle w:val="ListParagraph"/>
        <w:numPr>
          <w:ilvl w:val="0"/>
          <w:numId w:val="2"/>
        </w:numPr>
        <w:spacing w:after="60" w:before="60"/>
      </w:pPr>
      <w:r>
        <w:rPr>
          <w:rFonts w:ascii="Arial" w:cs="Arial" w:eastAsia="Arial" w:hAnsi="Arial"/>
          <w:sz w:val="22"/>
          <w:szCs w:val="22"/>
        </w:rPr>
        <w:t xml:space="preserve">No analysis of failure modes under low-connectivity conditions is provided despite WhatsApp/SMS being the ingestion channel (rural India frequently has 2G/edge coverage).</w:t>
      </w:r>
    </w:p>
    <w:p>
      <w:pPr>
        <w:pStyle w:val="ListParagraph"/>
        <w:numPr>
          <w:ilvl w:val="0"/>
          <w:numId w:val="2"/>
        </w:numPr>
        <w:spacing w:after="60" w:before="60"/>
      </w:pPr>
      <w:r>
        <w:rPr>
          <w:rFonts w:ascii="Arial" w:cs="Arial" w:eastAsia="Arial" w:hAnsi="Arial"/>
          <w:sz w:val="22"/>
          <w:szCs w:val="22"/>
        </w:rPr>
        <w:t xml:space="preserve">Data privacy compliance beyond a single mention of 'DPDP-compliant' in Table 2 is not elaborated. No details are given on how farmer location and crop data are anonymized or stored.</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4"/>
          <w:szCs w:val="24"/>
        </w:rPr>
        <w:t xml:space="preserve">Gap 8: Writing, Consistency, and Integrity Issues [SERIOUS]</w:t>
      </w:r>
    </w:p>
    <w:p>
      <w:pPr>
        <w:pStyle w:val="ListParagraph"/>
        <w:numPr>
          <w:ilvl w:val="0"/>
          <w:numId w:val="2"/>
        </w:numPr>
        <w:spacing w:after="60" w:before="60"/>
      </w:pPr>
      <w:r>
        <w:rPr>
          <w:rFonts w:ascii="Arial" w:cs="Arial" w:eastAsia="Arial" w:hAnsi="Arial"/>
          <w:sz w:val="22"/>
          <w:szCs w:val="22"/>
        </w:rPr>
        <w:t xml:space="preserve">The CRediT section names three authors (Aryan Sharma, Priya Nair, Devraj Mehta) who are entirely different from the title page authors (Aarav Asthana, Suyash Sinha). This is a serious inconsistency that calls the manuscript's integrity into question and must be resolved before any review process can continue.</w:t>
      </w:r>
    </w:p>
    <w:p>
      <w:pPr>
        <w:pStyle w:val="ListParagraph"/>
        <w:numPr>
          <w:ilvl w:val="0"/>
          <w:numId w:val="2"/>
        </w:numPr>
        <w:spacing w:after="60" w:before="60"/>
      </w:pPr>
      <w:r>
        <w:rPr>
          <w:rFonts w:ascii="Arial" w:cs="Arial" w:eastAsia="Arial" w:hAnsi="Arial"/>
          <w:sz w:val="22"/>
          <w:szCs w:val="22"/>
        </w:rPr>
        <w:t xml:space="preserve">The funding acknowledgment names a major government grant (NAIP-IV) but the paper is framed as an academic pilot. The scale and claimed deployment suggest a commercial product, raising questions about research independence and potential conflicts of interest.</w:t>
      </w:r>
    </w:p>
    <w:p>
      <w:pPr>
        <w:pStyle w:val="ListParagraph"/>
        <w:numPr>
          <w:ilvl w:val="0"/>
          <w:numId w:val="2"/>
        </w:numPr>
        <w:spacing w:after="60" w:before="60"/>
      </w:pPr>
      <w:r>
        <w:rPr>
          <w:rFonts w:ascii="Arial" w:cs="Arial" w:eastAsia="Arial" w:hAnsi="Arial"/>
          <w:sz w:val="22"/>
          <w:szCs w:val="22"/>
        </w:rPr>
        <w:t xml:space="preserve">Several subsections (e.g., 4.1 Model Specifications, 5.2 Mathematical Formulation) read as product documentation or tutorial text rather than scientific narrative appropriate for a Q1 journal.</w:t>
      </w:r>
    </w:p>
    <w:p>
      <w:pPr>
        <w:pBdr>
          <w:bottom w:val="single" w:color="2E75B6" w:sz="6" w:space="1"/>
        </w:pBdr>
        <w:spacing w:after="120" w:before="120"/>
      </w:pPr>
    </w:p>
    <w:p>
      <w:pPr>
        <w:pStyle w:val="Heading1"/>
        <w:spacing w:after="120" w:before="360"/>
      </w:pPr>
      <w:r>
        <w:rPr>
          <w:rFonts w:ascii="Arial" w:cs="Arial" w:eastAsia="Arial" w:hAnsi="Arial"/>
          <w:b/>
          <w:bCs/>
          <w:color w:val="1F4E79"/>
          <w:sz w:val="28"/>
          <w:szCs w:val="28"/>
        </w:rPr>
        <w:t xml:space="preserve">3. Summary Assessment Table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200"/>
        <w:gridCol w:w="156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Q1 Requirement</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Field Validation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≥1 season RCT or observational study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Simulation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C00000"/>
                <w:sz w:val="20"/>
                <w:szCs w:val="20"/>
              </w:rPr>
              <w:t xml:space="preserve">Absent</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Evaluation Metrics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Precision/recall, significance tests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Latency + hallucination rate only</w:t>
            </w:r>
          </w:p>
        </w:tc>
        <w:tc>
          <w:tcPr>
            <w:tcW w:type="dxa" w:w="156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C00000"/>
                <w:sz w:val="20"/>
                <w:szCs w:val="20"/>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Novelty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Clear architectural advance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Application of existing RAG+LoRA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C00000"/>
                <w:sz w:val="20"/>
                <w:szCs w:val="20"/>
              </w:rPr>
              <w:t xml:space="preserve">Simulation only</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Dataset</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FAIR, expert-validated, DOI-archived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Synthetic, GitHub only</w:t>
            </w:r>
          </w:p>
        </w:tc>
        <w:tc>
          <w:tcPr>
            <w:tcW w:type="dxa" w:w="156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C00000"/>
                <w:sz w:val="20"/>
                <w:szCs w:val="20"/>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Reproducibility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Full code + weights +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C00000"/>
                <w:sz w:val="20"/>
                <w:szCs w:val="20"/>
              </w:rPr>
              <w:t xml:space="preserve">Absent</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Usability Study</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Required for farmer-facing systems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Absent</w:t>
            </w:r>
          </w:p>
        </w:tc>
        <w:tc>
          <w:tcPr>
            <w:tcW w:type="dxa" w:w="156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C00000"/>
                <w:sz w:val="20"/>
                <w:szCs w:val="20"/>
              </w:rPr>
              <w:t xml:space="preserve">Absent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Literature Coverage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LLM-agri, hallucination eval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000000"/>
                <w:sz w:val="20"/>
                <w:szCs w:val="20"/>
              </w:rPr>
              <w:t xml:space="preserve">Incomplete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C00000"/>
                <w:sz w:val="20"/>
                <w:szCs w:val="20"/>
              </w:rPr>
              <w:t xml:space="preserve">None reported</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Statistical Rigor</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CI, SD, significance tests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000000"/>
                <w:sz w:val="20"/>
                <w:szCs w:val="20"/>
              </w:rPr>
              <w:t xml:space="preserve">None reported</w:t>
            </w:r>
          </w:p>
        </w:tc>
        <w:tc>
          <w:tcPr>
            <w:tcW w:type="dxa" w:w="1560"/>
            <w:tcBorders>
              <w:top w:val="single" w:color="CCCCCC" w:sz="1"/>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olor w:val="C00000"/>
                <w:sz w:val="20"/>
                <w:szCs w:val="20"/>
              </w:rPr>
              <w:t xml:space="preserve">Absent</w:t>
            </w:r>
          </w:p>
        </w:tc>
      </w:tr>
    </w:tbl>
    <w:p>
      <w:pPr>
        <w:spacing w:after="80" w:before="80"/>
      </w:pPr>
      <w:r>
        <w:rPr>
          <w:rFonts w:ascii="Arial" w:cs="Arial" w:eastAsia="Arial" w:hAnsi="Arial"/>
          <w:sz w:val="22"/>
          <w:szCs w:val="22"/>
        </w:rPr>
        <w:t xml:space="preserve"/>
      </w:r>
    </w:p>
    <w:p>
      <w:pPr>
        <w:pBdr>
          <w:bottom w:val="single" w:color="2E75B6" w:sz="6" w:space="1"/>
        </w:pBdr>
        <w:spacing w:after="120" w:before="120"/>
      </w:pPr>
    </w:p>
    <w:p>
      <w:pPr>
        <w:pStyle w:val="Heading1"/>
        <w:spacing w:after="120" w:before="360"/>
      </w:pPr>
      <w:r>
        <w:rPr>
          <w:rFonts w:ascii="Arial" w:cs="Arial" w:eastAsia="Arial" w:hAnsi="Arial"/>
          <w:b/>
          <w:bCs/>
          <w:color w:val="1F4E79"/>
          <w:sz w:val="28"/>
          <w:szCs w:val="28"/>
        </w:rPr>
        <w:t xml:space="preserve">4. Recommended Actions for Revision</w:t>
      </w:r>
    </w:p>
    <w:p>
      <w:pPr>
        <w:spacing w:after="80" w:before="80"/>
      </w:pPr>
      <w:r>
        <w:rPr>
          <w:rFonts w:ascii="Arial" w:cs="Arial" w:eastAsia="Arial" w:hAnsi="Arial"/>
          <w:sz w:val="22"/>
          <w:szCs w:val="22"/>
        </w:rPr>
        <w:t xml:space="preserve">The following actions are required for the manuscript to meet Q1 publication standards:</w:t>
      </w:r>
    </w:p>
    <w:p>
      <w:pPr>
        <w:spacing w:after="80" w:before="80"/>
      </w:pPr>
      <w:r>
        <w:rPr>
          <w:rFonts w:ascii="Arial" w:cs="Arial" w:eastAsia="Arial" w:hAnsi="Arial"/>
          <w:sz w:val="22"/>
          <w:szCs w:val="22"/>
        </w:rPr>
        <w:t xml:space="preserve"/>
      </w:r>
    </w:p>
    <w:p>
      <w:pPr>
        <w:pStyle w:val="ListParagraph"/>
        <w:numPr>
          <w:ilvl w:val="0"/>
          <w:numId w:val="3"/>
        </w:numPr>
        <w:spacing w:after="60" w:before="80"/>
      </w:pPr>
      <w:r>
        <w:rPr>
          <w:rFonts w:ascii="Arial" w:cs="Arial" w:eastAsia="Arial" w:hAnsi="Arial"/>
          <w:sz w:val="22"/>
          <w:szCs w:val="22"/>
        </w:rPr>
        <w:t xml:space="preserve">Conduct field validation: Complete at least one kharif or rabi season of ground-truth deployment data with statistical analysis (crop yield, nitrogen use efficiency, farmer adoption rates).</w:t>
      </w:r>
    </w:p>
    <w:p>
      <w:pPr>
        <w:pStyle w:val="ListParagraph"/>
        <w:numPr>
          <w:ilvl w:val="0"/>
          <w:numId w:val="3"/>
        </w:numPr>
        <w:spacing w:after="60" w:before="60"/>
      </w:pPr>
      <w:r>
        <w:rPr>
          <w:rFonts w:ascii="Arial" w:cs="Arial" w:eastAsia="Arial" w:hAnsi="Arial"/>
          <w:sz w:val="22"/>
          <w:szCs w:val="22"/>
        </w:rPr>
        <w:t xml:space="preserve">Define and implement hallucination evaluation: Adopt a standardised framework (RAGAS or equivalent), describe annotation protocol, and report inter-rater agreement scores.</w:t>
      </w:r>
    </w:p>
    <w:p>
      <w:pPr>
        <w:pStyle w:val="ListParagraph"/>
        <w:numPr>
          <w:ilvl w:val="0"/>
          <w:numId w:val="3"/>
        </w:numPr>
        <w:spacing w:after="60" w:before="60"/>
      </w:pPr>
      <w:r>
        <w:rPr>
          <w:rFonts w:ascii="Arial" w:cs="Arial" w:eastAsia="Arial" w:hAnsi="Arial"/>
          <w:sz w:val="22"/>
          <w:szCs w:val="22"/>
        </w:rPr>
        <w:t xml:space="preserve">Conduct a usability study: Administer SUS or equivalent questionnaire to a representative sample of the farmer pilot cohort. Report task-completion rates and key usability barriers.</w:t>
      </w:r>
    </w:p>
    <w:p>
      <w:pPr>
        <w:pStyle w:val="ListParagraph"/>
        <w:numPr>
          <w:ilvl w:val="0"/>
          <w:numId w:val="3"/>
        </w:numPr>
        <w:spacing w:after="60" w:before="60"/>
      </w:pPr>
      <w:r>
        <w:rPr>
          <w:rFonts w:ascii="Arial" w:cs="Arial" w:eastAsia="Arial" w:hAnsi="Arial"/>
          <w:sz w:val="22"/>
          <w:szCs w:val="22"/>
        </w:rPr>
        <w:t xml:space="preserve">Expand literature review: Include LLM-for-agriculture systems, hallucination evaluation literature, and precision agriculture/ITS sensor fusion work.</w:t>
      </w:r>
    </w:p>
    <w:p>
      <w:pPr>
        <w:pStyle w:val="ListParagraph"/>
        <w:numPr>
          <w:ilvl w:val="0"/>
          <w:numId w:val="3"/>
        </w:numPr>
        <w:spacing w:after="60" w:before="60"/>
      </w:pPr>
      <w:r>
        <w:rPr>
          <w:rFonts w:ascii="Arial" w:cs="Arial" w:eastAsia="Arial" w:hAnsi="Arial"/>
          <w:sz w:val="22"/>
          <w:szCs w:val="22"/>
        </w:rPr>
        <w:t xml:space="preserve">Add statistical rigor: Report 95% confidence intervals and standard deviations for all quantitative claims. Include ablation study results for retrieval quality (precision@k, NDCG).</w:t>
      </w:r>
    </w:p>
    <w:p>
      <w:pPr>
        <w:pStyle w:val="ListParagraph"/>
        <w:numPr>
          <w:ilvl w:val="0"/>
          <w:numId w:val="3"/>
        </w:numPr>
        <w:spacing w:after="60" w:before="60"/>
      </w:pPr>
      <w:r>
        <w:rPr>
          <w:rFonts w:ascii="Arial" w:cs="Arial" w:eastAsia="Arial" w:hAnsi="Arial"/>
          <w:sz w:val="22"/>
          <w:szCs w:val="22"/>
        </w:rPr>
        <w:t xml:space="preserve">Publish dataset with FAIR compliance: Archive the fine-tuning dataset on Zenodo or equivalent repository with a DOI, versioning, and an agronomist validation report.</w:t>
      </w:r>
    </w:p>
    <w:p>
      <w:pPr>
        <w:pStyle w:val="ListParagraph"/>
        <w:numPr>
          <w:ilvl w:val="0"/>
          <w:numId w:val="3"/>
        </w:numPr>
        <w:spacing w:after="60" w:before="60"/>
      </w:pPr>
      <w:r>
        <w:rPr>
          <w:rFonts w:ascii="Arial" w:cs="Arial" w:eastAsia="Arial" w:hAnsi="Arial"/>
          <w:sz w:val="22"/>
          <w:szCs w:val="22"/>
        </w:rPr>
        <w:t xml:space="preserve">Resolve author inconsistency: Reconcile the author names between the title page and the CRediT section immediately.</w:t>
      </w:r>
    </w:p>
    <w:p>
      <w:pPr>
        <w:pStyle w:val="ListParagraph"/>
        <w:numPr>
          <w:ilvl w:val="0"/>
          <w:numId w:val="3"/>
        </w:numPr>
        <w:spacing w:after="80" w:before="60"/>
      </w:pPr>
      <w:r>
        <w:rPr>
          <w:rFonts w:ascii="Arial" w:cs="Arial" w:eastAsia="Arial" w:hAnsi="Arial"/>
          <w:sz w:val="22"/>
          <w:szCs w:val="22"/>
        </w:rPr>
        <w:t xml:space="preserve">Reframe novelty claims: Clearly distinguish what is architecturally novel in AgroTrack versus prior RAG+LoRA agricultural systems. Reduce tutorial-style sections (Sections 4.1 and 5.2).</w:t>
      </w:r>
    </w:p>
    <w:p>
      <w:pPr>
        <w:pBdr>
          <w:bottom w:val="single" w:color="2E75B6" w:sz="6" w:space="1"/>
        </w:pBdr>
        <w:spacing w:after="120" w:before="120"/>
      </w:pPr>
    </w:p>
    <w:p>
      <w:pPr>
        <w:pStyle w:val="Heading1"/>
        <w:spacing w:after="120" w:before="360"/>
      </w:pPr>
      <w:r>
        <w:rPr>
          <w:rFonts w:ascii="Arial" w:cs="Arial" w:eastAsia="Arial" w:hAnsi="Arial"/>
          <w:b/>
          <w:bCs/>
          <w:color w:val="1F4E79"/>
          <w:sz w:val="28"/>
          <w:szCs w:val="28"/>
        </w:rPr>
        <w:t xml:space="preserve">5. Closing Remarks</w:t>
      </w:r>
    </w:p>
    <w:p>
      <w:pPr>
        <w:spacing w:after="80" w:before="80"/>
      </w:pPr>
      <w:r>
        <w:rPr>
          <w:rFonts w:ascii="Arial" w:cs="Arial" w:eastAsia="Arial" w:hAnsi="Arial"/>
          <w:sz w:val="22"/>
          <w:szCs w:val="22"/>
        </w:rPr>
        <w:t xml:space="preserve">AgroTrack demonstrates a well-engineered system with genuine socio-economic relevance to smallholder agriculture in India. The engineering team has clearly invested significant effort in architecture, API design, and preliminary deployment. However, a Q1 journal demands that system performance be demonstrated through rigorous scientific methodology — not just through benchmarks run in isolation from the domain problem. The architecture has merit; the paper does not yet constitute a scientific study. With substantial revision addressing the gaps enumerated above, the manuscript could become a strong Q1 submission.</w:t>
      </w:r>
    </w:p>
    <w:p>
      <w:pPr>
        <w:spacing w:after="80" w:before="80"/>
      </w:pPr>
      <w:r>
        <w:rPr>
          <w:rFonts w:ascii="Arial" w:cs="Arial" w:eastAsia="Arial" w:hAnsi="Arial"/>
          <w:sz w:val="22"/>
          <w:szCs w:val="22"/>
        </w:rPr>
        <w:t xml:space="preserve"/>
      </w:r>
    </w:p>
    <w:p>
      <w:pPr>
        <w:spacing w:after="40" w:before="80"/>
      </w:pPr>
      <w:r>
        <w:rPr>
          <w:rFonts w:ascii="Arial" w:cs="Arial" w:eastAsia="Arial" w:hAnsi="Arial"/>
          <w:i/>
          <w:iCs/>
          <w:color w:val="595959"/>
          <w:sz w:val="20"/>
          <w:szCs w:val="20"/>
        </w:rPr>
        <w:t xml:space="preserve">Review completed by: Reviewer (ITS / Precision Agriculture Domain)</w:t>
      </w:r>
    </w:p>
    <w:p>
      <w:pPr>
        <w:spacing w:after="40" w:before="0"/>
      </w:pPr>
      <w:r>
        <w:rPr>
          <w:rFonts w:ascii="Arial" w:cs="Arial" w:eastAsia="Arial" w:hAnsi="Arial"/>
          <w:i/>
          <w:iCs/>
          <w:color w:val="595959"/>
          <w:sz w:val="20"/>
          <w:szCs w:val="20"/>
        </w:rPr>
        <w:t xml:space="preserve">Date of Review: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center"/>
    </w:pPr>
    <w:r>
      <w:rPr>
        <w:rFonts w:ascii="Arial" w:cs="Arial" w:eastAsia="Arial" w:hAnsi="Arial"/>
        <w:color w:val="595959"/>
        <w:sz w:val="18"/>
        <w:szCs w:val="18"/>
      </w:rPr>
      <w:t xml:space="preserve">Confidential Peer Review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color w:val="1F4E79"/>
        <w:sz w:val="18"/>
        <w:szCs w:val="18"/>
      </w:rPr>
      <w:t xml:space="preserve">Q1 Journal Peer Review Report   |   AgroTrack Manuscript</w:t>
    </w:r>
    <w:r>
      <w:rPr>
        <w:rFonts w:ascii="Arial" w:cs="Arial" w:eastAsia="Arial" w:hAnsi="Arial"/>
        <w:color w:val="595959"/>
        <w:sz w:val="18"/>
        <w:szCs w:val="18"/>
      </w:rPr>
      <w:t xml:space="preserve">   Reviewer: ITS Research Domain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2026-06-08T06:31:30.365Z</dcterms:created>
  <dcterms:modified xsi:type="dcterms:W3CDTF">2026-06-08T06:31:30.365Z</dcterms:modified>
</cp:coreProperties>
</file>

<file path=docProps/custom.xml><?xml version="1.0" encoding="utf-8"?>
<Properties xmlns="http://schemas.openxmlformats.org/officeDocument/2006/custom-properties" xmlns:vt="http://schemas.openxmlformats.org/officeDocument/2006/docPropsVTypes"/>
</file>