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E7490"/>
          <w:sz w:val="22"/>
        </w:rPr>
        <w:t>DATA VISUALIZATION &amp; ANALYTICS</w:t>
      </w:r>
    </w:p>
    <w:p>
      <w:pPr>
        <w:spacing w:after="80"/>
        <w:jc w:val="center"/>
      </w:pPr>
      <w:r>
        <w:rPr>
          <w:b/>
          <w:color w:val="0F172A"/>
          <w:sz w:val="48"/>
        </w:rPr>
        <w:t>Bank Term Deposit Campaign Intelligence</w:t>
      </w:r>
    </w:p>
    <w:p>
      <w:pPr>
        <w:jc w:val="center"/>
      </w:pPr>
      <w:r>
        <w:rPr>
          <w:color w:val="475569"/>
          <w:sz w:val="24"/>
        </w:rPr>
        <w:t>Finance / Bank Marketing | Project Report</w:t>
      </w:r>
    </w:p>
    <w:p>
      <w:pPr>
        <w:spacing w:after="200" w:line="276" w:lineRule="auto"/>
        <w:jc w:val="center"/>
      </w:pPr>
      <w:r>
        <w:rPr>
          <w:rFonts w:ascii="Calibri" w:hAnsi="Calibri"/>
          <w:b w:val="0"/>
          <w:i w:val="0"/>
          <w:sz w:val="21"/>
        </w:rPr>
        <w:t>This report analyses the UCI Bank Marketing dataset to identify which clients are most likely to subscribe to a term deposit, how campaign design affects conversion, and how Tableau dashboards can support operational targeting decisions.</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112"/>
        <w:gridCol w:w="5112"/>
      </w:tblGrid>
      <w:tr>
        <w:tc>
          <w:tcPr>
            <w:tcW w:type="dxa" w:w="2016"/>
            <w:tcMar>
              <w:top w:w="80" w:type="dxa"/>
              <w:start w:w="100" w:type="dxa"/>
              <w:bottom w:w="80" w:type="dxa"/>
              <w:end w:w="100" w:type="dxa"/>
            </w:tcMar>
            <w:shd w:fill="0F172A"/>
            <w:vAlign w:val="center"/>
          </w:tcPr>
          <w:p>
            <w:pPr>
              <w:jc w:val="center"/>
            </w:pPr>
            <w:r>
              <w:rPr>
                <w:rFonts w:ascii="Calibri" w:hAnsi="Calibri"/>
                <w:b/>
                <w:color w:val="FFFFFF"/>
                <w:sz w:val="19"/>
              </w:rPr>
              <w:t>Field</w:t>
            </w:r>
          </w:p>
        </w:tc>
        <w:tc>
          <w:tcPr>
            <w:tcW w:type="dxa" w:w="6912"/>
            <w:tcMar>
              <w:top w:w="80" w:type="dxa"/>
              <w:start w:w="100" w:type="dxa"/>
              <w:bottom w:w="80" w:type="dxa"/>
              <w:end w:w="100" w:type="dxa"/>
            </w:tcMar>
            <w:shd w:fill="0F172A"/>
            <w:vAlign w:val="center"/>
          </w:tcPr>
          <w:p>
            <w:pPr>
              <w:jc w:val="center"/>
            </w:pPr>
            <w:r>
              <w:rPr>
                <w:rFonts w:ascii="Calibri" w:hAnsi="Calibri"/>
                <w:b/>
                <w:color w:val="FFFFFF"/>
                <w:sz w:val="19"/>
              </w:rPr>
              <w:t>Details</w:t>
            </w:r>
          </w:p>
        </w:tc>
      </w:tr>
      <w:tr>
        <w:tc>
          <w:tcPr>
            <w:tcW w:type="dxa" w:w="2016"/>
            <w:tcMar>
              <w:top w:w="80" w:type="dxa"/>
              <w:start w:w="100" w:type="dxa"/>
              <w:bottom w:w="80" w:type="dxa"/>
              <w:end w:w="100" w:type="dxa"/>
            </w:tcMar>
            <w:vAlign w:val="center"/>
          </w:tcPr>
          <w:p>
            <w:pPr>
              <w:spacing w:after="0" w:line="240" w:lineRule="auto"/>
              <w:jc w:val="left"/>
            </w:pPr>
            <w:r>
              <w:rPr>
                <w:rFonts w:ascii="Calibri" w:hAnsi="Calibri"/>
                <w:color w:val="1E293B"/>
                <w:sz w:val="19"/>
              </w:rPr>
              <w:t>Team ID</w:t>
            </w:r>
          </w:p>
        </w:tc>
        <w:tc>
          <w:tcPr>
            <w:tcW w:type="dxa" w:w="6912"/>
            <w:tcMar>
              <w:top w:w="80" w:type="dxa"/>
              <w:start w:w="100" w:type="dxa"/>
              <w:bottom w:w="80" w:type="dxa"/>
              <w:end w:w="100" w:type="dxa"/>
            </w:tcMar>
            <w:vAlign w:val="center"/>
          </w:tcPr>
          <w:p>
            <w:pPr>
              <w:spacing w:after="0" w:line="240" w:lineRule="auto"/>
              <w:jc w:val="left"/>
            </w:pPr>
            <w:r>
              <w:rPr>
                <w:rFonts w:ascii="Calibri" w:hAnsi="Calibri"/>
                <w:color w:val="1E293B"/>
                <w:sz w:val="19"/>
              </w:rPr>
              <w:t>Sec-B G-2</w:t>
            </w:r>
          </w:p>
        </w:tc>
      </w:tr>
      <w:tr>
        <w:tc>
          <w:tcPr>
            <w:tcW w:type="dxa" w:w="20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Institute</w:t>
            </w:r>
          </w:p>
        </w:tc>
        <w:tc>
          <w:tcPr>
            <w:tcW w:type="dxa" w:w="6912"/>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Newton School of Technology, Rishihood University</w:t>
            </w:r>
          </w:p>
        </w:tc>
      </w:tr>
      <w:tr>
        <w:tc>
          <w:tcPr>
            <w:tcW w:type="dxa" w:w="2016"/>
            <w:tcMar>
              <w:top w:w="80" w:type="dxa"/>
              <w:start w:w="100" w:type="dxa"/>
              <w:bottom w:w="80" w:type="dxa"/>
              <w:end w:w="100" w:type="dxa"/>
            </w:tcMar>
            <w:vAlign w:val="center"/>
          </w:tcPr>
          <w:p>
            <w:pPr>
              <w:spacing w:after="0" w:line="240" w:lineRule="auto"/>
              <w:jc w:val="left"/>
            </w:pPr>
            <w:r>
              <w:rPr>
                <w:rFonts w:ascii="Calibri" w:hAnsi="Calibri"/>
                <w:color w:val="1E293B"/>
                <w:sz w:val="19"/>
              </w:rPr>
              <w:t>Team members</w:t>
            </w:r>
          </w:p>
        </w:tc>
        <w:tc>
          <w:tcPr>
            <w:tcW w:type="dxa" w:w="6912"/>
            <w:tcMar>
              <w:top w:w="80" w:type="dxa"/>
              <w:start w:w="100" w:type="dxa"/>
              <w:bottom w:w="80" w:type="dxa"/>
              <w:end w:w="100" w:type="dxa"/>
            </w:tcMar>
            <w:vAlign w:val="center"/>
          </w:tcPr>
          <w:p>
            <w:pPr>
              <w:spacing w:after="0" w:line="240" w:lineRule="auto"/>
              <w:jc w:val="left"/>
            </w:pPr>
            <w:r>
              <w:rPr>
                <w:rFonts w:ascii="Calibri" w:hAnsi="Calibri"/>
                <w:color w:val="1E293B"/>
                <w:sz w:val="19"/>
              </w:rPr>
              <w:t>Harshvardhan Gupta; Kartik Madaan; Dev Tyagi; Shitanshu Tiwari; Satwik Mani Tripathi; Siddharth Dangi</w:t>
            </w:r>
          </w:p>
        </w:tc>
      </w:tr>
      <w:tr>
        <w:tc>
          <w:tcPr>
            <w:tcW w:type="dxa" w:w="20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Dataset</w:t>
            </w:r>
          </w:p>
        </w:tc>
        <w:tc>
          <w:tcPr>
            <w:tcW w:type="dxa" w:w="6912"/>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UCI Bank Marketing (bank-full.csv)</w:t>
            </w:r>
          </w:p>
        </w:tc>
      </w:tr>
      <w:tr>
        <w:tc>
          <w:tcPr>
            <w:tcW w:type="dxa" w:w="2016"/>
            <w:tcMar>
              <w:top w:w="80" w:type="dxa"/>
              <w:start w:w="100" w:type="dxa"/>
              <w:bottom w:w="80" w:type="dxa"/>
              <w:end w:w="100" w:type="dxa"/>
            </w:tcMar>
            <w:vAlign w:val="center"/>
          </w:tcPr>
          <w:p>
            <w:pPr>
              <w:spacing w:after="0" w:line="240" w:lineRule="auto"/>
              <w:jc w:val="left"/>
            </w:pPr>
            <w:r>
              <w:rPr>
                <w:rFonts w:ascii="Calibri" w:hAnsi="Calibri"/>
                <w:color w:val="1E293B"/>
                <w:sz w:val="19"/>
              </w:rPr>
              <w:t>Rows / columns</w:t>
            </w:r>
          </w:p>
        </w:tc>
        <w:tc>
          <w:tcPr>
            <w:tcW w:type="dxa" w:w="6912"/>
            <w:tcMar>
              <w:top w:w="80" w:type="dxa"/>
              <w:start w:w="100" w:type="dxa"/>
              <w:bottom w:w="80" w:type="dxa"/>
              <w:end w:w="100" w:type="dxa"/>
            </w:tcMar>
            <w:vAlign w:val="center"/>
          </w:tcPr>
          <w:p>
            <w:pPr>
              <w:spacing w:after="0" w:line="240" w:lineRule="auto"/>
              <w:jc w:val="left"/>
            </w:pPr>
            <w:r>
              <w:rPr>
                <w:rFonts w:ascii="Calibri" w:hAnsi="Calibri"/>
                <w:color w:val="1E293B"/>
                <w:sz w:val="19"/>
              </w:rPr>
              <w:t>45,211 / 22 raw columns</w:t>
            </w:r>
          </w:p>
        </w:tc>
      </w:tr>
      <w:tr>
        <w:tc>
          <w:tcPr>
            <w:tcW w:type="dxa" w:w="20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Submitted</w:t>
            </w:r>
          </w:p>
        </w:tc>
        <w:tc>
          <w:tcPr>
            <w:tcW w:type="dxa" w:w="6912"/>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29 April 2026</w:t>
            </w:r>
          </w:p>
        </w:tc>
      </w:tr>
    </w:tbl>
    <w:p/>
    <w:p>
      <w:pPr>
        <w:spacing w:after="40"/>
        <w:jc w:val="left"/>
      </w:pPr>
      <w:r>
        <w:rPr>
          <w:rFonts w:ascii="Calibri" w:hAnsi="Calibri"/>
          <w:b/>
          <w:color w:val="0E7490"/>
          <w:sz w:val="17"/>
        </w:rPr>
        <w:t>At a glance</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112"/>
        <w:gridCol w:w="5112"/>
      </w:tblGrid>
      <w:tr>
        <w:tc>
          <w:tcPr>
            <w:tcW w:type="dxa" w:w="3168"/>
            <w:tcMar>
              <w:top w:w="80" w:type="dxa"/>
              <w:start w:w="100" w:type="dxa"/>
              <w:bottom w:w="80" w:type="dxa"/>
              <w:end w:w="100" w:type="dxa"/>
            </w:tcMar>
            <w:shd w:fill="0F172A"/>
            <w:vAlign w:val="center"/>
          </w:tcPr>
          <w:p>
            <w:pPr>
              <w:jc w:val="center"/>
            </w:pPr>
            <w:r>
              <w:rPr>
                <w:rFonts w:ascii="Calibri" w:hAnsi="Calibri"/>
                <w:b/>
                <w:color w:val="FFFFFF"/>
                <w:sz w:val="19"/>
              </w:rPr>
              <w:t>Metric</w:t>
            </w:r>
          </w:p>
        </w:tc>
        <w:tc>
          <w:tcPr>
            <w:tcW w:type="dxa" w:w="2016"/>
            <w:tcMar>
              <w:top w:w="80" w:type="dxa"/>
              <w:start w:w="100" w:type="dxa"/>
              <w:bottom w:w="80" w:type="dxa"/>
              <w:end w:w="100" w:type="dxa"/>
            </w:tcMar>
            <w:shd w:fill="0F172A"/>
            <w:vAlign w:val="center"/>
          </w:tcPr>
          <w:p>
            <w:pPr>
              <w:jc w:val="center"/>
            </w:pPr>
            <w:r>
              <w:rPr>
                <w:rFonts w:ascii="Calibri" w:hAnsi="Calibri"/>
                <w:b/>
                <w:color w:val="FFFFFF"/>
                <w:sz w:val="19"/>
              </w:rPr>
              <w:t>Value</w:t>
            </w:r>
          </w:p>
        </w:tc>
      </w:tr>
      <w:tr>
        <w:tc>
          <w:tcPr>
            <w:tcW w:type="dxa" w:w="3168"/>
            <w:tcMar>
              <w:top w:w="80" w:type="dxa"/>
              <w:start w:w="100" w:type="dxa"/>
              <w:bottom w:w="80" w:type="dxa"/>
              <w:end w:w="100" w:type="dxa"/>
            </w:tcMar>
            <w:vAlign w:val="center"/>
          </w:tcPr>
          <w:p>
            <w:pPr>
              <w:spacing w:after="0" w:line="240" w:lineRule="auto"/>
              <w:jc w:val="left"/>
            </w:pPr>
            <w:r>
              <w:rPr>
                <w:rFonts w:ascii="Calibri" w:hAnsi="Calibri"/>
                <w:color w:val="1E293B"/>
                <w:sz w:val="19"/>
              </w:rPr>
              <w:t>Total contacts</w:t>
            </w:r>
          </w:p>
        </w:tc>
        <w:tc>
          <w:tcPr>
            <w:tcW w:type="dxa" w:w="2016"/>
            <w:tcMar>
              <w:top w:w="80" w:type="dxa"/>
              <w:start w:w="100" w:type="dxa"/>
              <w:bottom w:w="80" w:type="dxa"/>
              <w:end w:w="100" w:type="dxa"/>
            </w:tcMar>
            <w:vAlign w:val="center"/>
          </w:tcPr>
          <w:p>
            <w:pPr>
              <w:spacing w:after="0" w:line="240" w:lineRule="auto"/>
              <w:jc w:val="left"/>
            </w:pPr>
            <w:r>
              <w:rPr>
                <w:rFonts w:ascii="Calibri" w:hAnsi="Calibri"/>
                <w:color w:val="1E293B"/>
                <w:sz w:val="19"/>
              </w:rPr>
              <w:t>45,211</w:t>
            </w:r>
          </w:p>
        </w:tc>
      </w:tr>
      <w:tr>
        <w:tc>
          <w:tcPr>
            <w:tcW w:type="dxa" w:w="3168"/>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Subscriptions</w:t>
            </w:r>
          </w:p>
        </w:tc>
        <w:tc>
          <w:tcPr>
            <w:tcW w:type="dxa" w:w="20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5,289</w:t>
            </w:r>
          </w:p>
        </w:tc>
      </w:tr>
      <w:tr>
        <w:tc>
          <w:tcPr>
            <w:tcW w:type="dxa" w:w="3168"/>
            <w:tcMar>
              <w:top w:w="80" w:type="dxa"/>
              <w:start w:w="100" w:type="dxa"/>
              <w:bottom w:w="80" w:type="dxa"/>
              <w:end w:w="100" w:type="dxa"/>
            </w:tcMar>
            <w:vAlign w:val="center"/>
          </w:tcPr>
          <w:p>
            <w:pPr>
              <w:spacing w:after="0" w:line="240" w:lineRule="auto"/>
              <w:jc w:val="left"/>
            </w:pPr>
            <w:r>
              <w:rPr>
                <w:rFonts w:ascii="Calibri" w:hAnsi="Calibri"/>
                <w:color w:val="1E293B"/>
                <w:sz w:val="19"/>
              </w:rPr>
              <w:t>Subscription rate</w:t>
            </w:r>
          </w:p>
        </w:tc>
        <w:tc>
          <w:tcPr>
            <w:tcW w:type="dxa" w:w="2016"/>
            <w:tcMar>
              <w:top w:w="80" w:type="dxa"/>
              <w:start w:w="100" w:type="dxa"/>
              <w:bottom w:w="80" w:type="dxa"/>
              <w:end w:w="100" w:type="dxa"/>
            </w:tcMar>
            <w:vAlign w:val="center"/>
          </w:tcPr>
          <w:p>
            <w:pPr>
              <w:spacing w:after="0" w:line="240" w:lineRule="auto"/>
              <w:jc w:val="left"/>
            </w:pPr>
            <w:r>
              <w:rPr>
                <w:rFonts w:ascii="Calibri" w:hAnsi="Calibri"/>
                <w:color w:val="1E293B"/>
                <w:sz w:val="19"/>
              </w:rPr>
              <w:t>11.70%</w:t>
            </w:r>
          </w:p>
        </w:tc>
      </w:tr>
      <w:tr>
        <w:tc>
          <w:tcPr>
            <w:tcW w:type="dxa" w:w="3168"/>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Avg. campaign touches</w:t>
            </w:r>
          </w:p>
        </w:tc>
        <w:tc>
          <w:tcPr>
            <w:tcW w:type="dxa" w:w="20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2.76</w:t>
            </w:r>
          </w:p>
        </w:tc>
      </w:tr>
    </w:tbl>
    <w:p>
      <w:pPr>
        <w:spacing w:after="0" w:line="276" w:lineRule="auto"/>
        <w:jc w:val="center"/>
      </w:pPr>
      <w:r>
        <w:rPr>
          <w:rFonts w:ascii="Calibri" w:hAnsi="Calibri"/>
          <w:b w:val="0"/>
          <w:i/>
          <w:sz w:val="21"/>
        </w:rPr>
        <w:t>The report uses only repository-visible data and dashboard assets stored in this project workspace.</w:t>
      </w:r>
    </w:p>
    <w:p>
      <w:r>
        <w:br w:type="page"/>
      </w:r>
    </w:p>
    <w:p>
      <w:pPr>
        <w:spacing w:before="120" w:after="40"/>
      </w:pPr>
      <w:r>
        <w:rPr>
          <w:rFonts w:ascii="Calibri" w:hAnsi="Calibri"/>
          <w:b/>
          <w:color w:val="0F172A"/>
          <w:sz w:val="32"/>
        </w:rPr>
        <w:t>1. Executive Summary</w:t>
      </w:r>
    </w:p>
    <w:p>
      <w:pPr>
        <w:spacing w:after="160"/>
      </w:pPr>
      <w:r>
        <w:rPr>
          <w:rFonts w:ascii="Calibri" w:hAnsi="Calibri"/>
          <w:color w:val="64748B"/>
          <w:sz w:val="21"/>
        </w:rPr>
        <w:t>One-page summary for decision makers</w:t>
      </w:r>
    </w:p>
    <w:p>
      <w:pPr>
        <w:spacing w:after="120" w:line="276" w:lineRule="auto"/>
      </w:pPr>
      <w:r>
        <w:rPr>
          <w:rFonts w:ascii="Calibri" w:hAnsi="Calibri"/>
          <w:b w:val="0"/>
          <w:i w:val="0"/>
          <w:sz w:val="21"/>
        </w:rPr>
        <w:t>The dataset contains 45,211 client contacts and 5,289 term-deposit subscriptions, producing an overall subscription rate of 11.70%.</w:t>
      </w:r>
    </w:p>
    <w:p>
      <w:pPr>
        <w:spacing w:after="120" w:line="276" w:lineRule="auto"/>
      </w:pPr>
      <w:r>
        <w:rPr>
          <w:rFonts w:ascii="Calibri" w:hAnsi="Calibri"/>
          <w:b w:val="0"/>
          <w:i w:val="0"/>
          <w:sz w:val="21"/>
        </w:rPr>
        <w:t>The strongest business signal is prior campaign history: previously contacted clients convert at 23.07%, compared with 9.16% for clients without prior contact.</w:t>
      </w:r>
    </w:p>
    <w:p>
      <w:pPr>
        <w:spacing w:after="120" w:line="276" w:lineRule="auto"/>
      </w:pPr>
      <w:r>
        <w:rPr>
          <w:rFonts w:ascii="Calibri" w:hAnsi="Calibri"/>
          <w:b w:val="0"/>
          <w:i w:val="0"/>
          <w:sz w:val="21"/>
        </w:rPr>
        <w:t>Segment quality also matters. Students (28.68%), retirees (22.79%) and older clients aged 65+ (42.10%) respond well.</w:t>
      </w:r>
    </w:p>
    <w:p>
      <w:pPr>
        <w:spacing w:after="120" w:line="276" w:lineRule="auto"/>
      </w:pPr>
      <w:r>
        <w:rPr>
          <w:rFonts w:ascii="Calibri" w:hAnsi="Calibri"/>
          <w:b w:val="0"/>
          <w:i w:val="0"/>
          <w:sz w:val="21"/>
        </w:rPr>
        <w:t>Repeated calling is inefficient: conversion falls from 14.60% on first touch to 5.81% for six or more contacts.</w:t>
      </w:r>
    </w:p>
    <w:p>
      <w:pPr>
        <w:spacing w:after="120" w:line="276" w:lineRule="auto"/>
      </w:pPr>
      <w:r>
        <w:rPr>
          <w:rFonts w:ascii="Calibri" w:hAnsi="Calibri"/>
          <w:b w:val="0"/>
          <w:i w:val="0"/>
          <w:sz w:val="21"/>
        </w:rPr>
        <w:t>The report therefore recommends a warm-lead-first call queue, cellular-first outreach, a cap on repeated touches after three attempts, and a stronger focus on high-response months such as March, September, October, and December.</w:t>
      </w:r>
    </w:p>
    <w:p>
      <w:pPr>
        <w:pStyle w:val="ListBullet"/>
        <w:spacing w:after="40" w:line="269" w:lineRule="auto"/>
      </w:pPr>
      <w:r>
        <w:rPr>
          <w:rFonts w:ascii="Calibri" w:hAnsi="Calibri"/>
          <w:sz w:val="21"/>
        </w:rPr>
        <w:t>Decision rule: prioritize warm leads before cold prospects.</w:t>
      </w:r>
    </w:p>
    <w:p>
      <w:pPr>
        <w:pStyle w:val="ListBullet"/>
        <w:spacing w:after="40" w:line="269" w:lineRule="auto"/>
      </w:pPr>
      <w:r>
        <w:rPr>
          <w:rFonts w:ascii="Calibri" w:hAnsi="Calibri"/>
          <w:sz w:val="21"/>
        </w:rPr>
        <w:t>Campaign design rule: keep contact attempts short and targeted.</w:t>
      </w:r>
    </w:p>
    <w:p>
      <w:pPr>
        <w:pStyle w:val="ListBullet"/>
        <w:spacing w:after="40" w:line="269" w:lineRule="auto"/>
      </w:pPr>
      <w:r>
        <w:rPr>
          <w:rFonts w:ascii="Calibri" w:hAnsi="Calibri"/>
          <w:sz w:val="21"/>
        </w:rPr>
        <w:t>Channel rule: use cellular-first routing for higher conversion.</w:t>
      </w:r>
    </w:p>
    <w:p>
      <w:pPr>
        <w:pStyle w:val="ListBullet"/>
        <w:spacing w:after="40" w:line="269" w:lineRule="auto"/>
      </w:pPr>
      <w:r>
        <w:rPr>
          <w:rFonts w:ascii="Calibri" w:hAnsi="Calibri"/>
          <w:sz w:val="21"/>
        </w:rPr>
        <w:t>Timing rule: schedule the heaviest pushes in the best-performing months.</w:t>
      </w:r>
    </w:p>
    <w:p>
      <w:r>
        <w:br w:type="page"/>
      </w:r>
    </w:p>
    <w:p>
      <w:pPr>
        <w:spacing w:before="120" w:after="40"/>
      </w:pPr>
      <w:r>
        <w:rPr>
          <w:rFonts w:ascii="Calibri" w:hAnsi="Calibri"/>
          <w:b/>
          <w:color w:val="0F172A"/>
          <w:sz w:val="32"/>
        </w:rPr>
        <w:t>2. Sector Context and Problem Statement</w:t>
      </w:r>
    </w:p>
    <w:p>
      <w:pPr>
        <w:spacing w:after="160"/>
      </w:pPr>
      <w:r>
        <w:rPr>
          <w:rFonts w:ascii="Calibri" w:hAnsi="Calibri"/>
          <w:color w:val="64748B"/>
          <w:sz w:val="21"/>
        </w:rPr>
        <w:t>Finance-sector lead generation is a prioritization problem, not a volume problem.</w:t>
      </w:r>
    </w:p>
    <w:p>
      <w:pPr>
        <w:spacing w:after="120" w:line="276" w:lineRule="auto"/>
      </w:pPr>
      <w:r>
        <w:rPr>
          <w:rFonts w:ascii="Calibri" w:hAnsi="Calibri"/>
          <w:b w:val="0"/>
          <w:i w:val="0"/>
          <w:sz w:val="21"/>
        </w:rPr>
        <w:t>Retail banks run large outbound campaigns to sell term deposits. The challenge is that calling everyone wastes capacity, depresses conversion efficiency, and creates noise for low-propensity clients.</w:t>
      </w:r>
    </w:p>
    <w:p>
      <w:pPr>
        <w:spacing w:after="120" w:line="276" w:lineRule="auto"/>
      </w:pPr>
      <w:r>
        <w:rPr>
          <w:rFonts w:ascii="Calibri" w:hAnsi="Calibri"/>
          <w:b w:val="0"/>
          <w:i w:val="0"/>
          <w:sz w:val="21"/>
        </w:rPr>
        <w:t>The decision-maker in this project is a campaign or CRM manager who needs a simple rule set: who to call first, how often to call, and which channels should be used for the best return on effort.</w:t>
      </w:r>
    </w:p>
    <w:p>
      <w:pPr>
        <w:pStyle w:val="ListBullet"/>
        <w:spacing w:after="40" w:line="269" w:lineRule="auto"/>
      </w:pPr>
      <w:r>
        <w:rPr>
          <w:rFonts w:ascii="Calibri" w:hAnsi="Calibri"/>
          <w:sz w:val="21"/>
        </w:rPr>
        <w:t>Business question: which clients should be contacted first to maximize subscription probability?</w:t>
      </w:r>
    </w:p>
    <w:p>
      <w:pPr>
        <w:pStyle w:val="ListBullet"/>
        <w:spacing w:after="40" w:line="269" w:lineRule="auto"/>
      </w:pPr>
      <w:r>
        <w:rPr>
          <w:rFonts w:ascii="Calibri" w:hAnsi="Calibri"/>
          <w:sz w:val="21"/>
        </w:rPr>
        <w:t>Operational question: how can the bank reduce wasted calls while protecting customer experience?</w:t>
      </w:r>
    </w:p>
    <w:p>
      <w:pPr>
        <w:pStyle w:val="ListBullet"/>
        <w:spacing w:after="40" w:line="269" w:lineRule="auto"/>
      </w:pPr>
      <w:r>
        <w:rPr>
          <w:rFonts w:ascii="Calibri" w:hAnsi="Calibri"/>
          <w:sz w:val="21"/>
        </w:rPr>
        <w:t>Outcome: a Tableau dashboard and Python analysis that support segmentation-driven outreach.</w:t>
      </w:r>
    </w:p>
    <w:p>
      <w:r>
        <w:br w:type="page"/>
      </w:r>
    </w:p>
    <w:p>
      <w:pPr>
        <w:spacing w:before="120" w:after="40"/>
      </w:pPr>
      <w:r>
        <w:rPr>
          <w:rFonts w:ascii="Calibri" w:hAnsi="Calibri"/>
          <w:b/>
          <w:color w:val="0F172A"/>
          <w:sz w:val="32"/>
        </w:rPr>
        <w:t>3. Data Description</w:t>
      </w:r>
    </w:p>
    <w:p>
      <w:pPr>
        <w:spacing w:after="160"/>
      </w:pPr>
      <w:r>
        <w:rPr>
          <w:rFonts w:ascii="Calibri" w:hAnsi="Calibri"/>
          <w:color w:val="64748B"/>
          <w:sz w:val="21"/>
        </w:rPr>
        <w:t>Source, structure, size, and known limitations</w:t>
      </w:r>
    </w:p>
    <w:p>
      <w:pPr>
        <w:spacing w:after="120" w:line="276" w:lineRule="auto"/>
      </w:pPr>
      <w:r>
        <w:rPr>
          <w:rFonts w:ascii="Calibri" w:hAnsi="Calibri"/>
          <w:b w:val="0"/>
          <w:i w:val="0"/>
          <w:sz w:val="21"/>
        </w:rPr>
        <w:t>The analysis uses the UCI Machine Learning Repository's Bank Marketing dataset (`bank-full.csv`). The raw file is semicolon-delimited and has one row per client contact record.</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5112"/>
        <w:gridCol w:w="5112"/>
      </w:tblGrid>
      <w:tr>
        <w:tc>
          <w:tcPr>
            <w:tcW w:type="dxa" w:w="3024"/>
            <w:tcMar>
              <w:top w:w="80" w:type="dxa"/>
              <w:start w:w="100" w:type="dxa"/>
              <w:bottom w:w="80" w:type="dxa"/>
              <w:end w:w="100" w:type="dxa"/>
            </w:tcMar>
            <w:shd w:fill="0F172A"/>
            <w:vAlign w:val="center"/>
          </w:tcPr>
          <w:p>
            <w:pPr>
              <w:jc w:val="center"/>
            </w:pPr>
            <w:r>
              <w:rPr>
                <w:rFonts w:ascii="Calibri" w:hAnsi="Calibri"/>
                <w:b/>
                <w:color w:val="FFFFFF"/>
                <w:sz w:val="19"/>
              </w:rPr>
              <w:t>Attribute</w:t>
            </w:r>
          </w:p>
        </w:tc>
        <w:tc>
          <w:tcPr>
            <w:tcW w:type="dxa" w:w="5616"/>
            <w:tcMar>
              <w:top w:w="80" w:type="dxa"/>
              <w:start w:w="100" w:type="dxa"/>
              <w:bottom w:w="80" w:type="dxa"/>
              <w:end w:w="100" w:type="dxa"/>
            </w:tcMar>
            <w:shd w:fill="0F172A"/>
            <w:vAlign w:val="center"/>
          </w:tcPr>
          <w:p>
            <w:pPr>
              <w:jc w:val="center"/>
            </w:pPr>
            <w:r>
              <w:rPr>
                <w:rFonts w:ascii="Calibri" w:hAnsi="Calibri"/>
                <w:b/>
                <w:color w:val="FFFFFF"/>
                <w:sz w:val="19"/>
              </w:rPr>
              <w:t>Details</w:t>
            </w:r>
          </w:p>
        </w:tc>
      </w:tr>
      <w:tr>
        <w:tc>
          <w:tcPr>
            <w:tcW w:type="dxa" w:w="3024"/>
            <w:tcMar>
              <w:top w:w="80" w:type="dxa"/>
              <w:start w:w="100" w:type="dxa"/>
              <w:bottom w:w="80" w:type="dxa"/>
              <w:end w:w="100" w:type="dxa"/>
            </w:tcMar>
            <w:vAlign w:val="center"/>
          </w:tcPr>
          <w:p>
            <w:pPr>
              <w:spacing w:after="0" w:line="240" w:lineRule="auto"/>
              <w:jc w:val="left"/>
            </w:pPr>
            <w:r>
              <w:rPr>
                <w:rFonts w:ascii="Calibri" w:hAnsi="Calibri"/>
                <w:color w:val="1E293B"/>
                <w:sz w:val="19"/>
              </w:rPr>
              <w:t>Source</w:t>
            </w:r>
          </w:p>
        </w:tc>
        <w:tc>
          <w:tcPr>
            <w:tcW w:type="dxa" w:w="5616"/>
            <w:tcMar>
              <w:top w:w="80" w:type="dxa"/>
              <w:start w:w="100" w:type="dxa"/>
              <w:bottom w:w="80" w:type="dxa"/>
              <w:end w:w="100" w:type="dxa"/>
            </w:tcMar>
            <w:vAlign w:val="center"/>
          </w:tcPr>
          <w:p>
            <w:pPr>
              <w:spacing w:after="0" w:line="240" w:lineRule="auto"/>
              <w:jc w:val="left"/>
            </w:pPr>
            <w:r>
              <w:rPr>
                <w:rFonts w:ascii="Calibri" w:hAnsi="Calibri"/>
                <w:color w:val="1E293B"/>
                <w:sz w:val="19"/>
              </w:rPr>
              <w:t>UCI Machine Learning Repository</w:t>
            </w:r>
          </w:p>
        </w:tc>
      </w:tr>
      <w:tr>
        <w:tc>
          <w:tcPr>
            <w:tcW w:type="dxa" w:w="3024"/>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Raw file</w:t>
            </w:r>
          </w:p>
        </w:tc>
        <w:tc>
          <w:tcPr>
            <w:tcW w:type="dxa" w:w="56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bank-full.csv</w:t>
            </w:r>
          </w:p>
        </w:tc>
      </w:tr>
      <w:tr>
        <w:tc>
          <w:tcPr>
            <w:tcW w:type="dxa" w:w="3024"/>
            <w:tcMar>
              <w:top w:w="80" w:type="dxa"/>
              <w:start w:w="100" w:type="dxa"/>
              <w:bottom w:w="80" w:type="dxa"/>
              <w:end w:w="100" w:type="dxa"/>
            </w:tcMar>
            <w:vAlign w:val="center"/>
          </w:tcPr>
          <w:p>
            <w:pPr>
              <w:spacing w:after="0" w:line="240" w:lineRule="auto"/>
              <w:jc w:val="left"/>
            </w:pPr>
            <w:r>
              <w:rPr>
                <w:rFonts w:ascii="Calibri" w:hAnsi="Calibri"/>
                <w:color w:val="1E293B"/>
                <w:sz w:val="19"/>
              </w:rPr>
              <w:t>Rows</w:t>
            </w:r>
          </w:p>
        </w:tc>
        <w:tc>
          <w:tcPr>
            <w:tcW w:type="dxa" w:w="5616"/>
            <w:tcMar>
              <w:top w:w="80" w:type="dxa"/>
              <w:start w:w="100" w:type="dxa"/>
              <w:bottom w:w="80" w:type="dxa"/>
              <w:end w:w="100" w:type="dxa"/>
            </w:tcMar>
            <w:vAlign w:val="center"/>
          </w:tcPr>
          <w:p>
            <w:pPr>
              <w:spacing w:after="0" w:line="240" w:lineRule="auto"/>
              <w:jc w:val="left"/>
            </w:pPr>
            <w:r>
              <w:rPr>
                <w:rFonts w:ascii="Calibri" w:hAnsi="Calibri"/>
                <w:color w:val="1E293B"/>
                <w:sz w:val="19"/>
              </w:rPr>
              <w:t>45,211</w:t>
            </w:r>
          </w:p>
        </w:tc>
      </w:tr>
      <w:tr>
        <w:tc>
          <w:tcPr>
            <w:tcW w:type="dxa" w:w="3024"/>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Raw columns</w:t>
            </w:r>
          </w:p>
        </w:tc>
        <w:tc>
          <w:tcPr>
            <w:tcW w:type="dxa" w:w="56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17</w:t>
            </w:r>
          </w:p>
        </w:tc>
      </w:tr>
      <w:tr>
        <w:tc>
          <w:tcPr>
            <w:tcW w:type="dxa" w:w="3024"/>
            <w:tcMar>
              <w:top w:w="80" w:type="dxa"/>
              <w:start w:w="100" w:type="dxa"/>
              <w:bottom w:w="80" w:type="dxa"/>
              <w:end w:w="100" w:type="dxa"/>
            </w:tcMar>
            <w:vAlign w:val="center"/>
          </w:tcPr>
          <w:p>
            <w:pPr>
              <w:spacing w:after="0" w:line="240" w:lineRule="auto"/>
              <w:jc w:val="left"/>
            </w:pPr>
            <w:r>
              <w:rPr>
                <w:rFonts w:ascii="Calibri" w:hAnsi="Calibri"/>
                <w:color w:val="1E293B"/>
                <w:sz w:val="19"/>
              </w:rPr>
              <w:t>Cleaned columns</w:t>
            </w:r>
          </w:p>
        </w:tc>
        <w:tc>
          <w:tcPr>
            <w:tcW w:type="dxa" w:w="5616"/>
            <w:tcMar>
              <w:top w:w="80" w:type="dxa"/>
              <w:start w:w="100" w:type="dxa"/>
              <w:bottom w:w="80" w:type="dxa"/>
              <w:end w:w="100" w:type="dxa"/>
            </w:tcMar>
            <w:vAlign w:val="center"/>
          </w:tcPr>
          <w:p>
            <w:pPr>
              <w:spacing w:after="0" w:line="240" w:lineRule="auto"/>
              <w:jc w:val="left"/>
            </w:pPr>
            <w:r>
              <w:rPr>
                <w:rFonts w:ascii="Calibri" w:hAnsi="Calibri"/>
                <w:color w:val="1E293B"/>
                <w:sz w:val="19"/>
              </w:rPr>
              <w:t>22</w:t>
            </w:r>
          </w:p>
        </w:tc>
      </w:tr>
      <w:tr>
        <w:tc>
          <w:tcPr>
            <w:tcW w:type="dxa" w:w="3024"/>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Unit of analysis</w:t>
            </w:r>
          </w:p>
        </w:tc>
        <w:tc>
          <w:tcPr>
            <w:tcW w:type="dxa" w:w="5616"/>
            <w:tcMar>
              <w:top w:w="80" w:type="dxa"/>
              <w:start w:w="100" w:type="dxa"/>
              <w:bottom w:w="80" w:type="dxa"/>
              <w:end w:w="100" w:type="dxa"/>
            </w:tcMar>
            <w:vAlign w:val="center"/>
            <w:shd w:fill="F8FAFC"/>
          </w:tcPr>
          <w:p>
            <w:pPr>
              <w:spacing w:after="0" w:line="240" w:lineRule="auto"/>
              <w:jc w:val="left"/>
            </w:pPr>
            <w:r>
              <w:rPr>
                <w:rFonts w:ascii="Calibri" w:hAnsi="Calibri"/>
                <w:color w:val="1E293B"/>
                <w:sz w:val="19"/>
              </w:rPr>
              <w:t>One client contact record</w:t>
            </w:r>
          </w:p>
        </w:tc>
      </w:tr>
      <w:tr>
        <w:tc>
          <w:tcPr>
            <w:tcW w:type="dxa" w:w="3024"/>
            <w:tcMar>
              <w:top w:w="80" w:type="dxa"/>
              <w:start w:w="100" w:type="dxa"/>
              <w:bottom w:w="80" w:type="dxa"/>
              <w:end w:w="100" w:type="dxa"/>
            </w:tcMar>
            <w:vAlign w:val="center"/>
          </w:tcPr>
          <w:p>
            <w:pPr>
              <w:spacing w:after="0" w:line="240" w:lineRule="auto"/>
              <w:jc w:val="left"/>
            </w:pPr>
            <w:r>
              <w:rPr>
                <w:rFonts w:ascii="Calibri" w:hAnsi="Calibri"/>
                <w:color w:val="1E293B"/>
                <w:sz w:val="19"/>
              </w:rPr>
              <w:t>Target variable</w:t>
            </w:r>
          </w:p>
        </w:tc>
        <w:tc>
          <w:tcPr>
            <w:tcW w:type="dxa" w:w="5616"/>
            <w:tcMar>
              <w:top w:w="80" w:type="dxa"/>
              <w:start w:w="100" w:type="dxa"/>
              <w:bottom w:w="80" w:type="dxa"/>
              <w:end w:w="100" w:type="dxa"/>
            </w:tcMar>
            <w:vAlign w:val="center"/>
          </w:tcPr>
          <w:p>
            <w:pPr>
              <w:spacing w:after="0" w:line="240" w:lineRule="auto"/>
              <w:jc w:val="left"/>
            </w:pPr>
            <w:r>
              <w:rPr>
                <w:rFonts w:ascii="Calibri" w:hAnsi="Calibri"/>
                <w:color w:val="1E293B"/>
                <w:sz w:val="19"/>
              </w:rPr>
              <w:t>y (term-deposit subscription: 0/1)</w:t>
            </w:r>
          </w:p>
        </w:tc>
      </w:tr>
    </w:tbl>
    <w:p>
      <w:pPr>
        <w:spacing w:after="120" w:line="276" w:lineRule="auto"/>
      </w:pPr>
      <w:r>
        <w:rPr>
          <w:rFonts w:ascii="Calibri" w:hAnsi="Calibri"/>
          <w:b w:val="0"/>
          <w:i w:val="0"/>
          <w:sz w:val="21"/>
        </w:rPr>
        <w:t>Key limitations: the file uses the label `unknown` in several categorical fields rather than missing values; `duration` is informative for descriptive analysis but leaks information in a predictive setting; and the data represents one historical campaign period, so seasonality should be validated before operational use.</w:t>
      </w:r>
    </w:p>
    <w:p>
      <w:pPr>
        <w:spacing w:after="120" w:line="276" w:lineRule="auto"/>
      </w:pPr>
      <w:r>
        <w:rPr>
          <w:rFonts w:ascii="Calibri" w:hAnsi="Calibri"/>
          <w:b w:val="0"/>
          <w:i w:val="0"/>
          <w:sz w:val="21"/>
        </w:rPr>
        <w:t>Important derived fields introduced for Tableau and analysis include `age_group`, `balance_band`, `campaign_band`, `previously_contacted`, and `duration_minutes`.</w:t>
      </w:r>
    </w:p>
    <w:p>
      <w:r>
        <w:br w:type="page"/>
      </w:r>
    </w:p>
    <w:p>
      <w:pPr>
        <w:spacing w:before="120" w:after="40"/>
      </w:pPr>
      <w:r>
        <w:rPr>
          <w:rFonts w:ascii="Calibri" w:hAnsi="Calibri"/>
          <w:b/>
          <w:color w:val="0F172A"/>
          <w:sz w:val="32"/>
        </w:rPr>
        <w:t>4. Data Cleaning and ETL Methodology</w:t>
      </w:r>
    </w:p>
    <w:p>
      <w:pPr>
        <w:spacing w:after="160"/>
      </w:pPr>
      <w:r>
        <w:rPr>
          <w:rFonts w:ascii="Calibri" w:hAnsi="Calibri"/>
          <w:color w:val="64748B"/>
          <w:sz w:val="21"/>
        </w:rPr>
        <w:t>Python pipeline from raw file to Tableau-ready dataset</w:t>
      </w:r>
    </w:p>
    <w:p>
      <w:pPr>
        <w:spacing w:after="120" w:line="276" w:lineRule="auto"/>
      </w:pPr>
      <w:r>
        <w:rPr>
          <w:rFonts w:ascii="Calibri" w:hAnsi="Calibri"/>
          <w:b w:val="0"/>
          <w:i w:val="0"/>
          <w:sz w:val="21"/>
        </w:rPr>
        <w:t>The ETL pipeline in `scripts/etl_pipeline.py` standardizes the raw file, validates required columns, preserves semantic labels, and adds business-friendly derived columns.</w:t>
      </w:r>
    </w:p>
    <w:p>
      <w:pPr>
        <w:pStyle w:val="ListBullet"/>
        <w:spacing w:after="40" w:line="269" w:lineRule="auto"/>
      </w:pPr>
      <w:r>
        <w:rPr>
          <w:rFonts w:ascii="Calibri" w:hAnsi="Calibri"/>
          <w:sz w:val="21"/>
        </w:rPr>
        <w:t>Normalize headers to lowercase snake_case and standardize string values.</w:t>
      </w:r>
    </w:p>
    <w:p>
      <w:pPr>
        <w:pStyle w:val="ListBullet"/>
        <w:spacing w:after="40" w:line="269" w:lineRule="auto"/>
      </w:pPr>
      <w:r>
        <w:rPr>
          <w:rFonts w:ascii="Calibri" w:hAnsi="Calibri"/>
          <w:sz w:val="21"/>
        </w:rPr>
        <w:t>Validate expected raw columns before further processing.</w:t>
      </w:r>
    </w:p>
    <w:p>
      <w:pPr>
        <w:pStyle w:val="ListBullet"/>
        <w:spacing w:after="40" w:line="269" w:lineRule="auto"/>
      </w:pPr>
      <w:r>
        <w:rPr>
          <w:rFonts w:ascii="Calibri" w:hAnsi="Calibri"/>
          <w:sz w:val="21"/>
        </w:rPr>
        <w:t>Drop duplicates and preserve explicit `unknown` labels rather than silently imputing them.</w:t>
      </w:r>
    </w:p>
    <w:p>
      <w:pPr>
        <w:pStyle w:val="ListBullet"/>
        <w:spacing w:after="40" w:line="269" w:lineRule="auto"/>
      </w:pPr>
      <w:r>
        <w:rPr>
          <w:rFonts w:ascii="Calibri" w:hAnsi="Calibri"/>
          <w:sz w:val="21"/>
        </w:rPr>
        <w:t>Create `previously_contacted` from `pdays != -1`.</w:t>
      </w:r>
    </w:p>
    <w:p>
      <w:pPr>
        <w:pStyle w:val="ListBullet"/>
        <w:spacing w:after="40" w:line="269" w:lineRule="auto"/>
      </w:pPr>
      <w:r>
        <w:rPr>
          <w:rFonts w:ascii="Calibri" w:hAnsi="Calibri"/>
          <w:sz w:val="21"/>
        </w:rPr>
        <w:t>Bucket `age` into life-stage bands and `balance` into financial bands.</w:t>
      </w:r>
    </w:p>
    <w:p>
      <w:pPr>
        <w:pStyle w:val="ListBullet"/>
        <w:spacing w:after="40" w:line="269" w:lineRule="auto"/>
      </w:pPr>
      <w:r>
        <w:rPr>
          <w:rFonts w:ascii="Calibri" w:hAnsi="Calibri"/>
          <w:sz w:val="21"/>
        </w:rPr>
        <w:t>Create `campaign_band` to distinguish first-touch, low-touch, and high-touch campaigns.</w:t>
      </w:r>
    </w:p>
    <w:p>
      <w:pPr>
        <w:pStyle w:val="ListBullet"/>
        <w:spacing w:after="40" w:line="269" w:lineRule="auto"/>
      </w:pPr>
      <w:r>
        <w:rPr>
          <w:rFonts w:ascii="Calibri" w:hAnsi="Calibri"/>
          <w:sz w:val="21"/>
        </w:rPr>
        <w:t>Export the cleaned dataset and Tableau-ready subset with 22 columns.</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408"/>
        <w:gridCol w:w="3408"/>
        <w:gridCol w:w="3408"/>
      </w:tblGrid>
      <w:tr>
        <w:tc>
          <w:tcPr>
            <w:tcW w:type="dxa" w:w="1440"/>
            <w:tcMar>
              <w:top w:w="80" w:type="dxa"/>
              <w:start w:w="100" w:type="dxa"/>
              <w:bottom w:w="80" w:type="dxa"/>
              <w:end w:w="100" w:type="dxa"/>
            </w:tcMar>
            <w:shd w:fill="0F172A"/>
            <w:vAlign w:val="center"/>
          </w:tcPr>
          <w:p>
            <w:pPr>
              <w:jc w:val="center"/>
            </w:pPr>
            <w:r>
              <w:rPr>
                <w:rFonts w:ascii="Calibri" w:hAnsi="Calibri"/>
                <w:b/>
                <w:color w:val="FFFFFF"/>
                <w:sz w:val="17"/>
              </w:rPr>
              <w:t>Stage</w:t>
            </w:r>
          </w:p>
        </w:tc>
        <w:tc>
          <w:tcPr>
            <w:tcW w:type="dxa" w:w="4320"/>
            <w:tcMar>
              <w:top w:w="80" w:type="dxa"/>
              <w:start w:w="100" w:type="dxa"/>
              <w:bottom w:w="80" w:type="dxa"/>
              <w:end w:w="100" w:type="dxa"/>
            </w:tcMar>
            <w:shd w:fill="0F172A"/>
            <w:vAlign w:val="center"/>
          </w:tcPr>
          <w:p>
            <w:pPr>
              <w:jc w:val="center"/>
            </w:pPr>
            <w:r>
              <w:rPr>
                <w:rFonts w:ascii="Calibri" w:hAnsi="Calibri"/>
                <w:b/>
                <w:color w:val="FFFFFF"/>
                <w:sz w:val="17"/>
              </w:rPr>
              <w:t>What happens</w:t>
            </w:r>
          </w:p>
        </w:tc>
        <w:tc>
          <w:tcPr>
            <w:tcW w:type="dxa" w:w="2592"/>
            <w:tcMar>
              <w:top w:w="80" w:type="dxa"/>
              <w:start w:w="100" w:type="dxa"/>
              <w:bottom w:w="80" w:type="dxa"/>
              <w:end w:w="100" w:type="dxa"/>
            </w:tcMar>
            <w:shd w:fill="0F172A"/>
            <w:vAlign w:val="center"/>
          </w:tcPr>
          <w:p>
            <w:pPr>
              <w:jc w:val="center"/>
            </w:pPr>
            <w:r>
              <w:rPr>
                <w:rFonts w:ascii="Calibri" w:hAnsi="Calibri"/>
                <w:b/>
                <w:color w:val="FFFFFF"/>
                <w:sz w:val="17"/>
              </w:rPr>
              <w:t>Why it matters</w:t>
            </w:r>
          </w:p>
        </w:tc>
      </w:tr>
      <w:tr>
        <w:tc>
          <w:tcPr>
            <w:tcW w:type="dxa" w:w="1440"/>
            <w:tcMar>
              <w:top w:w="80" w:type="dxa"/>
              <w:start w:w="100" w:type="dxa"/>
              <w:bottom w:w="80" w:type="dxa"/>
              <w:end w:w="100" w:type="dxa"/>
            </w:tcMar>
            <w:vAlign w:val="center"/>
          </w:tcPr>
          <w:p>
            <w:pPr>
              <w:spacing w:after="0" w:line="240" w:lineRule="auto"/>
              <w:jc w:val="left"/>
            </w:pPr>
            <w:r>
              <w:rPr>
                <w:rFonts w:ascii="Calibri" w:hAnsi="Calibri"/>
                <w:color w:val="1E293B"/>
                <w:sz w:val="17"/>
              </w:rPr>
              <w:t>Input</w:t>
            </w:r>
          </w:p>
        </w:tc>
        <w:tc>
          <w:tcPr>
            <w:tcW w:type="dxa" w:w="4320"/>
            <w:tcMar>
              <w:top w:w="80" w:type="dxa"/>
              <w:start w:w="100" w:type="dxa"/>
              <w:bottom w:w="80" w:type="dxa"/>
              <w:end w:w="100" w:type="dxa"/>
            </w:tcMar>
            <w:vAlign w:val="center"/>
          </w:tcPr>
          <w:p>
            <w:pPr>
              <w:spacing w:after="0" w:line="240" w:lineRule="auto"/>
              <w:jc w:val="left"/>
            </w:pPr>
            <w:r>
              <w:rPr>
                <w:rFonts w:ascii="Calibri" w:hAnsi="Calibri"/>
                <w:color w:val="1E293B"/>
                <w:sz w:val="17"/>
              </w:rPr>
              <w:t>data/raw/bank-full.csv</w:t>
            </w:r>
          </w:p>
        </w:tc>
        <w:tc>
          <w:tcPr>
            <w:tcW w:type="dxa" w:w="2592"/>
            <w:tcMar>
              <w:top w:w="80" w:type="dxa"/>
              <w:start w:w="100" w:type="dxa"/>
              <w:bottom w:w="80" w:type="dxa"/>
              <w:end w:w="100" w:type="dxa"/>
            </w:tcMar>
            <w:vAlign w:val="center"/>
          </w:tcPr>
          <w:p>
            <w:pPr>
              <w:spacing w:after="0" w:line="240" w:lineRule="auto"/>
              <w:jc w:val="left"/>
            </w:pPr>
            <w:r>
              <w:rPr>
                <w:rFonts w:ascii="Calibri" w:hAnsi="Calibri"/>
                <w:color w:val="1E293B"/>
                <w:sz w:val="17"/>
              </w:rPr>
              <w:t>Raw UCI source</w:t>
            </w:r>
          </w:p>
        </w:tc>
      </w:tr>
      <w:tr>
        <w:tc>
          <w:tcPr>
            <w:tcW w:type="dxa" w:w="1440"/>
            <w:tcMar>
              <w:top w:w="80" w:type="dxa"/>
              <w:start w:w="100" w:type="dxa"/>
              <w:bottom w:w="80" w:type="dxa"/>
              <w:end w:w="100" w:type="dxa"/>
            </w:tcMar>
            <w:vAlign w:val="center"/>
            <w:shd w:fill="F8FAFC"/>
          </w:tcPr>
          <w:p>
            <w:pPr>
              <w:spacing w:after="0" w:line="240" w:lineRule="auto"/>
              <w:jc w:val="left"/>
            </w:pPr>
            <w:r>
              <w:rPr>
                <w:rFonts w:ascii="Calibri" w:hAnsi="Calibri"/>
                <w:color w:val="1E293B"/>
                <w:sz w:val="17"/>
              </w:rPr>
              <w:t>Standardize</w:t>
            </w:r>
          </w:p>
        </w:tc>
        <w:tc>
          <w:tcPr>
            <w:tcW w:type="dxa" w:w="4320"/>
            <w:tcMar>
              <w:top w:w="80" w:type="dxa"/>
              <w:start w:w="100" w:type="dxa"/>
              <w:bottom w:w="80" w:type="dxa"/>
              <w:end w:w="100" w:type="dxa"/>
            </w:tcMar>
            <w:vAlign w:val="center"/>
            <w:shd w:fill="F8FAFC"/>
          </w:tcPr>
          <w:p>
            <w:pPr>
              <w:spacing w:after="0" w:line="240" w:lineRule="auto"/>
              <w:jc w:val="left"/>
            </w:pPr>
            <w:r>
              <w:rPr>
                <w:rFonts w:ascii="Calibri" w:hAnsi="Calibri"/>
                <w:color w:val="1E293B"/>
                <w:sz w:val="17"/>
              </w:rPr>
              <w:t>Lowercase / snake_case / strip spaces</w:t>
            </w:r>
          </w:p>
        </w:tc>
        <w:tc>
          <w:tcPr>
            <w:tcW w:type="dxa" w:w="2592"/>
            <w:tcMar>
              <w:top w:w="80" w:type="dxa"/>
              <w:start w:w="100" w:type="dxa"/>
              <w:bottom w:w="80" w:type="dxa"/>
              <w:end w:w="100" w:type="dxa"/>
            </w:tcMar>
            <w:vAlign w:val="center"/>
            <w:shd w:fill="F8FAFC"/>
          </w:tcPr>
          <w:p>
            <w:pPr>
              <w:spacing w:after="0" w:line="240" w:lineRule="auto"/>
              <w:jc w:val="left"/>
            </w:pPr>
            <w:r>
              <w:rPr>
                <w:rFonts w:ascii="Calibri" w:hAnsi="Calibri"/>
                <w:color w:val="1E293B"/>
                <w:sz w:val="17"/>
              </w:rPr>
              <w:t>Consistent joins and filtering</w:t>
            </w:r>
          </w:p>
        </w:tc>
      </w:tr>
      <w:tr>
        <w:tc>
          <w:tcPr>
            <w:tcW w:type="dxa" w:w="1440"/>
            <w:tcMar>
              <w:top w:w="80" w:type="dxa"/>
              <w:start w:w="100" w:type="dxa"/>
              <w:bottom w:w="80" w:type="dxa"/>
              <w:end w:w="100" w:type="dxa"/>
            </w:tcMar>
            <w:vAlign w:val="center"/>
          </w:tcPr>
          <w:p>
            <w:pPr>
              <w:spacing w:after="0" w:line="240" w:lineRule="auto"/>
              <w:jc w:val="left"/>
            </w:pPr>
            <w:r>
              <w:rPr>
                <w:rFonts w:ascii="Calibri" w:hAnsi="Calibri"/>
                <w:color w:val="1E293B"/>
                <w:sz w:val="17"/>
              </w:rPr>
              <w:t>Derive</w:t>
            </w:r>
          </w:p>
        </w:tc>
        <w:tc>
          <w:tcPr>
            <w:tcW w:type="dxa" w:w="4320"/>
            <w:tcMar>
              <w:top w:w="80" w:type="dxa"/>
              <w:start w:w="100" w:type="dxa"/>
              <w:bottom w:w="80" w:type="dxa"/>
              <w:end w:w="100" w:type="dxa"/>
            </w:tcMar>
            <w:vAlign w:val="center"/>
          </w:tcPr>
          <w:p>
            <w:pPr>
              <w:spacing w:after="0" w:line="240" w:lineRule="auto"/>
              <w:jc w:val="left"/>
            </w:pPr>
            <w:r>
              <w:rPr>
                <w:rFonts w:ascii="Calibri" w:hAnsi="Calibri"/>
                <w:color w:val="1E293B"/>
                <w:sz w:val="17"/>
              </w:rPr>
              <w:t>age_group, balance_band, campaign_band, etc.</w:t>
            </w:r>
          </w:p>
        </w:tc>
        <w:tc>
          <w:tcPr>
            <w:tcW w:type="dxa" w:w="2592"/>
            <w:tcMar>
              <w:top w:w="80" w:type="dxa"/>
              <w:start w:w="100" w:type="dxa"/>
              <w:bottom w:w="80" w:type="dxa"/>
              <w:end w:w="100" w:type="dxa"/>
            </w:tcMar>
            <w:vAlign w:val="center"/>
          </w:tcPr>
          <w:p>
            <w:pPr>
              <w:spacing w:after="0" w:line="240" w:lineRule="auto"/>
              <w:jc w:val="left"/>
            </w:pPr>
            <w:r>
              <w:rPr>
                <w:rFonts w:ascii="Calibri" w:hAnsi="Calibri"/>
                <w:color w:val="1E293B"/>
                <w:sz w:val="17"/>
              </w:rPr>
              <w:t>Business segmentation</w:t>
            </w:r>
          </w:p>
        </w:tc>
      </w:tr>
      <w:tr>
        <w:tc>
          <w:tcPr>
            <w:tcW w:type="dxa" w:w="1440"/>
            <w:tcMar>
              <w:top w:w="80" w:type="dxa"/>
              <w:start w:w="100" w:type="dxa"/>
              <w:bottom w:w="80" w:type="dxa"/>
              <w:end w:w="100" w:type="dxa"/>
            </w:tcMar>
            <w:vAlign w:val="center"/>
            <w:shd w:fill="F8FAFC"/>
          </w:tcPr>
          <w:p>
            <w:pPr>
              <w:spacing w:after="0" w:line="240" w:lineRule="auto"/>
              <w:jc w:val="left"/>
            </w:pPr>
            <w:r>
              <w:rPr>
                <w:rFonts w:ascii="Calibri" w:hAnsi="Calibri"/>
                <w:color w:val="1E293B"/>
                <w:sz w:val="17"/>
              </w:rPr>
              <w:t>Validate</w:t>
            </w:r>
          </w:p>
        </w:tc>
        <w:tc>
          <w:tcPr>
            <w:tcW w:type="dxa" w:w="4320"/>
            <w:tcMar>
              <w:top w:w="80" w:type="dxa"/>
              <w:start w:w="100" w:type="dxa"/>
              <w:bottom w:w="80" w:type="dxa"/>
              <w:end w:w="100" w:type="dxa"/>
            </w:tcMar>
            <w:vAlign w:val="center"/>
            <w:shd w:fill="F8FAFC"/>
          </w:tcPr>
          <w:p>
            <w:pPr>
              <w:spacing w:after="0" w:line="240" w:lineRule="auto"/>
              <w:jc w:val="left"/>
            </w:pPr>
            <w:r>
              <w:rPr>
                <w:rFonts w:ascii="Calibri" w:hAnsi="Calibri"/>
                <w:color w:val="1E293B"/>
                <w:sz w:val="17"/>
              </w:rPr>
              <w:t>Required columns and yes/no target values</w:t>
            </w:r>
          </w:p>
        </w:tc>
        <w:tc>
          <w:tcPr>
            <w:tcW w:type="dxa" w:w="2592"/>
            <w:tcMar>
              <w:top w:w="80" w:type="dxa"/>
              <w:start w:w="100" w:type="dxa"/>
              <w:bottom w:w="80" w:type="dxa"/>
              <w:end w:w="100" w:type="dxa"/>
            </w:tcMar>
            <w:vAlign w:val="center"/>
            <w:shd w:fill="F8FAFC"/>
          </w:tcPr>
          <w:p>
            <w:pPr>
              <w:spacing w:after="0" w:line="240" w:lineRule="auto"/>
              <w:jc w:val="left"/>
            </w:pPr>
            <w:r>
              <w:rPr>
                <w:rFonts w:ascii="Calibri" w:hAnsi="Calibri"/>
                <w:color w:val="1E293B"/>
                <w:sz w:val="17"/>
              </w:rPr>
              <w:t>Data quality control</w:t>
            </w:r>
          </w:p>
        </w:tc>
      </w:tr>
      <w:tr>
        <w:tc>
          <w:tcPr>
            <w:tcW w:type="dxa" w:w="1440"/>
            <w:tcMar>
              <w:top w:w="80" w:type="dxa"/>
              <w:start w:w="100" w:type="dxa"/>
              <w:bottom w:w="80" w:type="dxa"/>
              <w:end w:w="100" w:type="dxa"/>
            </w:tcMar>
            <w:vAlign w:val="center"/>
          </w:tcPr>
          <w:p>
            <w:pPr>
              <w:spacing w:after="0" w:line="240" w:lineRule="auto"/>
              <w:jc w:val="left"/>
            </w:pPr>
            <w:r>
              <w:rPr>
                <w:rFonts w:ascii="Calibri" w:hAnsi="Calibri"/>
                <w:color w:val="1E293B"/>
                <w:sz w:val="17"/>
              </w:rPr>
              <w:t>Output</w:t>
            </w:r>
          </w:p>
        </w:tc>
        <w:tc>
          <w:tcPr>
            <w:tcW w:type="dxa" w:w="4320"/>
            <w:tcMar>
              <w:top w:w="80" w:type="dxa"/>
              <w:start w:w="100" w:type="dxa"/>
              <w:bottom w:w="80" w:type="dxa"/>
              <w:end w:w="100" w:type="dxa"/>
            </w:tcMar>
            <w:vAlign w:val="center"/>
          </w:tcPr>
          <w:p>
            <w:pPr>
              <w:spacing w:after="0" w:line="240" w:lineRule="auto"/>
              <w:jc w:val="left"/>
            </w:pPr>
            <w:r>
              <w:rPr>
                <w:rFonts w:ascii="Calibri" w:hAnsi="Calibri"/>
                <w:color w:val="1E293B"/>
                <w:sz w:val="17"/>
              </w:rPr>
              <w:t>cleaned_dataset.csv / Tableau-ready CSV</w:t>
            </w:r>
          </w:p>
        </w:tc>
        <w:tc>
          <w:tcPr>
            <w:tcW w:type="dxa" w:w="2592"/>
            <w:tcMar>
              <w:top w:w="80" w:type="dxa"/>
              <w:start w:w="100" w:type="dxa"/>
              <w:bottom w:w="80" w:type="dxa"/>
              <w:end w:w="100" w:type="dxa"/>
            </w:tcMar>
            <w:vAlign w:val="center"/>
          </w:tcPr>
          <w:p>
            <w:pPr>
              <w:spacing w:after="0" w:line="240" w:lineRule="auto"/>
              <w:jc w:val="left"/>
            </w:pPr>
            <w:r>
              <w:rPr>
                <w:rFonts w:ascii="Calibri" w:hAnsi="Calibri"/>
                <w:color w:val="1E293B"/>
                <w:sz w:val="17"/>
              </w:rPr>
              <w:t>Analysis and dashboard consumption</w:t>
            </w:r>
          </w:p>
        </w:tc>
      </w:tr>
    </w:tbl>
    <w:p>
      <w:r>
        <w:br w:type="page"/>
      </w:r>
    </w:p>
    <w:p>
      <w:pPr>
        <w:spacing w:before="120" w:after="40"/>
      </w:pPr>
      <w:r>
        <w:rPr>
          <w:rFonts w:ascii="Calibri" w:hAnsi="Calibri"/>
          <w:b/>
          <w:color w:val="0F172A"/>
          <w:sz w:val="32"/>
        </w:rPr>
        <w:t>5. KPI and Metric Framework</w:t>
      </w:r>
    </w:p>
    <w:p>
      <w:pPr>
        <w:spacing w:after="160"/>
      </w:pPr>
      <w:r>
        <w:rPr>
          <w:rFonts w:ascii="Calibri" w:hAnsi="Calibri"/>
          <w:color w:val="64748B"/>
          <w:sz w:val="21"/>
        </w:rPr>
        <w:t>Metrics used to judge conversion, targeting quality, and financial context</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2556"/>
        <w:gridCol w:w="2556"/>
        <w:gridCol w:w="2556"/>
        <w:gridCol w:w="2556"/>
      </w:tblGrid>
      <w:tr>
        <w:tc>
          <w:tcPr>
            <w:tcW w:type="dxa" w:w="2160"/>
            <w:tcMar>
              <w:top w:w="80" w:type="dxa"/>
              <w:start w:w="100" w:type="dxa"/>
              <w:bottom w:w="80" w:type="dxa"/>
              <w:end w:w="100" w:type="dxa"/>
            </w:tcMar>
            <w:shd w:fill="0F172A"/>
            <w:vAlign w:val="center"/>
          </w:tcPr>
          <w:p>
            <w:pPr>
              <w:jc w:val="center"/>
            </w:pPr>
            <w:r>
              <w:rPr>
                <w:rFonts w:ascii="Calibri" w:hAnsi="Calibri"/>
                <w:b/>
                <w:color w:val="FFFFFF"/>
                <w:sz w:val="16"/>
              </w:rPr>
              <w:t>KPI</w:t>
            </w:r>
          </w:p>
        </w:tc>
        <w:tc>
          <w:tcPr>
            <w:tcW w:type="dxa" w:w="1584"/>
            <w:tcMar>
              <w:top w:w="80" w:type="dxa"/>
              <w:start w:w="100" w:type="dxa"/>
              <w:bottom w:w="80" w:type="dxa"/>
              <w:end w:w="100" w:type="dxa"/>
            </w:tcMar>
            <w:shd w:fill="0F172A"/>
            <w:vAlign w:val="center"/>
          </w:tcPr>
          <w:p>
            <w:pPr>
              <w:jc w:val="center"/>
            </w:pPr>
            <w:r>
              <w:rPr>
                <w:rFonts w:ascii="Calibri" w:hAnsi="Calibri"/>
                <w:b/>
                <w:color w:val="FFFFFF"/>
                <w:sz w:val="16"/>
              </w:rPr>
              <w:t>Current value</w:t>
            </w:r>
          </w:p>
        </w:tc>
        <w:tc>
          <w:tcPr>
            <w:tcW w:type="dxa" w:w="2880"/>
            <w:tcMar>
              <w:top w:w="80" w:type="dxa"/>
              <w:start w:w="100" w:type="dxa"/>
              <w:bottom w:w="80" w:type="dxa"/>
              <w:end w:w="100" w:type="dxa"/>
            </w:tcMar>
            <w:shd w:fill="0F172A"/>
            <w:vAlign w:val="center"/>
          </w:tcPr>
          <w:p>
            <w:pPr>
              <w:jc w:val="center"/>
            </w:pPr>
            <w:r>
              <w:rPr>
                <w:rFonts w:ascii="Calibri" w:hAnsi="Calibri"/>
                <w:b/>
                <w:color w:val="FFFFFF"/>
                <w:sz w:val="16"/>
              </w:rPr>
              <w:t>Definition</w:t>
            </w:r>
          </w:p>
        </w:tc>
        <w:tc>
          <w:tcPr>
            <w:tcW w:type="dxa" w:w="2160"/>
            <w:tcMar>
              <w:top w:w="80" w:type="dxa"/>
              <w:start w:w="100" w:type="dxa"/>
              <w:bottom w:w="80" w:type="dxa"/>
              <w:end w:w="100" w:type="dxa"/>
            </w:tcMar>
            <w:shd w:fill="0F172A"/>
            <w:vAlign w:val="center"/>
          </w:tcPr>
          <w:p>
            <w:pPr>
              <w:jc w:val="center"/>
            </w:pPr>
            <w:r>
              <w:rPr>
                <w:rFonts w:ascii="Calibri" w:hAnsi="Calibri"/>
                <w:b/>
                <w:color w:val="FFFFFF"/>
                <w:sz w:val="16"/>
              </w:rPr>
              <w:t>Business meaning</w:t>
            </w:r>
          </w:p>
        </w:tc>
      </w:tr>
      <w:tr>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Subscription rate</w:t>
            </w:r>
          </w:p>
        </w:tc>
        <w:tc>
          <w:tcPr>
            <w:tcW w:type="dxa" w:w="1584"/>
            <w:tcMar>
              <w:top w:w="80" w:type="dxa"/>
              <w:start w:w="100" w:type="dxa"/>
              <w:bottom w:w="80" w:type="dxa"/>
              <w:end w:w="100" w:type="dxa"/>
            </w:tcMar>
            <w:vAlign w:val="center"/>
          </w:tcPr>
          <w:p>
            <w:pPr>
              <w:spacing w:after="0" w:line="240" w:lineRule="auto"/>
              <w:jc w:val="center"/>
            </w:pPr>
            <w:r>
              <w:rPr>
                <w:rFonts w:ascii="Calibri" w:hAnsi="Calibri"/>
                <w:color w:val="1E293B"/>
                <w:sz w:val="16"/>
              </w:rPr>
              <w:t>11.70%</w:t>
            </w:r>
          </w:p>
        </w:tc>
        <w:tc>
          <w:tcPr>
            <w:tcW w:type="dxa" w:w="2880"/>
            <w:tcMar>
              <w:top w:w="80" w:type="dxa"/>
              <w:start w:w="100" w:type="dxa"/>
              <w:bottom w:w="80" w:type="dxa"/>
              <w:end w:w="100" w:type="dxa"/>
            </w:tcMar>
            <w:vAlign w:val="center"/>
          </w:tcPr>
          <w:p>
            <w:pPr>
              <w:spacing w:after="0" w:line="240" w:lineRule="auto"/>
              <w:jc w:val="left"/>
            </w:pPr>
            <w:r>
              <w:rPr>
                <w:rFonts w:ascii="Calibri" w:hAnsi="Calibri"/>
                <w:color w:val="1E293B"/>
                <w:sz w:val="16"/>
              </w:rPr>
              <w:t>Subscribers / total contacts</w:t>
            </w:r>
          </w:p>
        </w:tc>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North-star conversion metric</w:t>
            </w:r>
          </w:p>
        </w:tc>
      </w:tr>
      <w:tr>
        <w:tc>
          <w:tcPr>
            <w:tcW w:type="dxa" w:w="216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Total subscriptions</w:t>
            </w:r>
          </w:p>
        </w:tc>
        <w:tc>
          <w:tcPr>
            <w:tcW w:type="dxa" w:w="1584"/>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5,289</w:t>
            </w:r>
          </w:p>
        </w:tc>
        <w:tc>
          <w:tcPr>
            <w:tcW w:type="dxa" w:w="288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Count of y = 1 records</w:t>
            </w:r>
          </w:p>
        </w:tc>
        <w:tc>
          <w:tcPr>
            <w:tcW w:type="dxa" w:w="216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Absolute campaign success</w:t>
            </w:r>
          </w:p>
        </w:tc>
      </w:tr>
      <w:tr>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Avg. contacts / client</w:t>
            </w:r>
          </w:p>
        </w:tc>
        <w:tc>
          <w:tcPr>
            <w:tcW w:type="dxa" w:w="1584"/>
            <w:tcMar>
              <w:top w:w="80" w:type="dxa"/>
              <w:start w:w="100" w:type="dxa"/>
              <w:bottom w:w="80" w:type="dxa"/>
              <w:end w:w="100" w:type="dxa"/>
            </w:tcMar>
            <w:vAlign w:val="center"/>
          </w:tcPr>
          <w:p>
            <w:pPr>
              <w:spacing w:after="0" w:line="240" w:lineRule="auto"/>
              <w:jc w:val="center"/>
            </w:pPr>
            <w:r>
              <w:rPr>
                <w:rFonts w:ascii="Calibri" w:hAnsi="Calibri"/>
                <w:color w:val="1E293B"/>
                <w:sz w:val="16"/>
              </w:rPr>
              <w:t>2.76</w:t>
            </w:r>
          </w:p>
        </w:tc>
        <w:tc>
          <w:tcPr>
            <w:tcW w:type="dxa" w:w="2880"/>
            <w:tcMar>
              <w:top w:w="80" w:type="dxa"/>
              <w:start w:w="100" w:type="dxa"/>
              <w:bottom w:w="80" w:type="dxa"/>
              <w:end w:w="100" w:type="dxa"/>
            </w:tcMar>
            <w:vAlign w:val="center"/>
          </w:tcPr>
          <w:p>
            <w:pPr>
              <w:spacing w:after="0" w:line="240" w:lineRule="auto"/>
              <w:jc w:val="left"/>
            </w:pPr>
            <w:r>
              <w:rPr>
                <w:rFonts w:ascii="Calibri" w:hAnsi="Calibri"/>
                <w:color w:val="1E293B"/>
                <w:sz w:val="16"/>
              </w:rPr>
              <w:t>Mean campaign touch count</w:t>
            </w:r>
          </w:p>
        </w:tc>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Effort intensity</w:t>
            </w:r>
          </w:p>
        </w:tc>
      </w:tr>
      <w:tr>
        <w:tc>
          <w:tcPr>
            <w:tcW w:type="dxa" w:w="216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Previously contacted share</w:t>
            </w:r>
          </w:p>
        </w:tc>
        <w:tc>
          <w:tcPr>
            <w:tcW w:type="dxa" w:w="1584"/>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18.26%</w:t>
            </w:r>
          </w:p>
        </w:tc>
        <w:tc>
          <w:tcPr>
            <w:tcW w:type="dxa" w:w="288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previously_contacted = 1</w:t>
            </w:r>
          </w:p>
        </w:tc>
        <w:tc>
          <w:tcPr>
            <w:tcW w:type="dxa" w:w="216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Warm-lead prevalence</w:t>
            </w:r>
          </w:p>
        </w:tc>
      </w:tr>
      <w:tr>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Avg. yearly balance</w:t>
            </w:r>
          </w:p>
        </w:tc>
        <w:tc>
          <w:tcPr>
            <w:tcW w:type="dxa" w:w="1584"/>
            <w:tcMar>
              <w:top w:w="80" w:type="dxa"/>
              <w:start w:w="100" w:type="dxa"/>
              <w:bottom w:w="80" w:type="dxa"/>
              <w:end w:w="100" w:type="dxa"/>
            </w:tcMar>
            <w:vAlign w:val="center"/>
          </w:tcPr>
          <w:p>
            <w:pPr>
              <w:spacing w:after="0" w:line="240" w:lineRule="auto"/>
              <w:jc w:val="center"/>
            </w:pPr>
            <w:r>
              <w:rPr>
                <w:rFonts w:ascii="Calibri" w:hAnsi="Calibri"/>
                <w:color w:val="1E293B"/>
                <w:sz w:val="16"/>
              </w:rPr>
              <w:t>€1,362</w:t>
            </w:r>
          </w:p>
        </w:tc>
        <w:tc>
          <w:tcPr>
            <w:tcW w:type="dxa" w:w="2880"/>
            <w:tcMar>
              <w:top w:w="80" w:type="dxa"/>
              <w:start w:w="100" w:type="dxa"/>
              <w:bottom w:w="80" w:type="dxa"/>
              <w:end w:w="100" w:type="dxa"/>
            </w:tcMar>
            <w:vAlign w:val="center"/>
          </w:tcPr>
          <w:p>
            <w:pPr>
              <w:spacing w:after="0" w:line="240" w:lineRule="auto"/>
              <w:jc w:val="left"/>
            </w:pPr>
            <w:r>
              <w:rPr>
                <w:rFonts w:ascii="Calibri" w:hAnsi="Calibri"/>
                <w:color w:val="1E293B"/>
                <w:sz w:val="16"/>
              </w:rPr>
              <w:t>Mean balance across all clients</w:t>
            </w:r>
          </w:p>
        </w:tc>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Financial capability</w:t>
            </w:r>
          </w:p>
        </w:tc>
      </w:tr>
      <w:tr>
        <w:tc>
          <w:tcPr>
            <w:tcW w:type="dxa" w:w="216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Default rate</w:t>
            </w:r>
          </w:p>
        </w:tc>
        <w:tc>
          <w:tcPr>
            <w:tcW w:type="dxa" w:w="1584"/>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1.80%</w:t>
            </w:r>
          </w:p>
        </w:tc>
        <w:tc>
          <w:tcPr>
            <w:tcW w:type="dxa" w:w="288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Clients with default = yes</w:t>
            </w:r>
          </w:p>
        </w:tc>
        <w:tc>
          <w:tcPr>
            <w:tcW w:type="dxa" w:w="2160"/>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Credit risk context</w:t>
            </w:r>
          </w:p>
        </w:tc>
      </w:tr>
      <w:tr>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Loan rate</w:t>
            </w:r>
          </w:p>
        </w:tc>
        <w:tc>
          <w:tcPr>
            <w:tcW w:type="dxa" w:w="1584"/>
            <w:tcMar>
              <w:top w:w="80" w:type="dxa"/>
              <w:start w:w="100" w:type="dxa"/>
              <w:bottom w:w="80" w:type="dxa"/>
              <w:end w:w="100" w:type="dxa"/>
            </w:tcMar>
            <w:vAlign w:val="center"/>
          </w:tcPr>
          <w:p>
            <w:pPr>
              <w:spacing w:after="0" w:line="240" w:lineRule="auto"/>
              <w:jc w:val="center"/>
            </w:pPr>
            <w:r>
              <w:rPr>
                <w:rFonts w:ascii="Calibri" w:hAnsi="Calibri"/>
                <w:color w:val="1E293B"/>
                <w:sz w:val="16"/>
              </w:rPr>
              <w:t>16.02%</w:t>
            </w:r>
          </w:p>
        </w:tc>
        <w:tc>
          <w:tcPr>
            <w:tcW w:type="dxa" w:w="2880"/>
            <w:tcMar>
              <w:top w:w="80" w:type="dxa"/>
              <w:start w:w="100" w:type="dxa"/>
              <w:bottom w:w="80" w:type="dxa"/>
              <w:end w:w="100" w:type="dxa"/>
            </w:tcMar>
            <w:vAlign w:val="center"/>
          </w:tcPr>
          <w:p>
            <w:pPr>
              <w:spacing w:after="0" w:line="240" w:lineRule="auto"/>
              <w:jc w:val="left"/>
            </w:pPr>
            <w:r>
              <w:rPr>
                <w:rFonts w:ascii="Calibri" w:hAnsi="Calibri"/>
                <w:color w:val="1E293B"/>
                <w:sz w:val="16"/>
              </w:rPr>
              <w:t>Clients with loan = yes</w:t>
            </w:r>
          </w:p>
        </w:tc>
        <w:tc>
          <w:tcPr>
            <w:tcW w:type="dxa" w:w="2160"/>
            <w:tcMar>
              <w:top w:w="80" w:type="dxa"/>
              <w:start w:w="100" w:type="dxa"/>
              <w:bottom w:w="80" w:type="dxa"/>
              <w:end w:w="100" w:type="dxa"/>
            </w:tcMar>
            <w:vAlign w:val="center"/>
          </w:tcPr>
          <w:p>
            <w:pPr>
              <w:spacing w:after="0" w:line="240" w:lineRule="auto"/>
              <w:jc w:val="left"/>
            </w:pPr>
            <w:r>
              <w:rPr>
                <w:rFonts w:ascii="Calibri" w:hAnsi="Calibri"/>
                <w:color w:val="1E293B"/>
                <w:sz w:val="16"/>
              </w:rPr>
              <w:t>Debt burden context</w:t>
            </w:r>
          </w:p>
        </w:tc>
      </w:tr>
    </w:tbl>
    <w:p>
      <w:pPr>
        <w:spacing w:after="120" w:line="276" w:lineRule="auto"/>
      </w:pPr>
      <w:r>
        <w:rPr>
          <w:rFonts w:ascii="Calibri" w:hAnsi="Calibri"/>
          <w:b w:val="0"/>
          <w:i w:val="0"/>
          <w:sz w:val="21"/>
        </w:rPr>
        <w:t>For campaign management, the most useful pairings are subscription rate versus contact intensity, and subscription rate versus prior contact history. These pairs reveal where the bank is gaining conversion and where it is wasting touches.</w:t>
      </w:r>
    </w:p>
    <w:p>
      <w:r>
        <w:br w:type="page"/>
      </w:r>
    </w:p>
    <w:p>
      <w:pPr>
        <w:spacing w:before="120" w:after="40"/>
      </w:pPr>
      <w:r>
        <w:rPr>
          <w:rFonts w:ascii="Calibri" w:hAnsi="Calibri"/>
          <w:b/>
          <w:color w:val="0F172A"/>
          <w:sz w:val="32"/>
        </w:rPr>
        <w:t>6. Exploratory Data Analysis</w:t>
      </w:r>
    </w:p>
    <w:p>
      <w:pPr>
        <w:spacing w:after="160"/>
      </w:pPr>
      <w:r>
        <w:rPr>
          <w:rFonts w:ascii="Calibri" w:hAnsi="Calibri"/>
          <w:color w:val="64748B"/>
          <w:sz w:val="21"/>
        </w:rPr>
        <w:t>Visual patterns that shape segmentation and targeting</w:t>
      </w:r>
    </w:p>
    <w:p>
      <w:pPr>
        <w:spacing w:after="120" w:line="276" w:lineRule="auto"/>
      </w:pPr>
      <w:r>
        <w:rPr>
          <w:rFonts w:ascii="Calibri" w:hAnsi="Calibri"/>
          <w:b w:val="0"/>
          <w:i w:val="0"/>
          <w:sz w:val="21"/>
        </w:rPr>
        <w:t>The EDA shows that subscription likelihood is not uniform. Certain customer groups respond materially better, and some outreach patterns are clearly inefficient.</w:t>
      </w:r>
    </w:p>
    <w:p>
      <w:pPr>
        <w:spacing w:after="40"/>
        <w:jc w:val="center"/>
      </w:pPr>
      <w:r>
        <w:drawing>
          <wp:inline xmlns:a="http://schemas.openxmlformats.org/drawingml/2006/main" xmlns:pic="http://schemas.openxmlformats.org/drawingml/2006/picture">
            <wp:extent cx="6126480" cy="3137953"/>
            <wp:docPr id="1" name="Picture 1"/>
            <wp:cNvGraphicFramePr>
              <a:graphicFrameLocks noChangeAspect="1"/>
            </wp:cNvGraphicFramePr>
            <a:graphic>
              <a:graphicData uri="http://schemas.openxmlformats.org/drawingml/2006/picture">
                <pic:pic>
                  <pic:nvPicPr>
                    <pic:cNvPr id="0" name="job_conversion.png"/>
                    <pic:cNvPicPr/>
                  </pic:nvPicPr>
                  <pic:blipFill>
                    <a:blip r:embed="rId10"/>
                    <a:stretch>
                      <a:fillRect/>
                    </a:stretch>
                  </pic:blipFill>
                  <pic:spPr>
                    <a:xfrm>
                      <a:off x="0" y="0"/>
                      <a:ext cx="6126480" cy="3137953"/>
                    </a:xfrm>
                    <a:prstGeom prst="rect"/>
                  </pic:spPr>
                </pic:pic>
              </a:graphicData>
            </a:graphic>
          </wp:inline>
        </w:drawing>
      </w:r>
    </w:p>
    <w:p>
      <w:pPr>
        <w:jc w:val="center"/>
      </w:pPr>
      <w:r>
        <w:rPr>
          <w:i/>
          <w:color w:val="64748B"/>
          <w:sz w:val="17"/>
        </w:rPr>
        <w:t>Figure 1. Conversion rate by job category.</w:t>
      </w:r>
    </w:p>
    <w:p>
      <w:pPr>
        <w:spacing w:after="120" w:line="276" w:lineRule="auto"/>
      </w:pPr>
      <w:r>
        <w:rPr>
          <w:rFonts w:ascii="Calibri" w:hAnsi="Calibri"/>
          <w:b w:val="0"/>
          <w:i w:val="0"/>
          <w:sz w:val="21"/>
        </w:rPr>
        <w:t>Students and retirees lead the conversion table, while blue-collar, entrepreneur, and housemaid segments sit near the bottom. That makes occupation a practical prioritization filter rather than a descriptive label.</w:t>
      </w:r>
    </w:p>
    <w:p>
      <w:pPr>
        <w:spacing w:after="40"/>
        <w:jc w:val="center"/>
      </w:pPr>
      <w:r>
        <w:drawing>
          <wp:inline xmlns:a="http://schemas.openxmlformats.org/drawingml/2006/main" xmlns:pic="http://schemas.openxmlformats.org/drawingml/2006/picture">
            <wp:extent cx="6126480" cy="3137953"/>
            <wp:docPr id="2" name="Picture 2"/>
            <wp:cNvGraphicFramePr>
              <a:graphicFrameLocks noChangeAspect="1"/>
            </wp:cNvGraphicFramePr>
            <a:graphic>
              <a:graphicData uri="http://schemas.openxmlformats.org/drawingml/2006/picture">
                <pic:pic>
                  <pic:nvPicPr>
                    <pic:cNvPr id="0" name="month_conversion.png"/>
                    <pic:cNvPicPr/>
                  </pic:nvPicPr>
                  <pic:blipFill>
                    <a:blip r:embed="rId11"/>
                    <a:stretch>
                      <a:fillRect/>
                    </a:stretch>
                  </pic:blipFill>
                  <pic:spPr>
                    <a:xfrm>
                      <a:off x="0" y="0"/>
                      <a:ext cx="6126480" cy="3137953"/>
                    </a:xfrm>
                    <a:prstGeom prst="rect"/>
                  </pic:spPr>
                </pic:pic>
              </a:graphicData>
            </a:graphic>
          </wp:inline>
        </w:drawing>
      </w:r>
    </w:p>
    <w:p>
      <w:pPr>
        <w:jc w:val="center"/>
      </w:pPr>
      <w:r>
        <w:rPr>
          <w:i/>
          <w:color w:val="64748B"/>
          <w:sz w:val="17"/>
        </w:rPr>
        <w:t>Figure 2. Seasonality of conversion across months.</w:t>
      </w:r>
    </w:p>
    <w:p>
      <w:pPr>
        <w:spacing w:after="120" w:line="276" w:lineRule="auto"/>
      </w:pPr>
      <w:r>
        <w:rPr>
          <w:rFonts w:ascii="Calibri" w:hAnsi="Calibri"/>
          <w:b w:val="0"/>
          <w:i w:val="0"/>
          <w:sz w:val="21"/>
        </w:rPr>
        <w:t>Campaign response spikes in March, December, September, and October. Timing matters, so calendar windows should be treated as a campaign lever rather than an afterthought.</w:t>
      </w:r>
    </w:p>
    <w:p>
      <w:r>
        <w:br w:type="page"/>
      </w:r>
    </w:p>
    <w:p>
      <w:pPr>
        <w:spacing w:before="120" w:after="40"/>
      </w:pPr>
      <w:r>
        <w:rPr>
          <w:rFonts w:ascii="Calibri" w:hAnsi="Calibri"/>
          <w:b/>
          <w:color w:val="0F172A"/>
          <w:sz w:val="32"/>
        </w:rPr>
        <w:t>7. Statistical Analysis Results</w:t>
      </w:r>
    </w:p>
    <w:p>
      <w:pPr>
        <w:spacing w:after="160"/>
      </w:pPr>
      <w:r>
        <w:rPr>
          <w:rFonts w:ascii="Calibri" w:hAnsi="Calibri"/>
          <w:color w:val="64748B"/>
          <w:sz w:val="21"/>
        </w:rPr>
        <w:t>Association strength and decision relevance</w:t>
      </w:r>
    </w:p>
    <w:p>
      <w:pPr>
        <w:spacing w:after="120" w:line="276" w:lineRule="auto"/>
      </w:pPr>
      <w:r>
        <w:rPr>
          <w:rFonts w:ascii="Calibri" w:hAnsi="Calibri"/>
          <w:b w:val="0"/>
          <w:i w:val="0"/>
          <w:sz w:val="21"/>
        </w:rPr>
        <w:t>The goal of this section is not to produce a machine-learning model, but to quantify which variables are most strongly associated with the subscription outcome.</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2556"/>
        <w:gridCol w:w="2556"/>
        <w:gridCol w:w="2556"/>
        <w:gridCol w:w="2556"/>
      </w:tblGrid>
      <w:tr>
        <w:tc>
          <w:tcPr>
            <w:tcW w:type="dxa" w:w="2448"/>
            <w:tcMar>
              <w:top w:w="80" w:type="dxa"/>
              <w:start w:w="100" w:type="dxa"/>
              <w:bottom w:w="80" w:type="dxa"/>
              <w:end w:w="100" w:type="dxa"/>
            </w:tcMar>
            <w:shd w:fill="0F172A"/>
            <w:vAlign w:val="center"/>
          </w:tcPr>
          <w:p>
            <w:pPr>
              <w:jc w:val="center"/>
            </w:pPr>
            <w:r>
              <w:rPr>
                <w:rFonts w:ascii="Calibri" w:hAnsi="Calibri"/>
                <w:b/>
                <w:color w:val="FFFFFF"/>
                <w:sz w:val="16"/>
              </w:rPr>
              <w:t>Driver</w:t>
            </w:r>
          </w:p>
        </w:tc>
        <w:tc>
          <w:tcPr>
            <w:tcW w:type="dxa" w:w="1440"/>
            <w:tcMar>
              <w:top w:w="80" w:type="dxa"/>
              <w:start w:w="100" w:type="dxa"/>
              <w:bottom w:w="80" w:type="dxa"/>
              <w:end w:w="100" w:type="dxa"/>
            </w:tcMar>
            <w:shd w:fill="0F172A"/>
            <w:vAlign w:val="center"/>
          </w:tcPr>
          <w:p>
            <w:pPr>
              <w:jc w:val="center"/>
            </w:pPr>
            <w:r>
              <w:rPr>
                <w:rFonts w:ascii="Calibri" w:hAnsi="Calibri"/>
                <w:b/>
                <w:color w:val="FFFFFF"/>
                <w:sz w:val="16"/>
              </w:rPr>
              <w:t>Chi-square</w:t>
            </w:r>
          </w:p>
        </w:tc>
        <w:tc>
          <w:tcPr>
            <w:tcW w:type="dxa" w:w="1440"/>
            <w:tcMar>
              <w:top w:w="80" w:type="dxa"/>
              <w:start w:w="100" w:type="dxa"/>
              <w:bottom w:w="80" w:type="dxa"/>
              <w:end w:w="100" w:type="dxa"/>
            </w:tcMar>
            <w:shd w:fill="0F172A"/>
            <w:vAlign w:val="center"/>
          </w:tcPr>
          <w:p>
            <w:pPr>
              <w:jc w:val="center"/>
            </w:pPr>
            <w:r>
              <w:rPr>
                <w:rFonts w:ascii="Calibri" w:hAnsi="Calibri"/>
                <w:b/>
                <w:color w:val="FFFFFF"/>
                <w:sz w:val="16"/>
              </w:rPr>
              <w:t>Cramér's V</w:t>
            </w:r>
          </w:p>
        </w:tc>
        <w:tc>
          <w:tcPr>
            <w:tcW w:type="dxa" w:w="3888"/>
            <w:tcMar>
              <w:top w:w="80" w:type="dxa"/>
              <w:start w:w="100" w:type="dxa"/>
              <w:bottom w:w="80" w:type="dxa"/>
              <w:end w:w="100" w:type="dxa"/>
            </w:tcMar>
            <w:shd w:fill="0F172A"/>
            <w:vAlign w:val="center"/>
          </w:tcPr>
          <w:p>
            <w:pPr>
              <w:jc w:val="center"/>
            </w:pPr>
            <w:r>
              <w:rPr>
                <w:rFonts w:ascii="Calibri" w:hAnsi="Calibri"/>
                <w:b/>
                <w:color w:val="FFFFFF"/>
                <w:sz w:val="16"/>
              </w:rPr>
              <w:t>Interpretation</w:t>
            </w:r>
          </w:p>
        </w:tc>
      </w:tr>
      <w:tr>
        <w:tc>
          <w:tcPr>
            <w:tcW w:type="dxa" w:w="2448"/>
            <w:tcMar>
              <w:top w:w="80" w:type="dxa"/>
              <w:start w:w="100" w:type="dxa"/>
              <w:bottom w:w="80" w:type="dxa"/>
              <w:end w:w="100" w:type="dxa"/>
            </w:tcMar>
            <w:vAlign w:val="center"/>
          </w:tcPr>
          <w:p>
            <w:pPr>
              <w:spacing w:after="0" w:line="240" w:lineRule="auto"/>
              <w:jc w:val="left"/>
            </w:pPr>
            <w:r>
              <w:rPr>
                <w:rFonts w:ascii="Calibri" w:hAnsi="Calibri"/>
                <w:color w:val="1E293B"/>
                <w:sz w:val="16"/>
              </w:rPr>
              <w:t>poutcome</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4,391.5</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0.312</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Strongest relationship; prior success is highly informative.</w:t>
            </w:r>
          </w:p>
        </w:tc>
      </w:tr>
      <w:tr>
        <w:tc>
          <w:tcPr>
            <w:tcW w:type="dxa" w:w="244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previously_contacted</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1,264.9</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0.167</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Warm leads materially outperform cold leads.</w:t>
            </w:r>
          </w:p>
        </w:tc>
      </w:tr>
      <w:tr>
        <w:tc>
          <w:tcPr>
            <w:tcW w:type="dxa" w:w="2448"/>
            <w:tcMar>
              <w:top w:w="80" w:type="dxa"/>
              <w:start w:w="100" w:type="dxa"/>
              <w:bottom w:w="80" w:type="dxa"/>
              <w:end w:w="100" w:type="dxa"/>
            </w:tcMar>
            <w:vAlign w:val="center"/>
          </w:tcPr>
          <w:p>
            <w:pPr>
              <w:spacing w:after="0" w:line="240" w:lineRule="auto"/>
              <w:jc w:val="left"/>
            </w:pPr>
            <w:r>
              <w:rPr>
                <w:rFonts w:ascii="Calibri" w:hAnsi="Calibri"/>
                <w:color w:val="1E293B"/>
                <w:sz w:val="16"/>
              </w:rPr>
              <w:t>contact</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1,035.7</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0.151</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Cellular contact clearly outperforms telephone.</w:t>
            </w:r>
          </w:p>
        </w:tc>
      </w:tr>
      <w:tr>
        <w:tc>
          <w:tcPr>
            <w:tcW w:type="dxa" w:w="244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age_group</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1,008.8</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0.149</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Older bands convert materially better.</w:t>
            </w:r>
          </w:p>
        </w:tc>
      </w:tr>
      <w:tr>
        <w:tc>
          <w:tcPr>
            <w:tcW w:type="dxa" w:w="2448"/>
            <w:tcMar>
              <w:top w:w="80" w:type="dxa"/>
              <w:start w:w="100" w:type="dxa"/>
              <w:bottom w:w="80" w:type="dxa"/>
              <w:end w:w="100" w:type="dxa"/>
            </w:tcMar>
            <w:vAlign w:val="center"/>
          </w:tcPr>
          <w:p>
            <w:pPr>
              <w:spacing w:after="0" w:line="240" w:lineRule="auto"/>
              <w:jc w:val="left"/>
            </w:pPr>
            <w:r>
              <w:rPr>
                <w:rFonts w:ascii="Calibri" w:hAnsi="Calibri"/>
                <w:color w:val="1E293B"/>
                <w:sz w:val="16"/>
              </w:rPr>
              <w:t>job</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836.1</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0.136</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Occupation is a useful segmentation feature.</w:t>
            </w:r>
          </w:p>
        </w:tc>
      </w:tr>
      <w:tr>
        <w:tc>
          <w:tcPr>
            <w:tcW w:type="dxa" w:w="244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balance_band</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367.5</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0.090</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Higher balances align with better conversion.</w:t>
            </w:r>
          </w:p>
        </w:tc>
      </w:tr>
      <w:tr>
        <w:tc>
          <w:tcPr>
            <w:tcW w:type="dxa" w:w="2448"/>
            <w:tcMar>
              <w:top w:w="80" w:type="dxa"/>
              <w:start w:w="100" w:type="dxa"/>
              <w:bottom w:w="80" w:type="dxa"/>
              <w:end w:w="100" w:type="dxa"/>
            </w:tcMar>
            <w:vAlign w:val="center"/>
          </w:tcPr>
          <w:p>
            <w:pPr>
              <w:spacing w:after="0" w:line="240" w:lineRule="auto"/>
              <w:jc w:val="left"/>
            </w:pPr>
            <w:r>
              <w:rPr>
                <w:rFonts w:ascii="Calibri" w:hAnsi="Calibri"/>
                <w:color w:val="1E293B"/>
                <w:sz w:val="16"/>
              </w:rPr>
              <w:t>campaign_band</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341.6</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0.087</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Conversion decays as touches increase.</w:t>
            </w:r>
          </w:p>
        </w:tc>
      </w:tr>
      <w:tr>
        <w:tc>
          <w:tcPr>
            <w:tcW w:type="dxa" w:w="244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education</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238.9</w:t>
            </w:r>
          </w:p>
        </w:tc>
        <w:tc>
          <w:tcPr>
            <w:tcW w:type="dxa" w:w="1440"/>
            <w:tcMar>
              <w:top w:w="80" w:type="dxa"/>
              <w:start w:w="100" w:type="dxa"/>
              <w:bottom w:w="80" w:type="dxa"/>
              <w:end w:w="100" w:type="dxa"/>
            </w:tcMar>
            <w:vAlign w:val="center"/>
            <w:shd w:fill="F8FAFC"/>
          </w:tcPr>
          <w:p>
            <w:pPr>
              <w:spacing w:after="0" w:line="240" w:lineRule="auto"/>
              <w:jc w:val="center"/>
            </w:pPr>
            <w:r>
              <w:rPr>
                <w:rFonts w:ascii="Calibri" w:hAnsi="Calibri"/>
                <w:color w:val="1E293B"/>
                <w:sz w:val="16"/>
              </w:rPr>
              <w:t>0.073</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Education matters, but less than contact history.</w:t>
            </w:r>
          </w:p>
        </w:tc>
      </w:tr>
      <w:tr>
        <w:tc>
          <w:tcPr>
            <w:tcW w:type="dxa" w:w="2448"/>
            <w:tcMar>
              <w:top w:w="80" w:type="dxa"/>
              <w:start w:w="100" w:type="dxa"/>
              <w:bottom w:w="80" w:type="dxa"/>
              <w:end w:w="100" w:type="dxa"/>
            </w:tcMar>
            <w:vAlign w:val="center"/>
          </w:tcPr>
          <w:p>
            <w:pPr>
              <w:spacing w:after="0" w:line="240" w:lineRule="auto"/>
              <w:jc w:val="left"/>
            </w:pPr>
            <w:r>
              <w:rPr>
                <w:rFonts w:ascii="Calibri" w:hAnsi="Calibri"/>
                <w:color w:val="1E293B"/>
                <w:sz w:val="16"/>
              </w:rPr>
              <w:t>marital</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196.5</w:t>
            </w:r>
          </w:p>
        </w:tc>
        <w:tc>
          <w:tcPr>
            <w:tcW w:type="dxa" w:w="1440"/>
            <w:tcMar>
              <w:top w:w="80" w:type="dxa"/>
              <w:start w:w="100" w:type="dxa"/>
              <w:bottom w:w="80" w:type="dxa"/>
              <w:end w:w="100" w:type="dxa"/>
            </w:tcMar>
            <w:vAlign w:val="center"/>
          </w:tcPr>
          <w:p>
            <w:pPr>
              <w:spacing w:after="0" w:line="240" w:lineRule="auto"/>
              <w:jc w:val="center"/>
            </w:pPr>
            <w:r>
              <w:rPr>
                <w:rFonts w:ascii="Calibri" w:hAnsi="Calibri"/>
                <w:color w:val="1E293B"/>
                <w:sz w:val="16"/>
              </w:rPr>
              <w:t>0.066</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Useful as a secondary segmentation feature.</w:t>
            </w:r>
          </w:p>
        </w:tc>
      </w:tr>
    </w:tbl>
    <w:p>
      <w:pPr>
        <w:spacing w:after="120" w:line="276" w:lineRule="auto"/>
      </w:pPr>
      <w:r>
        <w:rPr>
          <w:rFonts w:ascii="Calibri" w:hAnsi="Calibri"/>
          <w:b w:val="0"/>
          <w:i w:val="0"/>
          <w:sz w:val="21"/>
        </w:rPr>
        <w:t>Key descriptive contrasts: subscribers have a higher average balance (€1,804) than non-subscribers (€1,304), and they receive fewer campaign touches on average (2.14 versus 2.85).</w:t>
      </w:r>
    </w:p>
    <w:p>
      <w:pPr>
        <w:spacing w:after="120" w:line="276" w:lineRule="auto"/>
      </w:pPr>
      <w:r>
        <w:rPr>
          <w:rFonts w:ascii="Calibri" w:hAnsi="Calibri"/>
          <w:b w:val="0"/>
          <w:i w:val="0"/>
          <w:sz w:val="21"/>
        </w:rPr>
        <w:t>Previously contacted clients convert at 23.07% versus 9.16% for clients with no prior contact, a lift of roughly 151.9%.</w:t>
      </w:r>
    </w:p>
    <w:p>
      <w:r>
        <w:br w:type="page"/>
      </w:r>
    </w:p>
    <w:p>
      <w:pPr>
        <w:spacing w:before="120" w:after="40"/>
      </w:pPr>
      <w:r>
        <w:rPr>
          <w:rFonts w:ascii="Calibri" w:hAnsi="Calibri"/>
          <w:b/>
          <w:color w:val="0F172A"/>
          <w:sz w:val="32"/>
        </w:rPr>
        <w:t>8. Dashboard Design</w:t>
      </w:r>
    </w:p>
    <w:p>
      <w:pPr>
        <w:spacing w:after="160"/>
      </w:pPr>
      <w:r>
        <w:rPr>
          <w:rFonts w:ascii="Calibri" w:hAnsi="Calibri"/>
          <w:color w:val="64748B"/>
          <w:sz w:val="21"/>
        </w:rPr>
        <w:t>Screenshots and what each view is meant to answer</w:t>
      </w:r>
    </w:p>
    <w:p>
      <w:pPr>
        <w:spacing w:after="120" w:line="276" w:lineRule="auto"/>
      </w:pPr>
      <w:r>
        <w:rPr>
          <w:rFonts w:ascii="Calibri" w:hAnsi="Calibri"/>
          <w:b w:val="0"/>
          <w:i w:val="0"/>
          <w:sz w:val="21"/>
        </w:rPr>
        <w:t>The workbook is intentionally split into an executive view and operational views so that leadership can read one story while campaign owners can drill into targeting rules.</w:t>
      </w:r>
    </w:p>
    <w:p>
      <w:pPr>
        <w:spacing w:after="40"/>
        <w:jc w:val="center"/>
      </w:pPr>
      <w:r>
        <w:drawing>
          <wp:inline xmlns:a="http://schemas.openxmlformats.org/drawingml/2006/main" xmlns:pic="http://schemas.openxmlformats.org/drawingml/2006/picture">
            <wp:extent cx="6217920" cy="4807321"/>
            <wp:docPr id="3" name="Picture 3"/>
            <wp:cNvGraphicFramePr>
              <a:graphicFrameLocks noChangeAspect="1"/>
            </wp:cNvGraphicFramePr>
            <a:graphic>
              <a:graphicData uri="http://schemas.openxmlformats.org/drawingml/2006/picture">
                <pic:pic>
                  <pic:nvPicPr>
                    <pic:cNvPr id="0" name="executive_view.png"/>
                    <pic:cNvPicPr/>
                  </pic:nvPicPr>
                  <pic:blipFill>
                    <a:blip r:embed="rId12"/>
                    <a:stretch>
                      <a:fillRect/>
                    </a:stretch>
                  </pic:blipFill>
                  <pic:spPr>
                    <a:xfrm>
                      <a:off x="0" y="0"/>
                      <a:ext cx="6217920" cy="4807321"/>
                    </a:xfrm>
                    <a:prstGeom prst="rect"/>
                  </pic:spPr>
                </pic:pic>
              </a:graphicData>
            </a:graphic>
          </wp:inline>
        </w:drawing>
      </w:r>
    </w:p>
    <w:p>
      <w:pPr>
        <w:jc w:val="center"/>
      </w:pPr>
      <w:r>
        <w:rPr>
          <w:i/>
          <w:color w:val="64748B"/>
          <w:sz w:val="17"/>
        </w:rPr>
        <w:t>Dashboard 1. Executive overview.</w:t>
      </w:r>
    </w:p>
    <w:p>
      <w:pPr>
        <w:pStyle w:val="ListBullet"/>
        <w:spacing w:after="40" w:line="269" w:lineRule="auto"/>
      </w:pPr>
      <w:r>
        <w:rPr>
          <w:rFonts w:ascii="Calibri" w:hAnsi="Calibri"/>
          <w:sz w:val="21"/>
        </w:rPr>
        <w:t>Shows headline KPIs, high-level segments, and balance distribution.</w:t>
      </w:r>
    </w:p>
    <w:p>
      <w:pPr>
        <w:pStyle w:val="ListBullet"/>
        <w:spacing w:after="40" w:line="269" w:lineRule="auto"/>
      </w:pPr>
      <w:r>
        <w:rPr>
          <w:rFonts w:ascii="Calibri" w:hAnsi="Calibri"/>
          <w:sz w:val="21"/>
        </w:rPr>
        <w:t>Best for leadership reporting and fast portfolio review.</w:t>
      </w:r>
    </w:p>
    <w:p>
      <w:pPr>
        <w:pStyle w:val="ListBullet"/>
        <w:spacing w:after="40" w:line="269" w:lineRule="auto"/>
      </w:pPr>
      <w:r>
        <w:rPr>
          <w:rFonts w:ascii="Calibri" w:hAnsi="Calibri"/>
          <w:sz w:val="21"/>
        </w:rPr>
        <w:t>Main filters: job, age group, education, marital status, balance band.</w:t>
      </w:r>
    </w:p>
    <w:p>
      <w:r>
        <w:br w:type="page"/>
      </w:r>
    </w:p>
    <w:p>
      <w:pPr>
        <w:spacing w:before="120" w:after="40"/>
      </w:pPr>
      <w:r>
        <w:rPr>
          <w:rFonts w:ascii="Calibri" w:hAnsi="Calibri"/>
          <w:b/>
          <w:color w:val="0F172A"/>
          <w:sz w:val="32"/>
        </w:rPr>
        <w:t>8. Dashboard Design (continued)</w:t>
      </w:r>
    </w:p>
    <w:p>
      <w:pPr>
        <w:spacing w:after="160"/>
      </w:pPr>
      <w:r>
        <w:rPr>
          <w:rFonts w:ascii="Calibri" w:hAnsi="Calibri"/>
          <w:color w:val="64748B"/>
          <w:sz w:val="21"/>
        </w:rPr>
        <w:t>Operational lens one</w:t>
      </w:r>
    </w:p>
    <w:p>
      <w:pPr>
        <w:spacing w:after="40"/>
        <w:jc w:val="center"/>
      </w:pPr>
      <w:r>
        <w:drawing>
          <wp:inline xmlns:a="http://schemas.openxmlformats.org/drawingml/2006/main" xmlns:pic="http://schemas.openxmlformats.org/drawingml/2006/picture">
            <wp:extent cx="6217920" cy="4820444"/>
            <wp:docPr id="4" name="Picture 4"/>
            <wp:cNvGraphicFramePr>
              <a:graphicFrameLocks noChangeAspect="1"/>
            </wp:cNvGraphicFramePr>
            <a:graphic>
              <a:graphicData uri="http://schemas.openxmlformats.org/drawingml/2006/picture">
                <pic:pic>
                  <pic:nvPicPr>
                    <pic:cNvPr id="0" name="campaign strategy view.png"/>
                    <pic:cNvPicPr/>
                  </pic:nvPicPr>
                  <pic:blipFill>
                    <a:blip r:embed="rId13"/>
                    <a:stretch>
                      <a:fillRect/>
                    </a:stretch>
                  </pic:blipFill>
                  <pic:spPr>
                    <a:xfrm>
                      <a:off x="0" y="0"/>
                      <a:ext cx="6217920" cy="4820444"/>
                    </a:xfrm>
                    <a:prstGeom prst="rect"/>
                  </pic:spPr>
                </pic:pic>
              </a:graphicData>
            </a:graphic>
          </wp:inline>
        </w:drawing>
      </w:r>
    </w:p>
    <w:p>
      <w:pPr>
        <w:jc w:val="center"/>
      </w:pPr>
      <w:r>
        <w:rPr>
          <w:i/>
          <w:color w:val="64748B"/>
          <w:sz w:val="17"/>
        </w:rPr>
        <w:t>Dashboard 2. Contact strategy and conversion lens.</w:t>
      </w:r>
    </w:p>
    <w:p>
      <w:pPr>
        <w:pStyle w:val="ListBullet"/>
        <w:spacing w:after="40" w:line="269" w:lineRule="auto"/>
      </w:pPr>
      <w:r>
        <w:rPr>
          <w:rFonts w:ascii="Calibri" w:hAnsi="Calibri"/>
          <w:sz w:val="21"/>
        </w:rPr>
        <w:t>Focuses on contact volume, channel performance, prior-contact lift, and campaign touch effects.</w:t>
      </w:r>
    </w:p>
    <w:p>
      <w:pPr>
        <w:pStyle w:val="ListBullet"/>
        <w:spacing w:after="40" w:line="269" w:lineRule="auto"/>
      </w:pPr>
      <w:r>
        <w:rPr>
          <w:rFonts w:ascii="Calibri" w:hAnsi="Calibri"/>
          <w:sz w:val="21"/>
        </w:rPr>
        <w:t>Best for CRM managers deciding how to route the next batch of leads.</w:t>
      </w:r>
    </w:p>
    <w:p>
      <w:pPr>
        <w:pStyle w:val="ListBullet"/>
        <w:spacing w:after="40" w:line="269" w:lineRule="auto"/>
      </w:pPr>
      <w:r>
        <w:rPr>
          <w:rFonts w:ascii="Calibri" w:hAnsi="Calibri"/>
          <w:sz w:val="21"/>
        </w:rPr>
        <w:t>Main filters: number of contacts, prior contact, channel, campaign history.</w:t>
      </w:r>
    </w:p>
    <w:p>
      <w:r>
        <w:br w:type="page"/>
      </w:r>
    </w:p>
    <w:p>
      <w:pPr>
        <w:spacing w:before="120" w:after="40"/>
      </w:pPr>
      <w:r>
        <w:rPr>
          <w:rFonts w:ascii="Calibri" w:hAnsi="Calibri"/>
          <w:b/>
          <w:color w:val="0F172A"/>
          <w:sz w:val="32"/>
        </w:rPr>
        <w:t>8. Dashboard Design (continued)</w:t>
      </w:r>
    </w:p>
    <w:p>
      <w:pPr>
        <w:spacing w:after="160"/>
      </w:pPr>
      <w:r>
        <w:rPr>
          <w:rFonts w:ascii="Calibri" w:hAnsi="Calibri"/>
          <w:color w:val="64748B"/>
          <w:sz w:val="21"/>
        </w:rPr>
        <w:t>Operational lens two</w:t>
      </w:r>
    </w:p>
    <w:p>
      <w:pPr>
        <w:spacing w:after="40"/>
        <w:jc w:val="center"/>
      </w:pPr>
      <w:r>
        <w:drawing>
          <wp:inline xmlns:a="http://schemas.openxmlformats.org/drawingml/2006/main" xmlns:pic="http://schemas.openxmlformats.org/drawingml/2006/picture">
            <wp:extent cx="6217920" cy="4809128"/>
            <wp:docPr id="5" name="Picture 5"/>
            <wp:cNvGraphicFramePr>
              <a:graphicFrameLocks noChangeAspect="1"/>
            </wp:cNvGraphicFramePr>
            <a:graphic>
              <a:graphicData uri="http://schemas.openxmlformats.org/drawingml/2006/picture">
                <pic:pic>
                  <pic:nvPicPr>
                    <pic:cNvPr id="0" name="risk_balance_view.png"/>
                    <pic:cNvPicPr/>
                  </pic:nvPicPr>
                  <pic:blipFill>
                    <a:blip r:embed="rId14"/>
                    <a:stretch>
                      <a:fillRect/>
                    </a:stretch>
                  </pic:blipFill>
                  <pic:spPr>
                    <a:xfrm>
                      <a:off x="0" y="0"/>
                      <a:ext cx="6217920" cy="4809128"/>
                    </a:xfrm>
                    <a:prstGeom prst="rect"/>
                  </pic:spPr>
                </pic:pic>
              </a:graphicData>
            </a:graphic>
          </wp:inline>
        </w:drawing>
      </w:r>
    </w:p>
    <w:p>
      <w:pPr>
        <w:jc w:val="center"/>
      </w:pPr>
      <w:r>
        <w:rPr>
          <w:i/>
          <w:color w:val="64748B"/>
          <w:sz w:val="17"/>
        </w:rPr>
        <w:t>Dashboard 3. Risk and balance lens.</w:t>
      </w:r>
    </w:p>
    <w:p>
      <w:pPr>
        <w:pStyle w:val="ListBullet"/>
        <w:spacing w:after="40" w:line="269" w:lineRule="auto"/>
      </w:pPr>
      <w:r>
        <w:rPr>
          <w:rFonts w:ascii="Calibri" w:hAnsi="Calibri"/>
          <w:sz w:val="21"/>
        </w:rPr>
        <w:t>Brings credit risk context into the story through default, loan, and balance bands.</w:t>
      </w:r>
    </w:p>
    <w:p>
      <w:pPr>
        <w:pStyle w:val="ListBullet"/>
        <w:spacing w:after="40" w:line="269" w:lineRule="auto"/>
      </w:pPr>
      <w:r>
        <w:rPr>
          <w:rFonts w:ascii="Calibri" w:hAnsi="Calibri"/>
          <w:sz w:val="21"/>
        </w:rPr>
        <w:t>Best for balancing conversion uplift against customer quality and risk exposure.</w:t>
      </w:r>
    </w:p>
    <w:p>
      <w:pPr>
        <w:pStyle w:val="ListBullet"/>
        <w:spacing w:after="40" w:line="269" w:lineRule="auto"/>
      </w:pPr>
      <w:r>
        <w:rPr>
          <w:rFonts w:ascii="Calibri" w:hAnsi="Calibri"/>
          <w:sz w:val="21"/>
        </w:rPr>
        <w:t>Main filters: age group, balance band, loan, default, and outcome.</w:t>
      </w:r>
    </w:p>
    <w:p>
      <w:r>
        <w:br w:type="page"/>
      </w:r>
    </w:p>
    <w:p>
      <w:pPr>
        <w:spacing w:before="120" w:after="40"/>
      </w:pPr>
      <w:r>
        <w:rPr>
          <w:rFonts w:ascii="Calibri" w:hAnsi="Calibri"/>
          <w:b/>
          <w:color w:val="0F172A"/>
          <w:sz w:val="32"/>
        </w:rPr>
        <w:t>9. Key Insights and Recommendations</w:t>
      </w:r>
    </w:p>
    <w:p>
      <w:pPr>
        <w:spacing w:after="160"/>
      </w:pPr>
      <w:r>
        <w:rPr>
          <w:rFonts w:ascii="Calibri" w:hAnsi="Calibri"/>
          <w:color w:val="64748B"/>
          <w:sz w:val="21"/>
        </w:rPr>
        <w:t>Decision language, not chart captions</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408"/>
        <w:gridCol w:w="3408"/>
        <w:gridCol w:w="3408"/>
      </w:tblGrid>
      <w:tr>
        <w:tc>
          <w:tcPr>
            <w:tcW w:type="dxa" w:w="576"/>
            <w:tcMar>
              <w:top w:w="80" w:type="dxa"/>
              <w:start w:w="100" w:type="dxa"/>
              <w:bottom w:w="80" w:type="dxa"/>
              <w:end w:w="100" w:type="dxa"/>
            </w:tcMar>
            <w:shd w:fill="0F172A"/>
            <w:vAlign w:val="center"/>
          </w:tcPr>
          <w:p>
            <w:pPr>
              <w:jc w:val="center"/>
            </w:pPr>
            <w:r>
              <w:rPr>
                <w:rFonts w:ascii="Calibri" w:hAnsi="Calibri"/>
                <w:b/>
                <w:color w:val="FFFFFF"/>
                <w:sz w:val="16"/>
              </w:rPr>
              <w:t>#</w:t>
            </w:r>
          </w:p>
        </w:tc>
        <w:tc>
          <w:tcPr>
            <w:tcW w:type="dxa" w:w="4176"/>
            <w:tcMar>
              <w:top w:w="80" w:type="dxa"/>
              <w:start w:w="100" w:type="dxa"/>
              <w:bottom w:w="80" w:type="dxa"/>
              <w:end w:w="100" w:type="dxa"/>
            </w:tcMar>
            <w:shd w:fill="0F172A"/>
            <w:vAlign w:val="center"/>
          </w:tcPr>
          <w:p>
            <w:pPr>
              <w:jc w:val="center"/>
            </w:pPr>
            <w:r>
              <w:rPr>
                <w:rFonts w:ascii="Calibri" w:hAnsi="Calibri"/>
                <w:b/>
                <w:color w:val="FFFFFF"/>
                <w:sz w:val="16"/>
              </w:rPr>
              <w:t>Insight</w:t>
            </w:r>
          </w:p>
        </w:tc>
        <w:tc>
          <w:tcPr>
            <w:tcW w:type="dxa" w:w="3888"/>
            <w:tcMar>
              <w:top w:w="80" w:type="dxa"/>
              <w:start w:w="100" w:type="dxa"/>
              <w:bottom w:w="80" w:type="dxa"/>
              <w:end w:w="100" w:type="dxa"/>
            </w:tcMar>
            <w:shd w:fill="0F172A"/>
            <w:vAlign w:val="center"/>
          </w:tcPr>
          <w:p>
            <w:pPr>
              <w:jc w:val="center"/>
            </w:pPr>
            <w:r>
              <w:rPr>
                <w:rFonts w:ascii="Calibri" w:hAnsi="Calibri"/>
                <w:b/>
                <w:color w:val="FFFFFF"/>
                <w:sz w:val="16"/>
              </w:rPr>
              <w:t>Business implication</w:t>
            </w:r>
          </w:p>
        </w:tc>
      </w:tr>
      <w:tr>
        <w:tc>
          <w:tcPr>
            <w:tcW w:type="dxa" w:w="576"/>
            <w:tcMar>
              <w:top w:w="80" w:type="dxa"/>
              <w:start w:w="100" w:type="dxa"/>
              <w:bottom w:w="80" w:type="dxa"/>
              <w:end w:w="100" w:type="dxa"/>
            </w:tcMar>
            <w:vAlign w:val="center"/>
          </w:tcPr>
          <w:p>
            <w:pPr>
              <w:spacing w:after="0" w:line="240" w:lineRule="auto"/>
              <w:jc w:val="left"/>
            </w:pPr>
            <w:r>
              <w:rPr>
                <w:rFonts w:ascii="Calibri" w:hAnsi="Calibri"/>
                <w:color w:val="1E293B"/>
                <w:sz w:val="16"/>
              </w:rPr>
              <w:t>1</w:t>
            </w:r>
          </w:p>
        </w:tc>
        <w:tc>
          <w:tcPr>
            <w:tcW w:type="dxa" w:w="4176"/>
            <w:tcMar>
              <w:top w:w="80" w:type="dxa"/>
              <w:start w:w="100" w:type="dxa"/>
              <w:bottom w:w="80" w:type="dxa"/>
              <w:end w:w="100" w:type="dxa"/>
            </w:tcMar>
            <w:vAlign w:val="center"/>
          </w:tcPr>
          <w:p>
            <w:pPr>
              <w:spacing w:after="0" w:line="240" w:lineRule="auto"/>
              <w:jc w:val="left"/>
            </w:pPr>
            <w:r>
              <w:rPr>
                <w:rFonts w:ascii="Calibri" w:hAnsi="Calibri"/>
                <w:color w:val="1E293B"/>
                <w:sz w:val="16"/>
              </w:rPr>
              <w:t>Prioritize students and retirees first.</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They deliver the highest conversion and deserve the first call queue.</w:t>
            </w:r>
          </w:p>
        </w:tc>
      </w:tr>
      <w:tr>
        <w:tc>
          <w:tcPr>
            <w:tcW w:type="dxa" w:w="5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2</w:t>
            </w:r>
          </w:p>
        </w:tc>
        <w:tc>
          <w:tcPr>
            <w:tcW w:type="dxa" w:w="41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Treat 65+ and 18-24 as high-response age bands.</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Age is a practical targeting dimension, not just a descriptive one.</w:t>
            </w:r>
          </w:p>
        </w:tc>
      </w:tr>
      <w:tr>
        <w:tc>
          <w:tcPr>
            <w:tcW w:type="dxa" w:w="576"/>
            <w:tcMar>
              <w:top w:w="80" w:type="dxa"/>
              <w:start w:w="100" w:type="dxa"/>
              <w:bottom w:w="80" w:type="dxa"/>
              <w:end w:w="100" w:type="dxa"/>
            </w:tcMar>
            <w:vAlign w:val="center"/>
          </w:tcPr>
          <w:p>
            <w:pPr>
              <w:spacing w:after="0" w:line="240" w:lineRule="auto"/>
              <w:jc w:val="left"/>
            </w:pPr>
            <w:r>
              <w:rPr>
                <w:rFonts w:ascii="Calibri" w:hAnsi="Calibri"/>
                <w:color w:val="1E293B"/>
                <w:sz w:val="16"/>
              </w:rPr>
              <w:t>3</w:t>
            </w:r>
          </w:p>
        </w:tc>
        <w:tc>
          <w:tcPr>
            <w:tcW w:type="dxa" w:w="4176"/>
            <w:tcMar>
              <w:top w:w="80" w:type="dxa"/>
              <w:start w:w="100" w:type="dxa"/>
              <w:bottom w:w="80" w:type="dxa"/>
              <w:end w:w="100" w:type="dxa"/>
            </w:tcMar>
            <w:vAlign w:val="center"/>
          </w:tcPr>
          <w:p>
            <w:pPr>
              <w:spacing w:after="0" w:line="240" w:lineRule="auto"/>
              <w:jc w:val="left"/>
            </w:pPr>
            <w:r>
              <w:rPr>
                <w:rFonts w:ascii="Calibri" w:hAnsi="Calibri"/>
                <w:color w:val="1E293B"/>
                <w:sz w:val="16"/>
              </w:rPr>
              <w:t>Use prior contact history as a primary routing rule.</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Warm leads convert far better than cold leads.</w:t>
            </w:r>
          </w:p>
        </w:tc>
      </w:tr>
      <w:tr>
        <w:tc>
          <w:tcPr>
            <w:tcW w:type="dxa" w:w="5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4</w:t>
            </w:r>
          </w:p>
        </w:tc>
        <w:tc>
          <w:tcPr>
            <w:tcW w:type="dxa" w:w="41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Cap repeated outreach after three touches.</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Conversion falls sharply after touch count increases.</w:t>
            </w:r>
          </w:p>
        </w:tc>
      </w:tr>
      <w:tr>
        <w:tc>
          <w:tcPr>
            <w:tcW w:type="dxa" w:w="576"/>
            <w:tcMar>
              <w:top w:w="80" w:type="dxa"/>
              <w:start w:w="100" w:type="dxa"/>
              <w:bottom w:w="80" w:type="dxa"/>
              <w:end w:w="100" w:type="dxa"/>
            </w:tcMar>
            <w:vAlign w:val="center"/>
          </w:tcPr>
          <w:p>
            <w:pPr>
              <w:spacing w:after="0" w:line="240" w:lineRule="auto"/>
              <w:jc w:val="left"/>
            </w:pPr>
            <w:r>
              <w:rPr>
                <w:rFonts w:ascii="Calibri" w:hAnsi="Calibri"/>
                <w:color w:val="1E293B"/>
                <w:sz w:val="16"/>
              </w:rPr>
              <w:t>5</w:t>
            </w:r>
          </w:p>
        </w:tc>
        <w:tc>
          <w:tcPr>
            <w:tcW w:type="dxa" w:w="4176"/>
            <w:tcMar>
              <w:top w:w="80" w:type="dxa"/>
              <w:start w:w="100" w:type="dxa"/>
              <w:bottom w:w="80" w:type="dxa"/>
              <w:end w:w="100" w:type="dxa"/>
            </w:tcMar>
            <w:vAlign w:val="center"/>
          </w:tcPr>
          <w:p>
            <w:pPr>
              <w:spacing w:after="0" w:line="240" w:lineRule="auto"/>
              <w:jc w:val="left"/>
            </w:pPr>
            <w:r>
              <w:rPr>
                <w:rFonts w:ascii="Calibri" w:hAnsi="Calibri"/>
                <w:color w:val="1E293B"/>
                <w:sz w:val="16"/>
              </w:rPr>
              <w:t>Prefer cellular-first contact plans.</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Cellular outperforms telephone and unknown channels are weak.</w:t>
            </w:r>
          </w:p>
        </w:tc>
      </w:tr>
      <w:tr>
        <w:tc>
          <w:tcPr>
            <w:tcW w:type="dxa" w:w="5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6</w:t>
            </w:r>
          </w:p>
        </w:tc>
        <w:tc>
          <w:tcPr>
            <w:tcW w:type="dxa" w:w="41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Push campaigns in March, September, October, and December.</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Response is materially stronger in these windows.</w:t>
            </w:r>
          </w:p>
        </w:tc>
      </w:tr>
      <w:tr>
        <w:tc>
          <w:tcPr>
            <w:tcW w:type="dxa" w:w="576"/>
            <w:tcMar>
              <w:top w:w="80" w:type="dxa"/>
              <w:start w:w="100" w:type="dxa"/>
              <w:bottom w:w="80" w:type="dxa"/>
              <w:end w:w="100" w:type="dxa"/>
            </w:tcMar>
            <w:vAlign w:val="center"/>
          </w:tcPr>
          <w:p>
            <w:pPr>
              <w:spacing w:after="0" w:line="240" w:lineRule="auto"/>
              <w:jc w:val="left"/>
            </w:pPr>
            <w:r>
              <w:rPr>
                <w:rFonts w:ascii="Calibri" w:hAnsi="Calibri"/>
                <w:color w:val="1E293B"/>
                <w:sz w:val="16"/>
              </w:rPr>
              <w:t>7</w:t>
            </w:r>
          </w:p>
        </w:tc>
        <w:tc>
          <w:tcPr>
            <w:tcW w:type="dxa" w:w="4176"/>
            <w:tcMar>
              <w:top w:w="80" w:type="dxa"/>
              <w:start w:w="100" w:type="dxa"/>
              <w:bottom w:w="80" w:type="dxa"/>
              <w:end w:w="100" w:type="dxa"/>
            </w:tcMar>
            <w:vAlign w:val="center"/>
          </w:tcPr>
          <w:p>
            <w:pPr>
              <w:spacing w:after="0" w:line="240" w:lineRule="auto"/>
              <w:jc w:val="left"/>
            </w:pPr>
            <w:r>
              <w:rPr>
                <w:rFonts w:ascii="Calibri" w:hAnsi="Calibri"/>
                <w:color w:val="1E293B"/>
                <w:sz w:val="16"/>
              </w:rPr>
              <w:t>Give medium and high balance clients higher priority.</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Higher balance bands outperform low and negative bands.</w:t>
            </w:r>
          </w:p>
        </w:tc>
      </w:tr>
      <w:tr>
        <w:tc>
          <w:tcPr>
            <w:tcW w:type="dxa" w:w="5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8</w:t>
            </w:r>
          </w:p>
        </w:tc>
        <w:tc>
          <w:tcPr>
            <w:tcW w:type="dxa" w:w="41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Use prior success as a premium routing signal.</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Successful previous outcomes dominate all other signals.</w:t>
            </w:r>
          </w:p>
        </w:tc>
      </w:tr>
      <w:tr>
        <w:tc>
          <w:tcPr>
            <w:tcW w:type="dxa" w:w="576"/>
            <w:tcMar>
              <w:top w:w="80" w:type="dxa"/>
              <w:start w:w="100" w:type="dxa"/>
              <w:bottom w:w="80" w:type="dxa"/>
              <w:end w:w="100" w:type="dxa"/>
            </w:tcMar>
            <w:vAlign w:val="center"/>
          </w:tcPr>
          <w:p>
            <w:pPr>
              <w:spacing w:after="0" w:line="240" w:lineRule="auto"/>
              <w:jc w:val="left"/>
            </w:pPr>
            <w:r>
              <w:rPr>
                <w:rFonts w:ascii="Calibri" w:hAnsi="Calibri"/>
                <w:color w:val="1E293B"/>
                <w:sz w:val="16"/>
              </w:rPr>
              <w:t>9</w:t>
            </w:r>
          </w:p>
        </w:tc>
        <w:tc>
          <w:tcPr>
            <w:tcW w:type="dxa" w:w="4176"/>
            <w:tcMar>
              <w:top w:w="80" w:type="dxa"/>
              <w:start w:w="100" w:type="dxa"/>
              <w:bottom w:w="80" w:type="dxa"/>
              <w:end w:w="100" w:type="dxa"/>
            </w:tcMar>
            <w:vAlign w:val="center"/>
          </w:tcPr>
          <w:p>
            <w:pPr>
              <w:spacing w:after="0" w:line="240" w:lineRule="auto"/>
              <w:jc w:val="left"/>
            </w:pPr>
            <w:r>
              <w:rPr>
                <w:rFonts w:ascii="Calibri" w:hAnsi="Calibri"/>
                <w:color w:val="1E293B"/>
                <w:sz w:val="16"/>
              </w:rPr>
              <w:t>De-emphasize blue-collar and services segments for premium outreach.</w:t>
            </w:r>
          </w:p>
        </w:tc>
        <w:tc>
          <w:tcPr>
            <w:tcW w:type="dxa" w:w="3888"/>
            <w:tcMar>
              <w:top w:w="80" w:type="dxa"/>
              <w:start w:w="100" w:type="dxa"/>
              <w:bottom w:w="80" w:type="dxa"/>
              <w:end w:w="100" w:type="dxa"/>
            </w:tcMar>
            <w:vAlign w:val="center"/>
          </w:tcPr>
          <w:p>
            <w:pPr>
              <w:spacing w:after="0" w:line="240" w:lineRule="auto"/>
              <w:jc w:val="left"/>
            </w:pPr>
            <w:r>
              <w:rPr>
                <w:rFonts w:ascii="Calibri" w:hAnsi="Calibri"/>
                <w:color w:val="1E293B"/>
                <w:sz w:val="16"/>
              </w:rPr>
              <w:t>These groups sit near the bottom of the response table.</w:t>
            </w:r>
          </w:p>
        </w:tc>
      </w:tr>
      <w:tr>
        <w:tc>
          <w:tcPr>
            <w:tcW w:type="dxa" w:w="5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10</w:t>
            </w:r>
          </w:p>
        </w:tc>
        <w:tc>
          <w:tcPr>
            <w:tcW w:type="dxa" w:w="417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Keep unknown contact records out of prime call queues.</w:t>
            </w:r>
          </w:p>
        </w:tc>
        <w:tc>
          <w:tcPr>
            <w:tcW w:type="dxa" w:w="3888"/>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Missing channel context lowers conversion and should be cleaned.</w:t>
            </w:r>
          </w:p>
        </w:tc>
      </w:tr>
    </w:tbl>
    <w:p>
      <w:pPr>
        <w:spacing w:after="120" w:line="276" w:lineRule="auto"/>
      </w:pPr>
      <w:r>
        <w:rPr>
          <w:rFonts w:ascii="Calibri" w:hAnsi="Calibri"/>
          <w:b w:val="0"/>
          <w:i w:val="0"/>
          <w:sz w:val="21"/>
        </w:rPr>
        <w:t>Recommended actions:</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408"/>
        <w:gridCol w:w="3408"/>
        <w:gridCol w:w="3408"/>
      </w:tblGrid>
      <w:tr>
        <w:tc>
          <w:tcPr>
            <w:tcW w:type="dxa" w:w="1944"/>
            <w:tcMar>
              <w:top w:w="80" w:type="dxa"/>
              <w:start w:w="100" w:type="dxa"/>
              <w:bottom w:w="80" w:type="dxa"/>
              <w:end w:w="100" w:type="dxa"/>
            </w:tcMar>
            <w:shd w:fill="0F172A"/>
            <w:vAlign w:val="center"/>
          </w:tcPr>
          <w:p>
            <w:pPr>
              <w:jc w:val="center"/>
            </w:pPr>
            <w:r>
              <w:rPr>
                <w:rFonts w:ascii="Calibri" w:hAnsi="Calibri"/>
                <w:b/>
                <w:color w:val="FFFFFF"/>
                <w:sz w:val="16"/>
              </w:rPr>
              <w:t>Recommendation</w:t>
            </w:r>
          </w:p>
        </w:tc>
        <w:tc>
          <w:tcPr>
            <w:tcW w:type="dxa" w:w="4536"/>
            <w:tcMar>
              <w:top w:w="80" w:type="dxa"/>
              <w:start w:w="100" w:type="dxa"/>
              <w:bottom w:w="80" w:type="dxa"/>
              <w:end w:w="100" w:type="dxa"/>
            </w:tcMar>
            <w:shd w:fill="0F172A"/>
            <w:vAlign w:val="center"/>
          </w:tcPr>
          <w:p>
            <w:pPr>
              <w:jc w:val="center"/>
            </w:pPr>
            <w:r>
              <w:rPr>
                <w:rFonts w:ascii="Calibri" w:hAnsi="Calibri"/>
                <w:b/>
                <w:color w:val="FFFFFF"/>
                <w:sz w:val="16"/>
              </w:rPr>
              <w:t>What to do</w:t>
            </w:r>
          </w:p>
        </w:tc>
        <w:tc>
          <w:tcPr>
            <w:tcW w:type="dxa" w:w="1944"/>
            <w:tcMar>
              <w:top w:w="80" w:type="dxa"/>
              <w:start w:w="100" w:type="dxa"/>
              <w:bottom w:w="80" w:type="dxa"/>
              <w:end w:w="100" w:type="dxa"/>
            </w:tcMar>
            <w:shd w:fill="0F172A"/>
            <w:vAlign w:val="center"/>
          </w:tcPr>
          <w:p>
            <w:pPr>
              <w:jc w:val="center"/>
            </w:pPr>
            <w:r>
              <w:rPr>
                <w:rFonts w:ascii="Calibri" w:hAnsi="Calibri"/>
                <w:b/>
                <w:color w:val="FFFFFF"/>
                <w:sz w:val="16"/>
              </w:rPr>
              <w:t>Expected impact</w:t>
            </w:r>
          </w:p>
        </w:tc>
      </w:tr>
      <w:tr>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6"/>
              </w:rPr>
              <w:t>Prioritize warm leads</w:t>
            </w:r>
          </w:p>
        </w:tc>
        <w:tc>
          <w:tcPr>
            <w:tcW w:type="dxa" w:w="4536"/>
            <w:tcMar>
              <w:top w:w="80" w:type="dxa"/>
              <w:start w:w="100" w:type="dxa"/>
              <w:bottom w:w="80" w:type="dxa"/>
              <w:end w:w="100" w:type="dxa"/>
            </w:tcMar>
            <w:vAlign w:val="center"/>
          </w:tcPr>
          <w:p>
            <w:pPr>
              <w:spacing w:after="0" w:line="240" w:lineRule="auto"/>
              <w:jc w:val="left"/>
            </w:pPr>
            <w:r>
              <w:rPr>
                <w:rFonts w:ascii="Calibri" w:hAnsi="Calibri"/>
                <w:color w:val="1E293B"/>
                <w:sz w:val="16"/>
              </w:rPr>
              <w:t>Route previously contacted leads and prior-success records first.</w:t>
            </w:r>
          </w:p>
        </w:tc>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6"/>
              </w:rPr>
              <w:t>Highest immediate conversion gain</w:t>
            </w:r>
          </w:p>
        </w:tc>
      </w:tr>
      <w:tr>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Apply touch caps</w:t>
            </w:r>
          </w:p>
        </w:tc>
        <w:tc>
          <w:tcPr>
            <w:tcW w:type="dxa" w:w="453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Stop repeating low-yield calls after three touches.</w:t>
            </w:r>
          </w:p>
        </w:tc>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Lower wasted call volume</w:t>
            </w:r>
          </w:p>
        </w:tc>
      </w:tr>
      <w:tr>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6"/>
              </w:rPr>
              <w:t>Use cellular-first routing</w:t>
            </w:r>
          </w:p>
        </w:tc>
        <w:tc>
          <w:tcPr>
            <w:tcW w:type="dxa" w:w="4536"/>
            <w:tcMar>
              <w:top w:w="80" w:type="dxa"/>
              <w:start w:w="100" w:type="dxa"/>
              <w:bottom w:w="80" w:type="dxa"/>
              <w:end w:w="100" w:type="dxa"/>
            </w:tcMar>
            <w:vAlign w:val="center"/>
          </w:tcPr>
          <w:p>
            <w:pPr>
              <w:spacing w:after="0" w:line="240" w:lineRule="auto"/>
              <w:jc w:val="left"/>
            </w:pPr>
            <w:r>
              <w:rPr>
                <w:rFonts w:ascii="Calibri" w:hAnsi="Calibri"/>
                <w:color w:val="1E293B"/>
                <w:sz w:val="16"/>
              </w:rPr>
              <w:t>Make cellular the default channel where possible.</w:t>
            </w:r>
          </w:p>
        </w:tc>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6"/>
              </w:rPr>
              <w:t>Stronger response rate</w:t>
            </w:r>
          </w:p>
        </w:tc>
      </w:tr>
      <w:tr>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Seasonal campaign bursts</w:t>
            </w:r>
          </w:p>
        </w:tc>
        <w:tc>
          <w:tcPr>
            <w:tcW w:type="dxa" w:w="4536"/>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Concentrate spend in peak months.</w:t>
            </w:r>
          </w:p>
        </w:tc>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6"/>
              </w:rPr>
              <w:t>Better calendar efficiency</w:t>
            </w:r>
          </w:p>
        </w:tc>
      </w:tr>
    </w:tbl>
    <w:p>
      <w:r>
        <w:br w:type="page"/>
      </w:r>
    </w:p>
    <w:p>
      <w:pPr>
        <w:spacing w:before="120" w:after="40"/>
      </w:pPr>
      <w:r>
        <w:rPr>
          <w:rFonts w:ascii="Calibri" w:hAnsi="Calibri"/>
          <w:b/>
          <w:color w:val="0F172A"/>
          <w:sz w:val="32"/>
        </w:rPr>
        <w:t>10. Impact Estimation, Limitations, and Future Scope</w:t>
      </w:r>
    </w:p>
    <w:p>
      <w:pPr>
        <w:spacing w:after="160"/>
      </w:pPr>
      <w:r>
        <w:rPr>
          <w:rFonts w:ascii="Calibri" w:hAnsi="Calibri"/>
          <w:color w:val="64748B"/>
          <w:sz w:val="21"/>
        </w:rPr>
        <w:t>What this work can realistically change</w:t>
      </w:r>
    </w:p>
    <w:p>
      <w:pPr>
        <w:spacing w:after="120" w:line="276" w:lineRule="auto"/>
      </w:pPr>
      <w:r>
        <w:rPr>
          <w:rFonts w:ascii="Calibri" w:hAnsi="Calibri"/>
          <w:b w:val="0"/>
          <w:i w:val="0"/>
          <w:sz w:val="21"/>
        </w:rPr>
        <w:t>If 10,000 contacts are routed from the cold baseline to previously contacted leads, the expected incremental lift is about 1,391 extra subscriptions.</w:t>
      </w:r>
    </w:p>
    <w:p>
      <w:pPr>
        <w:spacing w:after="120" w:line="276" w:lineRule="auto"/>
      </w:pPr>
      <w:r>
        <w:rPr>
          <w:rFonts w:ascii="Calibri" w:hAnsi="Calibri"/>
          <w:b w:val="0"/>
          <w:i w:val="0"/>
          <w:sz w:val="21"/>
        </w:rPr>
        <w:t>Using a conservative illustrative contribution of INR 50 per incremental subscription, the same shift implies roughly INR 69,570 in value per 10,000 contacted leads.</w:t>
      </w:r>
    </w:p>
    <w:p>
      <w:pPr>
        <w:pStyle w:val="ListBullet"/>
        <w:spacing w:after="40" w:line="269" w:lineRule="auto"/>
      </w:pPr>
      <w:r>
        <w:rPr>
          <w:rFonts w:ascii="Calibri" w:hAnsi="Calibri"/>
          <w:sz w:val="21"/>
        </w:rPr>
        <w:t>Limitation 1: no call-cost or offer-cost data, so ROI is estimated rather than exact.</w:t>
      </w:r>
    </w:p>
    <w:p>
      <w:pPr>
        <w:pStyle w:val="ListBullet"/>
        <w:spacing w:after="40" w:line="269" w:lineRule="auto"/>
      </w:pPr>
      <w:r>
        <w:rPr>
          <w:rFonts w:ascii="Calibri" w:hAnsi="Calibri"/>
          <w:sz w:val="21"/>
        </w:rPr>
        <w:t>Limitation 2: `duration` is useful for analysis but leaks outcome information and should not be used as a pre-call predictor.</w:t>
      </w:r>
    </w:p>
    <w:p>
      <w:pPr>
        <w:pStyle w:val="ListBullet"/>
        <w:spacing w:after="40" w:line="269" w:lineRule="auto"/>
      </w:pPr>
      <w:r>
        <w:rPr>
          <w:rFonts w:ascii="Calibri" w:hAnsi="Calibri"/>
          <w:sz w:val="21"/>
        </w:rPr>
        <w:t>Limitation 3: the dataset captures one campaign period, so seasonality should be revalidated before deployment.</w:t>
      </w:r>
    </w:p>
    <w:p>
      <w:pPr>
        <w:pStyle w:val="ListBullet"/>
        <w:spacing w:after="40" w:line="269" w:lineRule="auto"/>
      </w:pPr>
      <w:r>
        <w:rPr>
          <w:rFonts w:ascii="Calibri" w:hAnsi="Calibri"/>
          <w:sz w:val="21"/>
        </w:rPr>
        <w:t>Limitation 4: unknown categories are explicit labels, not absent rows, which is useful for analysis but imperfect for modeling.</w:t>
      </w:r>
    </w:p>
    <w:p>
      <w:pPr>
        <w:spacing w:after="120" w:line="276" w:lineRule="auto"/>
      </w:pPr>
      <w:r>
        <w:rPr>
          <w:rFonts w:ascii="Calibri" w:hAnsi="Calibri"/>
          <w:b w:val="0"/>
          <w:i w:val="0"/>
          <w:sz w:val="21"/>
        </w:rPr>
        <w:t>Future scope should include a cost-per-touch model, a propensity scoring layer, and A/B-tested routing rules that compare warm-lead targeting against broader outreach mixes.</w:t>
      </w:r>
    </w:p>
    <w:p>
      <w:r>
        <w:br w:type="page"/>
      </w:r>
    </w:p>
    <w:p>
      <w:pPr>
        <w:spacing w:before="120" w:after="40"/>
      </w:pPr>
      <w:r>
        <w:rPr>
          <w:rFonts w:ascii="Calibri" w:hAnsi="Calibri"/>
          <w:b/>
          <w:color w:val="0F172A"/>
          <w:sz w:val="32"/>
        </w:rPr>
        <w:t>11. Contribution Matrix</w:t>
      </w:r>
    </w:p>
    <w:tbl>
      <w:tblPr>
        <w:tblStyle w:val="TableGrid"/>
        <w:tblW w:type="auto" w:w="0"/>
        <w:jc w:val="center"/>
        <w:tblLayout w:type="fixed"/>
        <w:tblLook w:firstColumn="1" w:firstRow="1" w:lastColumn="0" w:lastRow="0" w:noHBand="0" w:noVBand="1" w:val="04A0"/>
        <w:tblBorders>
          <w:top w:val="single" w:sz="6" w:color="D9E2EC"/>
          <w:left w:val="single" w:sz="6" w:color="D9E2EC"/>
          <w:bottom w:val="single" w:sz="6" w:color="D9E2EC"/>
          <w:right w:val="single" w:sz="6" w:color="D9E2EC"/>
          <w:insideH w:val="single" w:sz="6" w:color="D9E2EC"/>
          <w:insideV w:val="single" w:sz="6" w:color="D9E2EC"/>
        </w:tblBorders>
      </w:tblPr>
      <w:tblGrid>
        <w:gridCol w:w="3408"/>
        <w:gridCol w:w="3408"/>
        <w:gridCol w:w="3408"/>
      </w:tblGrid>
      <w:tr>
        <w:tc>
          <w:tcPr>
            <w:tcW w:type="dxa" w:w="2232"/>
            <w:tcMar>
              <w:top w:w="80" w:type="dxa"/>
              <w:start w:w="100" w:type="dxa"/>
              <w:bottom w:w="80" w:type="dxa"/>
              <w:end w:w="100" w:type="dxa"/>
            </w:tcMar>
            <w:shd w:fill="0F172A"/>
            <w:vAlign w:val="center"/>
          </w:tcPr>
          <w:p>
            <w:pPr>
              <w:jc w:val="center"/>
            </w:pPr>
            <w:r>
              <w:rPr>
                <w:rFonts w:ascii="Calibri" w:hAnsi="Calibri"/>
                <w:b/>
                <w:color w:val="FFFFFF"/>
                <w:sz w:val="14"/>
              </w:rPr>
              <w:t>Team member</w:t>
            </w:r>
          </w:p>
        </w:tc>
        <w:tc>
          <w:tcPr>
            <w:tcW w:type="dxa" w:w="1944"/>
            <w:tcMar>
              <w:top w:w="80" w:type="dxa"/>
              <w:start w:w="100" w:type="dxa"/>
              <w:bottom w:w="80" w:type="dxa"/>
              <w:end w:w="100" w:type="dxa"/>
            </w:tcMar>
            <w:shd w:fill="0F172A"/>
            <w:vAlign w:val="center"/>
          </w:tcPr>
          <w:p>
            <w:pPr>
              <w:jc w:val="center"/>
            </w:pPr>
            <w:r>
              <w:rPr>
                <w:rFonts w:ascii="Calibri" w:hAnsi="Calibri"/>
                <w:b/>
                <w:color w:val="FFFFFF"/>
                <w:sz w:val="14"/>
              </w:rPr>
              <w:t>Git history status</w:t>
            </w:r>
          </w:p>
        </w:tc>
        <w:tc>
          <w:tcPr>
            <w:tcW w:type="dxa" w:w="4320"/>
            <w:tcMar>
              <w:top w:w="80" w:type="dxa"/>
              <w:start w:w="100" w:type="dxa"/>
              <w:bottom w:w="80" w:type="dxa"/>
              <w:end w:w="100" w:type="dxa"/>
            </w:tcMar>
            <w:shd w:fill="0F172A"/>
            <w:vAlign w:val="center"/>
          </w:tcPr>
          <w:p>
            <w:pPr>
              <w:jc w:val="center"/>
            </w:pPr>
            <w:r>
              <w:rPr>
                <w:rFonts w:ascii="Calibri" w:hAnsi="Calibri"/>
                <w:b/>
                <w:color w:val="FFFFFF"/>
                <w:sz w:val="14"/>
              </w:rPr>
              <w:t>Repository-visible contribution</w:t>
            </w:r>
          </w:p>
        </w:tc>
      </w:tr>
      <w:tr>
        <w:tc>
          <w:tcPr>
            <w:tcW w:type="dxa" w:w="2232"/>
            <w:tcMar>
              <w:top w:w="80" w:type="dxa"/>
              <w:start w:w="100" w:type="dxa"/>
              <w:bottom w:w="80" w:type="dxa"/>
              <w:end w:w="100" w:type="dxa"/>
            </w:tcMar>
            <w:vAlign w:val="center"/>
          </w:tcPr>
          <w:p>
            <w:pPr>
              <w:spacing w:after="0" w:line="240" w:lineRule="auto"/>
              <w:jc w:val="left"/>
            </w:pPr>
            <w:r>
              <w:rPr>
                <w:rFonts w:ascii="Calibri" w:hAnsi="Calibri"/>
                <w:color w:val="1E293B"/>
                <w:sz w:val="14"/>
              </w:rPr>
              <w:t>Harshvardhan Gupta</w:t>
            </w:r>
          </w:p>
        </w:tc>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4"/>
              </w:rPr>
              <w:t>14 commits</w:t>
            </w:r>
          </w:p>
        </w:tc>
        <w:tc>
          <w:tcPr>
            <w:tcW w:type="dxa" w:w="4320"/>
            <w:tcMar>
              <w:top w:w="80" w:type="dxa"/>
              <w:start w:w="100" w:type="dxa"/>
              <w:bottom w:w="80" w:type="dxa"/>
              <w:end w:w="100" w:type="dxa"/>
            </w:tcMar>
            <w:vAlign w:val="center"/>
          </w:tcPr>
          <w:p>
            <w:pPr>
              <w:spacing w:after="0" w:line="240" w:lineRule="auto"/>
              <w:jc w:val="left"/>
            </w:pPr>
            <w:r>
              <w:rPr>
                <w:rFonts w:ascii="Calibri" w:hAnsi="Calibri"/>
                <w:color w:val="1E293B"/>
                <w:sz w:val="14"/>
              </w:rPr>
              <w:t>Raw data, cleaning, EDA, statistical analysis, workbook updates</w:t>
            </w:r>
          </w:p>
        </w:tc>
      </w:tr>
      <w:tr>
        <w:tc>
          <w:tcPr>
            <w:tcW w:type="dxa" w:w="2232"/>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Kartik Madaan</w:t>
            </w:r>
          </w:p>
        </w:tc>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8 commits</w:t>
            </w:r>
          </w:p>
        </w:tc>
        <w:tc>
          <w:tcPr>
            <w:tcW w:type="dxa" w:w="4320"/>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Statistical analysis, Tableau dashboard, report writing, PPT</w:t>
            </w:r>
          </w:p>
        </w:tc>
      </w:tr>
      <w:tr>
        <w:tc>
          <w:tcPr>
            <w:tcW w:type="dxa" w:w="2232"/>
            <w:tcMar>
              <w:top w:w="80" w:type="dxa"/>
              <w:start w:w="100" w:type="dxa"/>
              <w:bottom w:w="80" w:type="dxa"/>
              <w:end w:w="100" w:type="dxa"/>
            </w:tcMar>
            <w:vAlign w:val="center"/>
          </w:tcPr>
          <w:p>
            <w:pPr>
              <w:spacing w:after="0" w:line="240" w:lineRule="auto"/>
              <w:jc w:val="left"/>
            </w:pPr>
            <w:r>
              <w:rPr>
                <w:rFonts w:ascii="Calibri" w:hAnsi="Calibri"/>
                <w:color w:val="1E293B"/>
                <w:sz w:val="14"/>
              </w:rPr>
              <w:t>Dev Tyagi</w:t>
            </w:r>
          </w:p>
        </w:tc>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4"/>
              </w:rPr>
              <w:t>4 commits</w:t>
            </w:r>
          </w:p>
        </w:tc>
        <w:tc>
          <w:tcPr>
            <w:tcW w:type="dxa" w:w="4320"/>
            <w:tcMar>
              <w:top w:w="80" w:type="dxa"/>
              <w:start w:w="100" w:type="dxa"/>
              <w:bottom w:w="80" w:type="dxa"/>
              <w:end w:w="100" w:type="dxa"/>
            </w:tcMar>
            <w:vAlign w:val="center"/>
          </w:tcPr>
          <w:p>
            <w:pPr>
              <w:spacing w:after="0" w:line="240" w:lineRule="auto"/>
              <w:jc w:val="left"/>
            </w:pPr>
            <w:r>
              <w:rPr>
                <w:rFonts w:ascii="Calibri" w:hAnsi="Calibri"/>
                <w:color w:val="1E293B"/>
                <w:sz w:val="14"/>
              </w:rPr>
              <w:t>Tableau dashboard</w:t>
            </w:r>
          </w:p>
        </w:tc>
      </w:tr>
      <w:tr>
        <w:tc>
          <w:tcPr>
            <w:tcW w:type="dxa" w:w="2232"/>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Shitanshu Tiwari</w:t>
            </w:r>
          </w:p>
        </w:tc>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2 commits</w:t>
            </w:r>
          </w:p>
        </w:tc>
        <w:tc>
          <w:tcPr>
            <w:tcW w:type="dxa" w:w="4320"/>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EDA and analysis</w:t>
            </w:r>
          </w:p>
        </w:tc>
      </w:tr>
      <w:tr>
        <w:tc>
          <w:tcPr>
            <w:tcW w:type="dxa" w:w="2232"/>
            <w:tcMar>
              <w:top w:w="80" w:type="dxa"/>
              <w:start w:w="100" w:type="dxa"/>
              <w:bottom w:w="80" w:type="dxa"/>
              <w:end w:w="100" w:type="dxa"/>
            </w:tcMar>
            <w:vAlign w:val="center"/>
          </w:tcPr>
          <w:p>
            <w:pPr>
              <w:spacing w:after="0" w:line="240" w:lineRule="auto"/>
              <w:jc w:val="left"/>
            </w:pPr>
            <w:r>
              <w:rPr>
                <w:rFonts w:ascii="Calibri" w:hAnsi="Calibri"/>
                <w:color w:val="1E293B"/>
                <w:sz w:val="14"/>
              </w:rPr>
              <w:t>Satwik Mani Tripathi</w:t>
            </w:r>
          </w:p>
        </w:tc>
        <w:tc>
          <w:tcPr>
            <w:tcW w:type="dxa" w:w="1944"/>
            <w:tcMar>
              <w:top w:w="80" w:type="dxa"/>
              <w:start w:w="100" w:type="dxa"/>
              <w:bottom w:w="80" w:type="dxa"/>
              <w:end w:w="100" w:type="dxa"/>
            </w:tcMar>
            <w:vAlign w:val="center"/>
          </w:tcPr>
          <w:p>
            <w:pPr>
              <w:spacing w:after="0" w:line="240" w:lineRule="auto"/>
              <w:jc w:val="left"/>
            </w:pPr>
            <w:r>
              <w:rPr>
                <w:rFonts w:ascii="Calibri" w:hAnsi="Calibri"/>
                <w:color w:val="1E293B"/>
                <w:sz w:val="14"/>
              </w:rPr>
              <w:t>No commit</w:t>
            </w:r>
          </w:p>
        </w:tc>
        <w:tc>
          <w:tcPr>
            <w:tcW w:type="dxa" w:w="4320"/>
            <w:tcMar>
              <w:top w:w="80" w:type="dxa"/>
              <w:start w:w="100" w:type="dxa"/>
              <w:bottom w:w="80" w:type="dxa"/>
              <w:end w:w="100" w:type="dxa"/>
            </w:tcMar>
            <w:vAlign w:val="center"/>
          </w:tcPr>
          <w:p>
            <w:pPr>
              <w:spacing w:after="0" w:line="240" w:lineRule="auto"/>
              <w:jc w:val="left"/>
            </w:pPr>
            <w:r>
              <w:rPr>
                <w:rFonts w:ascii="Calibri" w:hAnsi="Calibri"/>
                <w:color w:val="1E293B"/>
                <w:sz w:val="14"/>
              </w:rPr>
              <w:t>N/A</w:t>
            </w:r>
          </w:p>
        </w:tc>
      </w:tr>
      <w:tr>
        <w:tc>
          <w:tcPr>
            <w:tcW w:type="dxa" w:w="2232"/>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Siddharth Dangi</w:t>
            </w:r>
          </w:p>
        </w:tc>
        <w:tc>
          <w:tcPr>
            <w:tcW w:type="dxa" w:w="1944"/>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No commit</w:t>
            </w:r>
          </w:p>
        </w:tc>
        <w:tc>
          <w:tcPr>
            <w:tcW w:type="dxa" w:w="4320"/>
            <w:tcMar>
              <w:top w:w="80" w:type="dxa"/>
              <w:start w:w="100" w:type="dxa"/>
              <w:bottom w:w="80" w:type="dxa"/>
              <w:end w:w="100" w:type="dxa"/>
            </w:tcMar>
            <w:vAlign w:val="center"/>
            <w:shd w:fill="F8FAFC"/>
          </w:tcPr>
          <w:p>
            <w:pPr>
              <w:spacing w:after="0" w:line="240" w:lineRule="auto"/>
              <w:jc w:val="left"/>
            </w:pPr>
            <w:r>
              <w:rPr>
                <w:rFonts w:ascii="Calibri" w:hAnsi="Calibri"/>
                <w:color w:val="1E293B"/>
                <w:sz w:val="14"/>
              </w:rPr>
              <w:t>N/A</w:t>
            </w:r>
          </w:p>
        </w:tc>
      </w:tr>
    </w:tbl>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Bank Marketing DVA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D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