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Cambria" w:cs="Cambria" w:eastAsia="Cambria" w:hAnsi="Cambria"/>
          <w:b w:val="1"/>
          <w:color w:val="434343"/>
          <w:sz w:val="28"/>
          <w:szCs w:val="28"/>
        </w:rPr>
      </w:pPr>
      <w:r w:rsidDel="00000000" w:rsidR="00000000" w:rsidRPr="00000000">
        <w:rPr>
          <w:rtl w:val="0"/>
        </w:rPr>
      </w:r>
    </w:p>
    <w:p w:rsidR="00000000" w:rsidDel="00000000" w:rsidP="00000000" w:rsidRDefault="00000000" w:rsidRPr="00000000" w14:paraId="00000002">
      <w:pPr>
        <w:pStyle w:val="Title"/>
        <w:rPr>
          <w:sz w:val="50"/>
          <w:szCs w:val="50"/>
        </w:rPr>
      </w:pPr>
      <w:r w:rsidDel="00000000" w:rsidR="00000000" w:rsidRPr="00000000">
        <w:rPr>
          <w:rFonts w:ascii="Play" w:cs="Play" w:eastAsia="Play" w:hAnsi="Play"/>
          <w:sz w:val="32"/>
          <w:szCs w:val="32"/>
          <w:rtl w:val="0"/>
        </w:rPr>
        <w:t xml:space="preserve">                                          </w:t>
      </w:r>
      <w:r w:rsidDel="00000000" w:rsidR="00000000" w:rsidRPr="00000000">
        <w:rPr>
          <w:rFonts w:ascii="Play" w:cs="Play" w:eastAsia="Play" w:hAnsi="Play"/>
          <w:sz w:val="32"/>
          <w:szCs w:val="32"/>
        </w:rPr>
        <w:drawing>
          <wp:inline distB="0" distT="0" distL="0" distR="0">
            <wp:extent cx="1348392" cy="1331105"/>
            <wp:effectExtent b="0" l="0" r="0" t="0"/>
            <wp:docPr id="203632946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48392" cy="1331105"/>
                    </a:xfrm>
                    <a:prstGeom prst="rect"/>
                    <a:ln/>
                  </pic:spPr>
                </pic:pic>
              </a:graphicData>
            </a:graphic>
          </wp:inline>
        </w:drawing>
      </w:r>
      <w:r w:rsidDel="00000000" w:rsidR="00000000" w:rsidRPr="00000000">
        <w:rPr>
          <w:rFonts w:ascii="Play" w:cs="Play" w:eastAsia="Play" w:hAnsi="Play"/>
          <w:sz w:val="32"/>
          <w:szCs w:val="32"/>
          <w:rtl w:val="0"/>
        </w:rPr>
        <w:t xml:space="preserve">        </w:t>
        <w:br w:type="textWrapping"/>
      </w:r>
      <w:r w:rsidDel="00000000" w:rsidR="00000000" w:rsidRPr="00000000">
        <w:rPr>
          <w:rFonts w:ascii="Algerian" w:cs="Algerian" w:eastAsia="Algerian" w:hAnsi="Algerian"/>
          <w:sz w:val="32"/>
          <w:szCs w:val="32"/>
          <w:rtl w:val="0"/>
        </w:rPr>
        <w:t xml:space="preserve">      </w:t>
      </w:r>
      <w:r w:rsidDel="00000000" w:rsidR="00000000" w:rsidRPr="00000000">
        <w:rPr>
          <w:rFonts w:ascii="Cambria" w:cs="Cambria" w:eastAsia="Cambria" w:hAnsi="Cambria"/>
          <w:b w:val="1"/>
          <w:sz w:val="30"/>
          <w:szCs w:val="30"/>
          <w:rtl w:val="0"/>
        </w:rPr>
        <w:t xml:space="preserve">  BIRLA INSTITUTE OF TECHNOLOGY MESRA (RANCH)</w:t>
      </w:r>
      <w:r w:rsidDel="00000000" w:rsidR="00000000" w:rsidRPr="00000000">
        <w:rPr>
          <w:sz w:val="50"/>
          <w:szCs w:val="50"/>
          <w:rtl w:val="0"/>
        </w:rPr>
        <w:t xml:space="preserve">      </w:t>
      </w:r>
    </w:p>
    <w:p w:rsidR="00000000" w:rsidDel="00000000" w:rsidP="00000000" w:rsidRDefault="00000000" w:rsidRPr="00000000" w14:paraId="00000003">
      <w:pPr>
        <w:pStyle w:val="Title"/>
        <w:rPr>
          <w:rFonts w:ascii="Cambria" w:cs="Cambria" w:eastAsia="Cambria" w:hAnsi="Cambria"/>
          <w:b w:val="1"/>
          <w:sz w:val="26"/>
          <w:szCs w:val="26"/>
        </w:rPr>
      </w:pPr>
      <w:bookmarkStart w:colFirst="0" w:colLast="0" w:name="_heading=h.bxs0axdq1hi2" w:id="0"/>
      <w:bookmarkEnd w:id="0"/>
      <w:r w:rsidDel="00000000" w:rsidR="00000000" w:rsidRPr="00000000">
        <w:rPr>
          <w:rFonts w:ascii="Cambria" w:cs="Cambria" w:eastAsia="Cambria" w:hAnsi="Cambria"/>
          <w:b w:val="1"/>
          <w:sz w:val="26"/>
          <w:szCs w:val="26"/>
          <w:rtl w:val="0"/>
        </w:rPr>
        <w:t xml:space="preserve">                                  DEPARTMENT OF MANAGEMENT</w:t>
        <w:br w:type="textWrapping"/>
        <w:t xml:space="preserve">                              {Bachelor of Business Administration}</w:t>
      </w:r>
    </w:p>
    <w:p w:rsidR="00000000" w:rsidDel="00000000" w:rsidP="00000000" w:rsidRDefault="00000000" w:rsidRPr="00000000" w14:paraId="00000004">
      <w:pPr>
        <w:rPr>
          <w:rFonts w:ascii="Cambria" w:cs="Cambria" w:eastAsia="Cambria" w:hAnsi="Cambria"/>
          <w:b w:val="1"/>
          <w:color w:val="434343"/>
          <w:sz w:val="28"/>
          <w:szCs w:val="28"/>
        </w:rPr>
      </w:pPr>
      <w:r w:rsidDel="00000000" w:rsidR="00000000" w:rsidRPr="00000000">
        <w:rPr>
          <w:rtl w:val="0"/>
        </w:rPr>
      </w:r>
    </w:p>
    <w:p w:rsidR="00000000" w:rsidDel="00000000" w:rsidP="00000000" w:rsidRDefault="00000000" w:rsidRPr="00000000" w14:paraId="00000005">
      <w:pPr>
        <w:pStyle w:val="Heading3"/>
        <w:jc w:val="left"/>
        <w:rPr>
          <w:sz w:val="24"/>
          <w:szCs w:val="24"/>
        </w:rPr>
      </w:pPr>
      <w:bookmarkStart w:colFirst="0" w:colLast="0" w:name="_heading=h.ldoi99to2ob4" w:id="1"/>
      <w:bookmarkEnd w:id="1"/>
      <w:r w:rsidDel="00000000" w:rsidR="00000000" w:rsidRPr="00000000">
        <w:rPr>
          <w:rtl w:val="0"/>
        </w:rPr>
        <w:t xml:space="preserve">                                    </w:t>
      </w:r>
      <w:r w:rsidDel="00000000" w:rsidR="00000000" w:rsidRPr="00000000">
        <w:rPr>
          <w:rFonts w:ascii="Cambria" w:cs="Cambria" w:eastAsia="Cambria" w:hAnsi="Cambria"/>
          <w:b w:val="1"/>
          <w:sz w:val="24"/>
          <w:szCs w:val="24"/>
          <w:rtl w:val="0"/>
        </w:rPr>
        <w:t xml:space="preserve">                                                                                  </w:t>
      </w:r>
      <w:r w:rsidDel="00000000" w:rsidR="00000000" w:rsidRPr="00000000">
        <w:rPr>
          <w:sz w:val="24"/>
          <w:szCs w:val="24"/>
          <w:rtl w:val="0"/>
        </w:rPr>
        <w:t xml:space="preserve">Submitted by</w:t>
      </w:r>
    </w:p>
    <w:p w:rsidR="00000000" w:rsidDel="00000000" w:rsidP="00000000" w:rsidRDefault="00000000" w:rsidRPr="00000000" w14:paraId="00000006">
      <w:pPr>
        <w:jc w:val="right"/>
        <w:rPr>
          <w:sz w:val="24"/>
          <w:szCs w:val="24"/>
        </w:rPr>
      </w:pPr>
      <w:r w:rsidDel="00000000" w:rsidR="00000000" w:rsidRPr="00000000">
        <w:rPr>
          <w:sz w:val="24"/>
          <w:szCs w:val="24"/>
          <w:rtl w:val="0"/>
        </w:rPr>
        <w:t xml:space="preserve">Kanishk Raj (BBA/15073/19)</w:t>
      </w:r>
    </w:p>
    <w:p w:rsidR="00000000" w:rsidDel="00000000" w:rsidP="00000000" w:rsidRDefault="00000000" w:rsidRPr="00000000" w14:paraId="00000007">
      <w:pPr>
        <w:jc w:val="right"/>
        <w:rPr>
          <w:sz w:val="24"/>
          <w:szCs w:val="24"/>
        </w:rPr>
      </w:pPr>
      <w:r w:rsidDel="00000000" w:rsidR="00000000" w:rsidRPr="00000000">
        <w:rPr>
          <w:sz w:val="24"/>
          <w:szCs w:val="24"/>
          <w:rtl w:val="0"/>
        </w:rPr>
        <w:t xml:space="preserve">Abhishek Kashyap (BBA/15083/19)</w:t>
      </w:r>
    </w:p>
    <w:p w:rsidR="00000000" w:rsidDel="00000000" w:rsidP="00000000" w:rsidRDefault="00000000" w:rsidRPr="00000000" w14:paraId="00000008">
      <w:pPr>
        <w:jc w:val="right"/>
        <w:rPr>
          <w:rFonts w:ascii="Cambria" w:cs="Cambria" w:eastAsia="Cambria" w:hAnsi="Cambria"/>
          <w:sz w:val="24"/>
          <w:szCs w:val="24"/>
        </w:rPr>
      </w:pPr>
      <w:r w:rsidDel="00000000" w:rsidR="00000000" w:rsidRPr="00000000">
        <w:rPr>
          <w:sz w:val="24"/>
          <w:szCs w:val="24"/>
          <w:rtl w:val="0"/>
        </w:rPr>
        <w:t xml:space="preserve">Harsh Parashar (BBA/15102/19</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9">
      <w:pPr>
        <w:rPr>
          <w:rFonts w:ascii="Calibri" w:cs="Calibri" w:eastAsia="Calibri" w:hAnsi="Calibri"/>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Supervised by:</w:t>
      </w:r>
    </w:p>
    <w:p w:rsidR="00000000" w:rsidDel="00000000" w:rsidP="00000000" w:rsidRDefault="00000000" w:rsidRPr="00000000" w14:paraId="0000000F">
      <w:pPr>
        <w:rPr/>
      </w:pPr>
      <w:r w:rsidDel="00000000" w:rsidR="00000000" w:rsidRPr="00000000">
        <w:rPr>
          <w:rtl w:val="0"/>
        </w:rPr>
        <w:t xml:space="preserve">Dr. Vijay Agarwal*  </w:t>
      </w:r>
    </w:p>
    <w:p w:rsidR="00000000" w:rsidDel="00000000" w:rsidP="00000000" w:rsidRDefault="00000000" w:rsidRPr="00000000" w14:paraId="00000010">
      <w:pPr>
        <w:rPr/>
      </w:pPr>
      <w:r w:rsidDel="00000000" w:rsidR="00000000" w:rsidRPr="00000000">
        <w:rPr>
          <w:rtl w:val="0"/>
        </w:rPr>
        <w:t xml:space="preserve">Head of Department*  </w:t>
      </w:r>
    </w:p>
    <w:p w:rsidR="00000000" w:rsidDel="00000000" w:rsidP="00000000" w:rsidRDefault="00000000" w:rsidRPr="00000000" w14:paraId="00000011">
      <w:pPr>
        <w:rPr/>
      </w:pPr>
      <w:r w:rsidDel="00000000" w:rsidR="00000000" w:rsidRPr="00000000">
        <w:rPr>
          <w:rtl w:val="0"/>
        </w:rPr>
        <w:t xml:space="preserve">Department of Management </w:t>
      </w:r>
    </w:p>
    <w:p w:rsidR="00000000" w:rsidDel="00000000" w:rsidP="00000000" w:rsidRDefault="00000000" w:rsidRPr="00000000" w14:paraId="00000012">
      <w:pPr>
        <w:rPr>
          <w:color w:val="3f251d"/>
        </w:rPr>
      </w:pPr>
      <w:r w:rsidDel="00000000" w:rsidR="00000000" w:rsidRPr="00000000">
        <w:rPr>
          <w:rtl w:val="0"/>
        </w:rPr>
        <w:t xml:space="preserve">(Birla Institute of Technology, Mesra, Ranchi)</w:t>
      </w:r>
      <w:r w:rsidDel="00000000" w:rsidR="00000000" w:rsidRPr="00000000">
        <w:rPr>
          <w:rtl w:val="0"/>
        </w:rPr>
      </w:r>
    </w:p>
    <w:p w:rsidR="00000000" w:rsidDel="00000000" w:rsidP="00000000" w:rsidRDefault="00000000" w:rsidRPr="00000000" w14:paraId="00000013">
      <w:pPr>
        <w:pStyle w:val="Title"/>
        <w:spacing w:after="0" w:before="440" w:lineRule="auto"/>
        <w:ind w:left="0" w:firstLine="0"/>
        <w:rPr>
          <w:sz w:val="22"/>
          <w:szCs w:val="22"/>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2"/>
          <w:szCs w:val="22"/>
        </w:rPr>
        <w:drawing>
          <wp:inline distB="114300" distT="114300" distL="114300" distR="114300">
            <wp:extent cx="1725897" cy="1353645"/>
            <wp:effectExtent b="0" l="0" r="0" t="0"/>
            <wp:docPr id="203632946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25897" cy="135364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Cambria" w:cs="Cambria" w:eastAsia="Cambria" w:hAnsi="Cambria"/>
          <w:b w:val="1"/>
          <w:color w:val="434343"/>
          <w:sz w:val="30"/>
          <w:szCs w:val="30"/>
        </w:rPr>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sz w:val="30"/>
          <w:szCs w:val="30"/>
          <w:rtl w:val="0"/>
        </w:rPr>
        <w:t xml:space="preserve">          </w:t>
      </w:r>
      <w:r w:rsidDel="00000000" w:rsidR="00000000" w:rsidRPr="00000000">
        <w:rPr>
          <w:color w:val="111827"/>
          <w:sz w:val="24"/>
          <w:szCs w:val="24"/>
          <w:highlight w:val="white"/>
          <w:rtl w:val="0"/>
        </w:rPr>
        <w:t xml:space="preserve">Tesla Financial &amp; Product Growth Analysis (2012–2020)</w:t>
      </w:r>
      <w:r w:rsidDel="00000000" w:rsidR="00000000" w:rsidRPr="00000000">
        <w:rPr>
          <w:rtl w:val="0"/>
        </w:rPr>
      </w:r>
    </w:p>
    <w:p w:rsidR="00000000" w:rsidDel="00000000" w:rsidP="00000000" w:rsidRDefault="00000000" w:rsidRPr="00000000" w14:paraId="00000015">
      <w:pPr>
        <w:pStyle w:val="Title"/>
        <w:spacing w:after="0" w:before="4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pStyle w:val="Title"/>
        <w:spacing w:after="0" w:before="4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DECLARATION CERTIFICATE</w:t>
      </w:r>
    </w:p>
    <w:p w:rsidR="00000000" w:rsidDel="00000000" w:rsidP="00000000" w:rsidRDefault="00000000" w:rsidRPr="00000000" w14:paraId="00000017">
      <w:pPr>
        <w:pStyle w:val="Title"/>
        <w:spacing w:after="240" w:before="240" w:lineRule="auto"/>
        <w:rPr>
          <w:rFonts w:ascii="Cambria" w:cs="Cambria" w:eastAsia="Cambria" w:hAnsi="Cambria"/>
          <w:sz w:val="26"/>
          <w:szCs w:val="26"/>
        </w:rPr>
      </w:pPr>
      <w:bookmarkStart w:colFirst="0" w:colLast="0" w:name="_heading=h.syxhk1zgyqox" w:id="2"/>
      <w:bookmarkEnd w:id="2"/>
      <w:r w:rsidDel="00000000" w:rsidR="00000000" w:rsidRPr="00000000">
        <w:rPr>
          <w:rFonts w:ascii="Cambria" w:cs="Cambria" w:eastAsia="Cambria" w:hAnsi="Cambria"/>
          <w:sz w:val="26"/>
          <w:szCs w:val="26"/>
          <w:rtl w:val="0"/>
        </w:rPr>
        <w:t xml:space="preserve">This is to certify that the work presented in the project entitled "</w:t>
      </w:r>
      <w:r w:rsidDel="00000000" w:rsidR="00000000" w:rsidRPr="00000000">
        <w:rPr>
          <w:color w:val="111827"/>
          <w:sz w:val="24"/>
          <w:szCs w:val="24"/>
          <w:highlight w:val="white"/>
          <w:rtl w:val="0"/>
        </w:rPr>
        <w:t xml:space="preserve">Tesla Financial &amp; Product Growth Analysis (2012–2020)</w:t>
      </w:r>
      <w:r w:rsidDel="00000000" w:rsidR="00000000" w:rsidRPr="00000000">
        <w:rPr>
          <w:rFonts w:ascii="Cambria" w:cs="Cambria" w:eastAsia="Cambria" w:hAnsi="Cambria"/>
          <w:sz w:val="26"/>
          <w:szCs w:val="26"/>
          <w:rtl w:val="0"/>
        </w:rPr>
        <w:t xml:space="preserve">" in partial fulfillment of the requirements for the award of the Degree of Bachelor of Business Administration of Birla Institute of Technology, Mesra, Ranchi, is an authentic work carried out under my supervision and guidance. To the best of my knowledge, the content of this feasibility report does not form a basis for the award of any previous degree to anyone else.</w:t>
      </w:r>
    </w:p>
    <w:p w:rsidR="00000000" w:rsidDel="00000000" w:rsidP="00000000" w:rsidRDefault="00000000" w:rsidRPr="00000000" w14:paraId="00000018">
      <w:pPr>
        <w:pStyle w:val="Title"/>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19">
      <w:pPr>
        <w:pStyle w:val="Title"/>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pStyle w:val="Title"/>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pStyle w:val="Title"/>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pStyle w:val="Title"/>
        <w:spacing w:after="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(Guide Name)</w:t>
      </w:r>
    </w:p>
    <w:p w:rsidR="00000000" w:rsidDel="00000000" w:rsidP="00000000" w:rsidRDefault="00000000" w:rsidRPr="00000000" w14:paraId="0000001D">
      <w:pPr>
        <w:pStyle w:val="Title"/>
        <w:spacing w:after="0" w:before="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Vijay Agarwal</w:t>
      </w:r>
    </w:p>
    <w:p w:rsidR="00000000" w:rsidDel="00000000" w:rsidP="00000000" w:rsidRDefault="00000000" w:rsidRPr="00000000" w14:paraId="0000001E">
      <w:pPr>
        <w:pStyle w:val="Title"/>
        <w:spacing w:after="0" w:before="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Head OF Department Management</w:t>
      </w:r>
    </w:p>
    <w:p w:rsidR="00000000" w:rsidDel="00000000" w:rsidP="00000000" w:rsidRDefault="00000000" w:rsidRPr="00000000" w14:paraId="0000001F">
      <w:pPr>
        <w:pStyle w:val="Title"/>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Birla Institute of Technology Mesra Ranchi</w:t>
      </w:r>
    </w:p>
    <w:p w:rsidR="00000000" w:rsidDel="00000000" w:rsidP="00000000" w:rsidRDefault="00000000" w:rsidRPr="00000000" w14:paraId="00000020">
      <w:pPr>
        <w:jc w:val="right"/>
        <w:rPr/>
      </w:pPr>
      <w:r w:rsidDel="00000000" w:rsidR="00000000" w:rsidRPr="00000000">
        <w:rPr>
          <w:rtl w:val="0"/>
        </w:rPr>
      </w:r>
    </w:p>
    <w:p w:rsidR="00000000" w:rsidDel="00000000" w:rsidP="00000000" w:rsidRDefault="00000000" w:rsidRPr="00000000" w14:paraId="00000021">
      <w:pPr>
        <w:pStyle w:val="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pStyle w:val="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pStyle w:val="Title"/>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3f251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t xml:space="preserve">                                           </w:t>
      </w:r>
      <w:r w:rsidDel="00000000" w:rsidR="00000000" w:rsidRPr="00000000">
        <w:rPr>
          <w:b w:val="1"/>
          <w:sz w:val="26"/>
          <w:szCs w:val="26"/>
          <w:rtl w:val="0"/>
        </w:rPr>
        <w:t xml:space="preserve">CERTIFICATE OF APPROVA</w:t>
      </w:r>
      <w:r w:rsidDel="00000000" w:rsidR="00000000" w:rsidRPr="00000000">
        <w:rPr>
          <w:b w:val="1"/>
          <w:rtl w:val="0"/>
        </w:rPr>
        <w:t xml:space="preserve">L</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The foregoing project entitled "</w:t>
      </w:r>
      <w:r w:rsidDel="00000000" w:rsidR="00000000" w:rsidRPr="00000000">
        <w:rPr>
          <w:color w:val="111827"/>
          <w:sz w:val="24"/>
          <w:szCs w:val="24"/>
          <w:highlight w:val="white"/>
          <w:rtl w:val="0"/>
        </w:rPr>
        <w:t xml:space="preserve">Tesla Financial &amp; Product Growth Analysis (2012–2020)</w:t>
      </w:r>
      <w:r w:rsidDel="00000000" w:rsidR="00000000" w:rsidRPr="00000000">
        <w:rPr>
          <w:sz w:val="26"/>
          <w:szCs w:val="26"/>
          <w:rtl w:val="0"/>
        </w:rPr>
        <w:t xml:space="preserve">" is hereby approved as a credible study of research topics and has been presented in a satisfactory manner to warrant its acceptance as a prerequisite to the degree for which it has been submitted. It is understood that by this approval, the undersigned do not necessarily endorse any conclusion drawn or opinion expressed therein, but approve the feasibility report for the purpose for which it is submitted.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(INTERNAL EXAMINER) </w:t>
        <w:tab/>
        <w:tab/>
        <w:tab/>
        <w:tab/>
        <w:t xml:space="preserve">                 (EXTERNAL EXAMINER)</w:t>
      </w:r>
    </w:p>
    <w:p w:rsidR="00000000" w:rsidDel="00000000" w:rsidP="00000000" w:rsidRDefault="00000000" w:rsidRPr="00000000" w14:paraId="00000029">
      <w:pPr>
        <w:rPr/>
        <w:sectPr>
          <w:footerReference r:id="rId9" w:type="default"/>
          <w:pgSz w:h="15840" w:w="12240" w:orient="portrait"/>
          <w:pgMar w:bottom="1440" w:top="1440" w:left="1800" w:right="1800" w:header="720" w:footer="720"/>
          <w:pgNumType w:start="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Table of Contents </w:t>
      </w:r>
    </w:p>
    <w:p w:rsidR="00000000" w:rsidDel="00000000" w:rsidP="00000000" w:rsidRDefault="00000000" w:rsidRPr="00000000" w14:paraId="0000002B">
      <w:pPr>
        <w:rPr>
          <w:sz w:val="28"/>
          <w:szCs w:val="28"/>
        </w:rPr>
      </w:pPr>
      <w:r w:rsidDel="00000000" w:rsidR="00000000" w:rsidRPr="00000000">
        <w:rPr>
          <w:rtl w:val="0"/>
        </w:rPr>
      </w:r>
    </w:p>
    <w:sdt>
      <w:sdtPr>
        <w:lock w:val="contentLocked"/>
        <w:id w:val="1047979376"/>
        <w:tag w:val="goog_rdk_0"/>
      </w:sdtPr>
      <w:sdtContent>
        <w:tbl>
          <w:tblPr>
            <w:tblStyle w:val="Table1"/>
            <w:tblW w:w="9750.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0"/>
            <w:tblGridChange w:id="0">
              <w:tblGrid>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8"/>
                    <w:szCs w:val="28"/>
                  </w:rPr>
                </w:pPr>
                <w:r w:rsidDel="00000000" w:rsidR="00000000" w:rsidRPr="00000000">
                  <w:rPr>
                    <w:sz w:val="28"/>
                    <w:szCs w:val="28"/>
                    <w:rtl w:val="0"/>
                  </w:rPr>
                  <w:t xml:space="preserve">1.Introduction to Tesla, Inc.</w:t>
                </w:r>
              </w:p>
              <w:p w:rsidR="00000000" w:rsidDel="00000000" w:rsidP="00000000" w:rsidRDefault="00000000" w:rsidRPr="00000000" w14:paraId="0000002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1.1 Company Mission and Strategic Evolution</w:t>
                </w:r>
              </w:p>
              <w:p w:rsidR="00000000" w:rsidDel="00000000" w:rsidP="00000000" w:rsidRDefault="00000000" w:rsidRPr="00000000" w14:paraId="0000002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1.2 Key Product Launches and Operational Milestones</w:t>
                </w:r>
              </w:p>
              <w:p w:rsidR="00000000" w:rsidDel="00000000" w:rsidP="00000000" w:rsidRDefault="00000000" w:rsidRPr="00000000" w14:paraId="0000002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1.3 Unique Business Model and Vertical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8"/>
                    <w:szCs w:val="28"/>
                  </w:rPr>
                </w:pPr>
                <w:r w:rsidDel="00000000" w:rsidR="00000000" w:rsidRPr="00000000">
                  <w:rPr>
                    <w:sz w:val="28"/>
                    <w:szCs w:val="28"/>
                    <w:rtl w:val="0"/>
                  </w:rPr>
                  <w:t xml:space="preserve">2.</w:t>
                </w:r>
                <w:r w:rsidDel="00000000" w:rsidR="00000000" w:rsidRPr="00000000">
                  <w:rPr>
                    <w:sz w:val="28"/>
                    <w:szCs w:val="28"/>
                    <w:rtl w:val="0"/>
                  </w:rPr>
                  <w:t xml:space="preserve">Macroeconomic and Industry Landscape (2012–2020)</w:t>
                </w:r>
              </w:p>
              <w:p w:rsidR="00000000" w:rsidDel="00000000" w:rsidP="00000000" w:rsidRDefault="00000000" w:rsidRPr="00000000" w14:paraId="00000031">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2.1 Global Automotive Industry Trends</w:t>
                </w:r>
              </w:p>
              <w:p w:rsidR="00000000" w:rsidDel="00000000" w:rsidP="00000000" w:rsidRDefault="00000000" w:rsidRPr="00000000" w14:paraId="00000032">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2.2 Electric Vehicle Market Growth and Adoption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r w:rsidDel="00000000" w:rsidR="00000000" w:rsidRPr="00000000">
                  <w:rPr>
                    <w:sz w:val="28"/>
                    <w:szCs w:val="28"/>
                    <w:rtl w:val="0"/>
                  </w:rPr>
                  <w:t xml:space="preserve">.Financial Performance Analysis </w:t>
                </w:r>
              </w:p>
              <w:p w:rsidR="00000000" w:rsidDel="00000000" w:rsidP="00000000" w:rsidRDefault="00000000" w:rsidRPr="00000000" w14:paraId="0000003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20"/>
                    <w:szCs w:val="20"/>
                    <w:rtl w:val="0"/>
                  </w:rPr>
                  <w:t xml:space="preserve">3.1 Revenue Growth and Composition</w:t>
                </w:r>
              </w:p>
              <w:p w:rsidR="00000000" w:rsidDel="00000000" w:rsidP="00000000" w:rsidRDefault="00000000" w:rsidRPr="00000000" w14:paraId="0000003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3.2 Cost Structure and Profitability Trends</w:t>
                </w:r>
              </w:p>
              <w:p w:rsidR="00000000" w:rsidDel="00000000" w:rsidP="00000000" w:rsidRDefault="00000000" w:rsidRPr="00000000" w14:paraId="0000003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3.3 R&amp;D Investment and Capital Expenditures</w:t>
                </w:r>
              </w:p>
              <w:p w:rsidR="00000000" w:rsidDel="00000000" w:rsidP="00000000" w:rsidRDefault="00000000" w:rsidRPr="00000000" w14:paraId="0000003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3.4 Cash Flow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4. Valuation</w:t>
                </w:r>
              </w:p>
              <w:p w:rsidR="00000000" w:rsidDel="00000000" w:rsidP="00000000" w:rsidRDefault="00000000" w:rsidRPr="00000000" w14:paraId="00000039">
                <w:pPr>
                  <w:widowControl w:val="0"/>
                  <w:spacing w:line="240" w:lineRule="auto"/>
                  <w:rPr>
                    <w:rFonts w:ascii="Cambria" w:cs="Cambria" w:eastAsia="Cambria" w:hAnsi="Cambria"/>
                    <w:sz w:val="20"/>
                    <w:szCs w:val="20"/>
                  </w:rPr>
                </w:pPr>
                <w:r w:rsidDel="00000000" w:rsidR="00000000" w:rsidRPr="00000000">
                  <w:rPr>
                    <w:sz w:val="28"/>
                    <w:szCs w:val="28"/>
                    <w:rtl w:val="0"/>
                  </w:rPr>
                  <w:t xml:space="preserve">   </w:t>
                </w:r>
                <w:r w:rsidDel="00000000" w:rsidR="00000000" w:rsidRPr="00000000">
                  <w:rPr>
                    <w:rFonts w:ascii="Cambria" w:cs="Cambria" w:eastAsia="Cambria" w:hAnsi="Cambria"/>
                    <w:sz w:val="20"/>
                    <w:szCs w:val="20"/>
                    <w:rtl w:val="0"/>
                  </w:rPr>
                  <w:t xml:space="preserve">4.1 Valuation Methodology (DCF, CCA)</w:t>
                </w:r>
              </w:p>
              <w:p w:rsidR="00000000" w:rsidDel="00000000" w:rsidP="00000000" w:rsidRDefault="00000000" w:rsidRPr="00000000" w14:paraId="0000003A">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4.2 Key Valuation Inputs (WACC, Beta, Risk Premium)</w:t>
                </w:r>
              </w:p>
              <w:p w:rsidR="00000000" w:rsidDel="00000000" w:rsidP="00000000" w:rsidRDefault="00000000" w:rsidRPr="00000000" w14:paraId="0000003B">
                <w:pPr>
                  <w:widowControl w:val="0"/>
                  <w:spacing w:line="240"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4.3 Comparable Company Analysis</w:t>
                </w:r>
              </w:p>
            </w:tc>
          </w:tr>
          <w:tr>
            <w:trPr>
              <w:cantSplit w:val="0"/>
              <w:trHeight w:val="526.9726562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sz w:val="24"/>
                    <w:szCs w:val="24"/>
                    <w:rtl w:val="0"/>
                  </w:rPr>
                  <w:t xml:space="preserve">5.</w:t>
                </w:r>
                <w:r w:rsidDel="00000000" w:rsidR="00000000" w:rsidRPr="00000000">
                  <w:rPr>
                    <w:sz w:val="24"/>
                    <w:szCs w:val="24"/>
                    <w:rtl w:val="0"/>
                  </w:rPr>
                  <w:t xml:space="preserve">Strategic Outlook and Future Considerations (as of 2020)</w:t>
                  <w:br w:type="textWrapping"/>
                </w:r>
                <w:r w:rsidDel="00000000" w:rsidR="00000000" w:rsidRPr="00000000">
                  <w:rPr>
                    <w:rtl w:val="0"/>
                  </w:rPr>
                  <w:t xml:space="preserve">     5.1 Product Expansion and Gigafactory Scaling</w:t>
                  <w:br w:type="textWrapping"/>
                  <w:t xml:space="preserve">     5.2 Energy Storage and Software Potential</w:t>
                  <w:br w:type="textWrapping"/>
                  <w:t xml:space="preserve">     5.3 Autonomous Driving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spacing w:after="80" w:line="259" w:lineRule="auto"/>
                  <w:rPr>
                    <w:rFonts w:ascii="Cambria" w:cs="Cambria" w:eastAsia="Cambria" w:hAnsi="Cambria"/>
                    <w:sz w:val="20"/>
                    <w:szCs w:val="20"/>
                  </w:rPr>
                </w:pPr>
                <w:r w:rsidDel="00000000" w:rsidR="00000000" w:rsidRPr="00000000">
                  <w:rPr>
                    <w:sz w:val="28"/>
                    <w:szCs w:val="28"/>
                    <w:rtl w:val="0"/>
                  </w:rPr>
                  <w:t xml:space="preserve">6. Strategic Outlook and Future Considerations (as of 2020)</w:t>
                  <w:br w:type="textWrapping"/>
                  <w:t xml:space="preserve">    </w:t>
                </w:r>
                <w:r w:rsidDel="00000000" w:rsidR="00000000" w:rsidRPr="00000000">
                  <w:rPr>
                    <w:rFonts w:ascii="Cambria" w:cs="Cambria" w:eastAsia="Cambria" w:hAnsi="Cambria"/>
                    <w:sz w:val="20"/>
                    <w:szCs w:val="20"/>
                    <w:rtl w:val="0"/>
                  </w:rPr>
                  <w:t xml:space="preserve"> 6.1 Product Expansion Plans and Gigafactory Scali</w:t>
                  <w:br w:type="textWrapping"/>
                  <w:t xml:space="preserve">       </w:t>
                </w:r>
                <w:r w:rsidDel="00000000" w:rsidR="00000000" w:rsidRPr="00000000">
                  <w:rPr>
                    <w:rFonts w:ascii="Cambria" w:cs="Cambria" w:eastAsia="Cambria" w:hAnsi="Cambria"/>
                    <w:sz w:val="20"/>
                    <w:szCs w:val="20"/>
                    <w:rtl w:val="0"/>
                  </w:rPr>
                  <w:t xml:space="preserve"> 6.2 Energy Storage and Software Business Potential</w:t>
                </w:r>
              </w:p>
              <w:p w:rsidR="00000000" w:rsidDel="00000000" w:rsidP="00000000" w:rsidRDefault="00000000" w:rsidRPr="00000000" w14:paraId="0000003E">
                <w:pPr>
                  <w:keepNext w:val="0"/>
                  <w:keepLines w:val="0"/>
                  <w:spacing w:after="80" w:line="259" w:lineRule="auto"/>
                  <w:rPr>
                    <w:rFonts w:ascii="Cambria" w:cs="Cambria" w:eastAsia="Cambria" w:hAnsi="Cambria"/>
                    <w:sz w:val="16"/>
                    <w:szCs w:val="16"/>
                  </w:rPr>
                </w:pP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rtl w:val="0"/>
                  </w:rPr>
                  <w:t xml:space="preserve">6.3 Autonomous Driving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7. Conclusion and Recommendations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Aptos" w:cs="Aptos" w:eastAsia="Aptos" w:hAnsi="Aptos"/>
                    <w:b w:val="1"/>
                    <w:sz w:val="28"/>
                    <w:szCs w:val="28"/>
                    <w:rtl w:val="0"/>
                  </w:rPr>
                  <w:t xml:space="preserve">  </w:t>
                </w:r>
                <w:r w:rsidDel="00000000" w:rsidR="00000000" w:rsidRPr="00000000">
                  <w:rPr>
                    <w:rFonts w:ascii="Cambria" w:cs="Cambria" w:eastAsia="Cambria" w:hAnsi="Cambria"/>
                    <w:sz w:val="20"/>
                    <w:szCs w:val="20"/>
                    <w:rtl w:val="0"/>
                  </w:rPr>
                  <w:t xml:space="preserve">7.1 Summary of Key Findings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7.2 Investment Implications and Risks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r>
        </w:tbl>
      </w:sdtContent>
    </w:sdt>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onstantia" w:cs="Constantia" w:eastAsia="Constantia" w:hAnsi="Constantia"/>
          <w:b w:val="1"/>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onstantia" w:cs="Constantia" w:eastAsia="Constantia" w:hAnsi="Constantia"/>
          <w:b w:val="1"/>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onstantia" w:cs="Constantia" w:eastAsia="Constantia" w:hAnsi="Constantia"/>
          <w:b w:val="1"/>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onstantia" w:cs="Constantia" w:eastAsia="Constantia" w:hAnsi="Constantia"/>
          <w:b w:val="1"/>
          <w:sz w:val="28"/>
          <w:szCs w:val="28"/>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onstantia" w:cs="Constantia" w:eastAsia="Constantia" w:hAnsi="Constantia"/>
          <w:b w:val="1"/>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0"/>
          <w:szCs w:val="20"/>
        </w:rPr>
      </w:pPr>
      <w:r w:rsidDel="00000000" w:rsidR="00000000" w:rsidRPr="00000000">
        <w:rPr>
          <w:rFonts w:ascii="Constantia" w:cs="Constantia" w:eastAsia="Constantia" w:hAnsi="Constantia"/>
          <w:b w:val="1"/>
          <w:i w:val="0"/>
          <w:smallCaps w:val="0"/>
          <w:strike w:val="0"/>
          <w:color w:val="000000"/>
          <w:sz w:val="28"/>
          <w:szCs w:val="28"/>
          <w:u w:val="none"/>
          <w:shd w:fill="auto" w:val="clear"/>
          <w:vertAlign w:val="baseline"/>
          <w:rtl w:val="0"/>
        </w:rPr>
        <w:t xml:space="preserve">Executive summary </w:t>
      </w:r>
      <w:r w:rsidDel="00000000" w:rsidR="00000000" w:rsidRPr="00000000">
        <w:rPr>
          <w:rFonts w:ascii="Constantia" w:cs="Constantia" w:eastAsia="Constantia" w:hAnsi="Constantia"/>
          <w:b w:val="1"/>
          <w:sz w:val="28"/>
          <w:szCs w:val="28"/>
          <w:rtl w:val="0"/>
        </w:rPr>
        <w:br w:type="textWrapping"/>
      </w:r>
      <w:r w:rsidDel="00000000" w:rsidR="00000000" w:rsidRPr="00000000">
        <w:rPr>
          <w:rFonts w:ascii="Cambria" w:cs="Cambria" w:eastAsia="Cambria" w:hAnsi="Cambria"/>
          <w:sz w:val="20"/>
          <w:szCs w:val="20"/>
          <w:rtl w:val="0"/>
        </w:rPr>
        <w:t xml:space="preserve">This report provides a comprehensive financial analysis of Tesla, Inc. for the period spanning 2012 to 2020, a transformative era during which the company evolved from a niche electric vehicle (EV) manufacturer into a global automotive and clean energy innovator. The analysis highlights Tesla's unique business model, its aggressive scaling of production and infrastructure, and its strategic diversification into energy storage and solar solutions. Key financial performance indicators demonstrate a trajectory of explosive revenue growth, a shift from consistent net losses to GAAP profitability in 2020, and substantial investments in research and development and manufacturing capabilities.</w:t>
      </w:r>
    </w:p>
    <w:p w:rsidR="00000000" w:rsidDel="00000000" w:rsidP="00000000" w:rsidRDefault="00000000" w:rsidRPr="00000000" w14:paraId="0000004B">
      <w:pPr>
        <w:spacing w:after="240" w:before="240" w:line="259"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report details the macroeconomic and industry landscape, including the accelerating global adoption of EVs, supportive government incentives, and the intensifying competitive environment, even amidst the unprecedented challenges posed by the COVID-19 pandemic in 2020. Valuation insights reveal that Tesla's market capitalization and multiples significantly outpaced traditional automotive manufacturers, reflecting a substantial premium attributed to its disruptive technology, vertical integration, and the perceived future potential of its energy and autonomous driving segments. As of 2020, Tesla's intrinsic value was heavily influenced by its ambitious growth projections and the successful execution of its global expansion plans, indicating a high-growth, high-risk investment profile.</w:t>
        <w:br w:type="textWrapping"/>
        <w:br w:type="textWrapping"/>
      </w:r>
    </w:p>
    <w:p w:rsidR="00000000" w:rsidDel="00000000" w:rsidP="00000000" w:rsidRDefault="00000000" w:rsidRPr="00000000" w14:paraId="0000004C">
      <w:pPr>
        <w:spacing w:after="160" w:line="259"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Highlights:</w:t>
      </w:r>
    </w:p>
    <w:p w:rsidR="00000000" w:rsidDel="00000000" w:rsidP="00000000" w:rsidRDefault="00000000" w:rsidRPr="00000000" w14:paraId="0000004D">
      <w:pPr>
        <w:spacing w:after="160" w:line="259"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Revenue Growth: Surged from $413M (2012) to $31.54B (2020), driven by Model 3/Y.</w:t>
      </w:r>
    </w:p>
    <w:p w:rsidR="00000000" w:rsidDel="00000000" w:rsidP="00000000" w:rsidRDefault="00000000" w:rsidRPr="00000000" w14:paraId="0000004E">
      <w:pPr>
        <w:spacing w:after="160" w:line="259"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Profitability: Achieved first GAAP profitability in 2020 ($690M net income), aided by regulatory credits ($1.6B).</w:t>
      </w:r>
    </w:p>
    <w:p w:rsidR="00000000" w:rsidDel="00000000" w:rsidP="00000000" w:rsidRDefault="00000000" w:rsidRPr="00000000" w14:paraId="0000004F">
      <w:pPr>
        <w:spacing w:after="160" w:line="259" w:lineRule="auto"/>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R&amp;D and Capex: Heavy investments in Gigafactories ($23.4B PP&amp;E by 2020) and battery tech.</w:t>
      </w:r>
    </w:p>
    <w:p w:rsidR="00000000" w:rsidDel="00000000" w:rsidP="00000000" w:rsidRDefault="00000000" w:rsidRPr="00000000" w14:paraId="00000050">
      <w:pPr>
        <w:spacing w:after="160" w:line="259" w:lineRule="auto"/>
        <w:rPr>
          <w:rFonts w:ascii="Aptos" w:cs="Aptos" w:eastAsia="Aptos" w:hAnsi="Aptos"/>
          <w:sz w:val="20"/>
          <w:szCs w:val="20"/>
        </w:rPr>
      </w:pPr>
      <w:r w:rsidDel="00000000" w:rsidR="00000000" w:rsidRPr="00000000">
        <w:rPr>
          <w:rFonts w:ascii="Cambria" w:cs="Cambria" w:eastAsia="Cambria" w:hAnsi="Cambria"/>
          <w:sz w:val="20"/>
          <w:szCs w:val="20"/>
          <w:rtl w:val="0"/>
        </w:rPr>
        <w:t xml:space="preserve">Valuation: Market cap soared 700% in 2020, reflecting a growth premium over traditional automakers</w:t>
      </w:r>
      <w:r w:rsidDel="00000000" w:rsidR="00000000" w:rsidRPr="00000000">
        <w:rPr>
          <w:rFonts w:ascii="Aptos" w:cs="Aptos" w:eastAsia="Aptos" w:hAnsi="Aptos"/>
          <w:sz w:val="20"/>
          <w:szCs w:val="20"/>
          <w:rtl w:val="0"/>
        </w:rPr>
        <w:t xml:space="preserve">.</w:t>
      </w:r>
    </w:p>
    <w:p w:rsidR="00000000" w:rsidDel="00000000" w:rsidP="00000000" w:rsidRDefault="00000000" w:rsidRPr="00000000" w14:paraId="00000051">
      <w:pPr>
        <w:spacing w:after="160" w:line="259"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sz w:val="20"/>
          <w:szCs w:val="20"/>
        </w:rPr>
      </w:pPr>
      <w:r w:rsidDel="00000000" w:rsidR="00000000" w:rsidRPr="00000000">
        <w:rPr>
          <w:rtl w:val="0"/>
        </w:rPr>
      </w:r>
    </w:p>
    <w:p w:rsidR="00000000" w:rsidDel="00000000" w:rsidP="00000000" w:rsidRDefault="00000000" w:rsidRPr="00000000" w14:paraId="00000056">
      <w:pPr>
        <w:pStyle w:val="Heading2"/>
        <w:keepNext w:val="0"/>
        <w:keepLines w:val="0"/>
        <w:spacing w:after="80" w:line="259" w:lineRule="auto"/>
        <w:rPr>
          <w:rFonts w:ascii="Aptos" w:cs="Aptos" w:eastAsia="Aptos" w:hAnsi="Aptos"/>
          <w:b w:val="1"/>
          <w:sz w:val="34"/>
          <w:szCs w:val="34"/>
        </w:rPr>
      </w:pPr>
      <w:bookmarkStart w:colFirst="0" w:colLast="0" w:name="_heading=h.m7der9qe32rd" w:id="3"/>
      <w:bookmarkEnd w:id="3"/>
      <w:r w:rsidDel="00000000" w:rsidR="00000000" w:rsidRPr="00000000">
        <w:rPr>
          <w:rtl w:val="0"/>
        </w:rPr>
      </w:r>
    </w:p>
    <w:p w:rsidR="00000000" w:rsidDel="00000000" w:rsidP="00000000" w:rsidRDefault="00000000" w:rsidRPr="00000000" w14:paraId="00000057">
      <w:pPr>
        <w:pStyle w:val="Heading2"/>
        <w:keepNext w:val="0"/>
        <w:keepLines w:val="0"/>
        <w:spacing w:after="80" w:line="259" w:lineRule="auto"/>
        <w:rPr>
          <w:rFonts w:ascii="Aptos" w:cs="Aptos" w:eastAsia="Aptos" w:hAnsi="Aptos"/>
          <w:b w:val="1"/>
          <w:sz w:val="34"/>
          <w:szCs w:val="34"/>
        </w:rPr>
      </w:pPr>
      <w:bookmarkStart w:colFirst="0" w:colLast="0" w:name="_heading=h.ahaynawl8w5l" w:id="4"/>
      <w:bookmarkEnd w:id="4"/>
      <w:r w:rsidDel="00000000" w:rsidR="00000000" w:rsidRPr="00000000">
        <w:rPr>
          <w:rtl w:val="0"/>
        </w:rPr>
      </w:r>
    </w:p>
    <w:p w:rsidR="00000000" w:rsidDel="00000000" w:rsidP="00000000" w:rsidRDefault="00000000" w:rsidRPr="00000000" w14:paraId="00000058">
      <w:pPr>
        <w:pStyle w:val="Heading2"/>
        <w:keepNext w:val="0"/>
        <w:keepLines w:val="0"/>
        <w:spacing w:after="80" w:line="259" w:lineRule="auto"/>
        <w:rPr>
          <w:rFonts w:ascii="Aptos" w:cs="Aptos" w:eastAsia="Aptos" w:hAnsi="Aptos"/>
          <w:b w:val="1"/>
          <w:sz w:val="34"/>
          <w:szCs w:val="34"/>
        </w:rPr>
      </w:pPr>
      <w:bookmarkStart w:colFirst="0" w:colLast="0" w:name="_heading=h.d6qdsgxx24r" w:id="5"/>
      <w:bookmarkEnd w:id="5"/>
      <w:r w:rsidDel="00000000" w:rsidR="00000000" w:rsidRPr="00000000">
        <w:rPr>
          <w:rtl w:val="0"/>
        </w:rPr>
      </w:r>
    </w:p>
    <w:p w:rsidR="00000000" w:rsidDel="00000000" w:rsidP="00000000" w:rsidRDefault="00000000" w:rsidRPr="00000000" w14:paraId="00000059">
      <w:pPr>
        <w:pStyle w:val="Heading2"/>
        <w:keepNext w:val="0"/>
        <w:keepLines w:val="0"/>
        <w:spacing w:after="80" w:line="259" w:lineRule="auto"/>
        <w:rPr>
          <w:rFonts w:ascii="Aptos" w:cs="Aptos" w:eastAsia="Aptos" w:hAnsi="Aptos"/>
          <w:b w:val="1"/>
          <w:sz w:val="34"/>
          <w:szCs w:val="34"/>
        </w:rPr>
      </w:pPr>
      <w:bookmarkStart w:colFirst="0" w:colLast="0" w:name="_heading=h.1qr8w7gbdlza" w:id="6"/>
      <w:bookmarkEnd w:id="6"/>
      <w:r w:rsidDel="00000000" w:rsidR="00000000" w:rsidRPr="00000000">
        <w:rPr>
          <w:rtl w:val="0"/>
        </w:rPr>
      </w:r>
    </w:p>
    <w:p w:rsidR="00000000" w:rsidDel="00000000" w:rsidP="00000000" w:rsidRDefault="00000000" w:rsidRPr="00000000" w14:paraId="0000005A">
      <w:pPr>
        <w:pStyle w:val="Heading2"/>
        <w:keepNext w:val="0"/>
        <w:keepLines w:val="0"/>
        <w:spacing w:after="80" w:line="259" w:lineRule="auto"/>
        <w:rPr>
          <w:rFonts w:ascii="Aptos" w:cs="Aptos" w:eastAsia="Aptos" w:hAnsi="Aptos"/>
          <w:b w:val="1"/>
          <w:sz w:val="34"/>
          <w:szCs w:val="34"/>
        </w:rPr>
      </w:pPr>
      <w:bookmarkStart w:colFirst="0" w:colLast="0" w:name="_heading=h.1d491fto25e3" w:id="7"/>
      <w:bookmarkEnd w:id="7"/>
      <w:r w:rsidDel="00000000" w:rsidR="00000000" w:rsidRPr="00000000">
        <w:rPr>
          <w:rtl w:val="0"/>
        </w:rPr>
      </w:r>
    </w:p>
    <w:p w:rsidR="00000000" w:rsidDel="00000000" w:rsidP="00000000" w:rsidRDefault="00000000" w:rsidRPr="00000000" w14:paraId="0000005B">
      <w:pPr>
        <w:pStyle w:val="Heading2"/>
        <w:keepNext w:val="0"/>
        <w:keepLines w:val="0"/>
        <w:spacing w:after="80" w:line="259" w:lineRule="auto"/>
        <w:rPr>
          <w:rFonts w:ascii="Aptos" w:cs="Aptos" w:eastAsia="Aptos" w:hAnsi="Aptos"/>
          <w:b w:val="1"/>
          <w:sz w:val="34"/>
          <w:szCs w:val="34"/>
        </w:rPr>
      </w:pPr>
      <w:bookmarkStart w:colFirst="0" w:colLast="0" w:name="_heading=h.elurwqkjxuje" w:id="8"/>
      <w:bookmarkEnd w:id="8"/>
      <w:r w:rsidDel="00000000" w:rsidR="00000000" w:rsidRPr="00000000">
        <w:rPr>
          <w:rtl w:val="0"/>
        </w:rPr>
      </w:r>
    </w:p>
    <w:p w:rsidR="00000000" w:rsidDel="00000000" w:rsidP="00000000" w:rsidRDefault="00000000" w:rsidRPr="00000000" w14:paraId="0000005C">
      <w:pPr>
        <w:pStyle w:val="Heading2"/>
        <w:keepNext w:val="0"/>
        <w:keepLines w:val="0"/>
        <w:spacing w:after="80" w:line="259" w:lineRule="auto"/>
        <w:rPr>
          <w:rFonts w:ascii="Aptos" w:cs="Aptos" w:eastAsia="Aptos" w:hAnsi="Aptos"/>
          <w:b w:val="1"/>
          <w:sz w:val="34"/>
          <w:szCs w:val="34"/>
        </w:rPr>
      </w:pPr>
      <w:bookmarkStart w:colFirst="0" w:colLast="0" w:name="_heading=h.aeltia3caaiq" w:id="9"/>
      <w:bookmarkEnd w:id="9"/>
      <w:r w:rsidDel="00000000" w:rsidR="00000000" w:rsidRPr="00000000">
        <w:rPr>
          <w:rtl w:val="0"/>
        </w:rPr>
      </w:r>
    </w:p>
    <w:p w:rsidR="00000000" w:rsidDel="00000000" w:rsidP="00000000" w:rsidRDefault="00000000" w:rsidRPr="00000000" w14:paraId="0000005D">
      <w:pPr>
        <w:pStyle w:val="Heading2"/>
        <w:keepNext w:val="0"/>
        <w:keepLines w:val="0"/>
        <w:spacing w:after="80" w:line="259" w:lineRule="auto"/>
        <w:rPr>
          <w:rFonts w:ascii="Aptos" w:cs="Aptos" w:eastAsia="Aptos" w:hAnsi="Aptos"/>
          <w:b w:val="1"/>
          <w:sz w:val="34"/>
          <w:szCs w:val="34"/>
        </w:rPr>
      </w:pPr>
      <w:bookmarkStart w:colFirst="0" w:colLast="0" w:name="_heading=h.u41rrgazrivr" w:id="10"/>
      <w:bookmarkEnd w:id="10"/>
      <w:r w:rsidDel="00000000" w:rsidR="00000000" w:rsidRPr="00000000">
        <w:rPr>
          <w:rFonts w:ascii="Aptos" w:cs="Aptos" w:eastAsia="Aptos" w:hAnsi="Aptos"/>
          <w:b w:val="1"/>
          <w:sz w:val="34"/>
          <w:szCs w:val="34"/>
          <w:rtl w:val="0"/>
        </w:rPr>
        <w:t xml:space="preserve">1. Introduction to Tesla, Inc. (2012-2020)</w:t>
      </w:r>
    </w:p>
    <w:p w:rsidR="00000000" w:rsidDel="00000000" w:rsidP="00000000" w:rsidRDefault="00000000" w:rsidRPr="00000000" w14:paraId="0000005E">
      <w:pPr>
        <w:pStyle w:val="Heading3"/>
        <w:keepNext w:val="0"/>
        <w:keepLines w:val="0"/>
        <w:spacing w:before="280" w:line="259" w:lineRule="auto"/>
        <w:rPr>
          <w:rFonts w:ascii="Aptos" w:cs="Aptos" w:eastAsia="Aptos" w:hAnsi="Aptos"/>
          <w:b w:val="1"/>
          <w:color w:val="000000"/>
          <w:sz w:val="26"/>
          <w:szCs w:val="26"/>
        </w:rPr>
      </w:pPr>
      <w:bookmarkStart w:colFirst="0" w:colLast="0" w:name="_heading=h.6kujuyfgzniu" w:id="11"/>
      <w:bookmarkEnd w:id="11"/>
      <w:r w:rsidDel="00000000" w:rsidR="00000000" w:rsidRPr="00000000">
        <w:rPr>
          <w:rFonts w:ascii="Aptos" w:cs="Aptos" w:eastAsia="Aptos" w:hAnsi="Aptos"/>
          <w:b w:val="1"/>
          <w:color w:val="000000"/>
          <w:sz w:val="26"/>
          <w:szCs w:val="26"/>
          <w:rtl w:val="0"/>
        </w:rPr>
        <w:t xml:space="preserve">1.1 Company Mission and Strategic Evolution</w:t>
      </w:r>
    </w:p>
    <w:p w:rsidR="00000000" w:rsidDel="00000000" w:rsidP="00000000" w:rsidRDefault="00000000" w:rsidRPr="00000000" w14:paraId="0000005F">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 Inc. was founded with a clear and ambitious mission: "to accelerate the advent of sustainable transport by bringing compelling mass-market electric cars to market as soon as possible". This foundational objective, championed by CEO Elon Musk, served as the guiding principle for the company's strategic choices and product development throughout the 2012-2020 period.  </w:t>
      </w:r>
    </w:p>
    <w:p w:rsidR="00000000" w:rsidDel="00000000" w:rsidP="00000000" w:rsidRDefault="00000000" w:rsidRPr="00000000" w14:paraId="00000060">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company initially adopted a distinctive "top-down" market strategy. Rather than immediately targeting the mass market, Tesla commenced its journey with high-end luxury vehicles, such as the Roadster and the Model S. This approach was designed to establish a strong brand reputation, generate crucial initial capital, and cultivate demand for electric vehicles among early adopters. For a nascent startup venturing into the capital-intensive automotive industry, this strategy was essential, as it allowed Tesla to build its technological foundation and scale operations without the immediate need for broad economies of scale.  </w:t>
      </w:r>
    </w:p>
    <w:p w:rsidR="00000000" w:rsidDel="00000000" w:rsidP="00000000" w:rsidRDefault="00000000" w:rsidRPr="00000000" w14:paraId="00000061">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As Tesla matured, its strategic vision expanded beyond simply manufacturing electric vehicles. The company began to integrate its operations to encompass a broader sustainable energy ecosystem. This diversification included ventures into solar panel production and the development of energy storage systems for both residential and commercial applications. This strategic shift aimed to create a cohesive system where electric transportation and clean energy solutions worked synergistically, reinforcing Tesla's overarching mission to accelerate the world's transition to sustainable energy.  </w:t>
      </w:r>
    </w:p>
    <w:p w:rsidR="00000000" w:rsidDel="00000000" w:rsidP="00000000" w:rsidRDefault="00000000" w:rsidRPr="00000000" w14:paraId="00000062">
      <w:pPr>
        <w:pStyle w:val="Heading3"/>
        <w:keepNext w:val="0"/>
        <w:keepLines w:val="0"/>
        <w:spacing w:before="280" w:line="259" w:lineRule="auto"/>
        <w:rPr>
          <w:rFonts w:ascii="Aptos" w:cs="Aptos" w:eastAsia="Aptos" w:hAnsi="Aptos"/>
          <w:b w:val="1"/>
          <w:color w:val="000000"/>
          <w:sz w:val="26"/>
          <w:szCs w:val="26"/>
        </w:rPr>
      </w:pPr>
      <w:bookmarkStart w:colFirst="0" w:colLast="0" w:name="_heading=h.4bycq4vnyatp" w:id="12"/>
      <w:bookmarkEnd w:id="12"/>
      <w:r w:rsidDel="00000000" w:rsidR="00000000" w:rsidRPr="00000000">
        <w:rPr>
          <w:rFonts w:ascii="Aptos" w:cs="Aptos" w:eastAsia="Aptos" w:hAnsi="Aptos"/>
          <w:b w:val="1"/>
          <w:color w:val="000000"/>
          <w:sz w:val="26"/>
          <w:szCs w:val="26"/>
          <w:rtl w:val="0"/>
        </w:rPr>
        <w:t xml:space="preserve">1.2 Key Product Launches and Operational Milestones</w:t>
      </w:r>
    </w:p>
    <w:p w:rsidR="00000000" w:rsidDel="00000000" w:rsidP="00000000" w:rsidRDefault="00000000" w:rsidRPr="00000000" w14:paraId="00000063">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period under review commenced with a pivotal moment for Tesla: the launch of the Model S luxury sedan in June 2012. This vehicle quickly earned widespread critical acclaim for its performance and design, significantly contributing to Tesla's revenues and marking a crucial transition from a niche automaker to a more mainstream competitor. Concurrently, production of the original Roadster ceased in January 2012, signaling a focus on newer models.  </w:t>
      </w:r>
    </w:p>
    <w:p w:rsidR="00000000" w:rsidDel="00000000" w:rsidP="00000000" w:rsidRDefault="00000000" w:rsidRPr="00000000" w14:paraId="00000064">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Following the success of the Model S, Tesla continued to expand its vehicle lineup. The Model X, an SUV, began deliveries in September 2015. A strategic turning point arrived in July 2017 with the introduction of the Model 3, which was designed as Tesla's entry into the affordable, mass-market segment. This model was instrumental in driving the company's revenues to unprecedented levels and played a significant role in its eventual achievement of profitability. The Model Y, a compact crossover SUV based on the Model 3, entered production in 2020, further broadening Tesla's appeal.  </w:t>
      </w:r>
    </w:p>
    <w:p w:rsidR="00000000" w:rsidDel="00000000" w:rsidP="00000000" w:rsidRDefault="00000000" w:rsidRPr="00000000" w14:paraId="00000065">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Beyond product development, Tesla embarked on an ambitious global manufacturing expansion. Key operational milestones included the establishment of Gigafactories designed to scale production and reduce costs. Gigafactory Nevada commenced operations in 2016, focusing on electric motors, batteries, and powertrains. Gigafactory New York, operational in 2017, was dedicated to solar products, including the Solar Roof. A major step in global expansion was the initiation of Gigafactory Shanghai production in 2019, which became vital for Model 3 and Model Y manufacturing for the local Chinese market. By 2020, construction also began on Gigafactory Berlin and Gigafactory Texas, underscoring Tesla's commitment to establishing a global manufacturing footprint.  </w:t>
        <w:br w:type="textWrapping"/>
      </w:r>
    </w:p>
    <w:p w:rsidR="00000000" w:rsidDel="00000000" w:rsidP="00000000" w:rsidRDefault="00000000" w:rsidRPr="00000000" w14:paraId="00000066">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Key Product Launches</w:t>
        <w:br w:type="textWrapping"/>
        <w:t xml:space="preserve">2012: Model S (luxury sedan).</w:t>
        <w:br w:type="textWrapping"/>
        <w:t xml:space="preserve">2015: Model X (SUV).</w:t>
        <w:br w:type="textWrapping"/>
        <w:t xml:space="preserve">2017: Model 3 (mass-market).</w:t>
        <w:br w:type="textWrapping"/>
        <w:t xml:space="preserve">2020: Model Y and Cybertruck announcement.</w:t>
        <w:br w:type="textWrapping"/>
        <w:t xml:space="preserve">Gigafactories: Nevada (2016), Shanghai (2019), Berlin/Texas (2020) to scale production.</w:t>
      </w:r>
    </w:p>
    <w:p w:rsidR="00000000" w:rsidDel="00000000" w:rsidP="00000000" w:rsidRDefault="00000000" w:rsidRPr="00000000" w14:paraId="00000067">
      <w:pPr>
        <w:spacing w:after="240" w:before="240" w:line="259"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68">
      <w:pPr>
        <w:spacing w:after="240" w:before="240" w:line="259"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259" w:lineRule="auto"/>
        <w:rPr>
          <w:rFonts w:ascii="Aptos" w:cs="Aptos" w:eastAsia="Aptos" w:hAnsi="Aptos"/>
          <w:b w:val="1"/>
          <w:color w:val="000000"/>
          <w:sz w:val="26"/>
          <w:szCs w:val="26"/>
        </w:rPr>
      </w:pPr>
      <w:bookmarkStart w:colFirst="0" w:colLast="0" w:name="_heading=h.fthireeuir6x" w:id="13"/>
      <w:bookmarkEnd w:id="13"/>
      <w:r w:rsidDel="00000000" w:rsidR="00000000" w:rsidRPr="00000000">
        <w:rPr>
          <w:rFonts w:ascii="Aptos" w:cs="Aptos" w:eastAsia="Aptos" w:hAnsi="Aptos"/>
          <w:b w:val="1"/>
          <w:color w:val="000000"/>
          <w:sz w:val="26"/>
          <w:szCs w:val="26"/>
          <w:rtl w:val="0"/>
        </w:rPr>
        <w:t xml:space="preserve">1.3 Unique Business Model and Vertical Integration</w:t>
      </w:r>
    </w:p>
    <w:p w:rsidR="00000000" w:rsidDel="00000000" w:rsidP="00000000" w:rsidRDefault="00000000" w:rsidRPr="00000000" w14:paraId="0000006A">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 differentiated itself from traditional automotive manufacturers through a distinctive direct-to-consumer sales model, eschewing the conventional franchised dealership network. This approach was implemented to exert greater control over the entire customer experience, from initial inquiry to vehicle delivery and post-purchase service. By owning the sales channel, Tesla aimed to ensure consistent pricing, eliminate potential conflicts of interest often associated with independent dealerships, and foster a more seamless buying journey. This direct interaction also facilitated rapid customer feedback, which in turn could accelerate product development and improvement cycles.  </w:t>
      </w:r>
    </w:p>
    <w:p w:rsidR="00000000" w:rsidDel="00000000" w:rsidP="00000000" w:rsidRDefault="00000000" w:rsidRPr="00000000" w14:paraId="0000006B">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 critical element of Tesla's strategy to overcome one of the primary obstacles to electric vehicle adoption—range anxiety and charging infrastructure—was the development of its proprietary Supercharger network. This extensive network allowed Tesla drivers to quickly and conveniently charge their vehicles, a feature that significantly enhanced the practicality and appeal of long-distance EV travel. By 2020, Tesla had established over 1,770 Supercharger stations globally, a testament to its commitment to building a comprehensive ecosystem around its vehicles.  </w:t>
      </w:r>
    </w:p>
    <w:p w:rsidR="00000000" w:rsidDel="00000000" w:rsidP="00000000" w:rsidRDefault="00000000" w:rsidRPr="00000000" w14:paraId="0000006C">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Furthermore, Tesla pursued an aggressive strategy of vertical integration, a departure from the typical automotive industry model that relies heavily on third-party suppliers. The company sought to control various aspects of its production, ranging from battery manufacturing to final vehicle assembly, and even extending to its energy products. This integrated approach was designed to achieve several strategic advantages. By internalizing key production processes, Tesla aimed to gain tighter control over costs, ensure stringent quality assurance across its product lines, and enable faster problem-solving within its supply chain. This comprehensive, integrated ecosystem, encompassing direct sales, a proprietary charging network, and in-house manufacturing of critical components, served to enhance customer loyalty and significantly reduce concerns related to EV ownership, thereby setting Tesla apart in the nascent electric vehicle market. This strategic choice was a fundamental enabler of Tesla's rapid growth and its disruptive impact on the automotive industry.  </w:t>
      </w:r>
    </w:p>
    <w:p w:rsidR="00000000" w:rsidDel="00000000" w:rsidP="00000000" w:rsidRDefault="00000000" w:rsidRPr="00000000" w14:paraId="0000006D">
      <w:pPr>
        <w:pStyle w:val="Heading2"/>
        <w:keepNext w:val="0"/>
        <w:keepLines w:val="0"/>
        <w:spacing w:after="80" w:line="259" w:lineRule="auto"/>
        <w:rPr>
          <w:rFonts w:ascii="Aptos" w:cs="Aptos" w:eastAsia="Aptos" w:hAnsi="Aptos"/>
          <w:b w:val="1"/>
          <w:sz w:val="34"/>
          <w:szCs w:val="34"/>
        </w:rPr>
      </w:pPr>
      <w:bookmarkStart w:colFirst="0" w:colLast="0" w:name="_heading=h.2rx5eh1halvx" w:id="14"/>
      <w:bookmarkEnd w:id="14"/>
      <w:r w:rsidDel="00000000" w:rsidR="00000000" w:rsidRPr="00000000">
        <w:rPr>
          <w:rtl w:val="0"/>
        </w:rPr>
      </w:r>
    </w:p>
    <w:p w:rsidR="00000000" w:rsidDel="00000000" w:rsidP="00000000" w:rsidRDefault="00000000" w:rsidRPr="00000000" w14:paraId="0000006E">
      <w:pPr>
        <w:pStyle w:val="Heading2"/>
        <w:keepNext w:val="0"/>
        <w:keepLines w:val="0"/>
        <w:spacing w:after="80" w:line="259" w:lineRule="auto"/>
        <w:rPr>
          <w:rFonts w:ascii="Aptos" w:cs="Aptos" w:eastAsia="Aptos" w:hAnsi="Aptos"/>
          <w:b w:val="1"/>
          <w:sz w:val="34"/>
          <w:szCs w:val="34"/>
        </w:rPr>
      </w:pPr>
      <w:bookmarkStart w:colFirst="0" w:colLast="0" w:name="_heading=h.qkk4r6o3d210" w:id="15"/>
      <w:bookmarkEnd w:id="15"/>
      <w:r w:rsidDel="00000000" w:rsidR="00000000" w:rsidRPr="00000000">
        <w:rPr>
          <w:rtl w:val="0"/>
        </w:rPr>
      </w:r>
    </w:p>
    <w:p w:rsidR="00000000" w:rsidDel="00000000" w:rsidP="00000000" w:rsidRDefault="00000000" w:rsidRPr="00000000" w14:paraId="0000006F">
      <w:pPr>
        <w:pStyle w:val="Heading2"/>
        <w:keepNext w:val="0"/>
        <w:keepLines w:val="0"/>
        <w:spacing w:after="80" w:line="259" w:lineRule="auto"/>
        <w:rPr>
          <w:rFonts w:ascii="Aptos" w:cs="Aptos" w:eastAsia="Aptos" w:hAnsi="Aptos"/>
          <w:b w:val="1"/>
          <w:sz w:val="34"/>
          <w:szCs w:val="34"/>
        </w:rPr>
      </w:pPr>
      <w:bookmarkStart w:colFirst="0" w:colLast="0" w:name="_heading=h.oqhxinerlupm" w:id="16"/>
      <w:bookmarkEnd w:id="16"/>
      <w:r w:rsidDel="00000000" w:rsidR="00000000" w:rsidRPr="00000000">
        <w:rPr>
          <w:rtl w:val="0"/>
        </w:rPr>
      </w:r>
    </w:p>
    <w:p w:rsidR="00000000" w:rsidDel="00000000" w:rsidP="00000000" w:rsidRDefault="00000000" w:rsidRPr="00000000" w14:paraId="00000070">
      <w:pPr>
        <w:pStyle w:val="Heading2"/>
        <w:keepNext w:val="0"/>
        <w:keepLines w:val="0"/>
        <w:spacing w:after="80" w:line="259" w:lineRule="auto"/>
        <w:rPr>
          <w:rFonts w:ascii="Aptos" w:cs="Aptos" w:eastAsia="Aptos" w:hAnsi="Aptos"/>
          <w:b w:val="1"/>
          <w:sz w:val="34"/>
          <w:szCs w:val="34"/>
        </w:rPr>
      </w:pPr>
      <w:bookmarkStart w:colFirst="0" w:colLast="0" w:name="_heading=h.osikex7at8cr" w:id="17"/>
      <w:bookmarkEnd w:id="17"/>
      <w:r w:rsidDel="00000000" w:rsidR="00000000" w:rsidRPr="00000000">
        <w:rPr>
          <w:rtl w:val="0"/>
        </w:rPr>
      </w:r>
    </w:p>
    <w:p w:rsidR="00000000" w:rsidDel="00000000" w:rsidP="00000000" w:rsidRDefault="00000000" w:rsidRPr="00000000" w14:paraId="00000071">
      <w:pPr>
        <w:pStyle w:val="Heading2"/>
        <w:keepNext w:val="0"/>
        <w:keepLines w:val="0"/>
        <w:spacing w:after="80" w:line="259" w:lineRule="auto"/>
        <w:rPr>
          <w:rFonts w:ascii="Aptos" w:cs="Aptos" w:eastAsia="Aptos" w:hAnsi="Aptos"/>
          <w:b w:val="1"/>
          <w:sz w:val="34"/>
          <w:szCs w:val="34"/>
        </w:rPr>
      </w:pPr>
      <w:bookmarkStart w:colFirst="0" w:colLast="0" w:name="_heading=h.rov3le3bgll2" w:id="18"/>
      <w:bookmarkEnd w:id="18"/>
      <w:r w:rsidDel="00000000" w:rsidR="00000000" w:rsidRPr="00000000">
        <w:rPr>
          <w:rtl w:val="0"/>
        </w:rPr>
      </w:r>
    </w:p>
    <w:p w:rsidR="00000000" w:rsidDel="00000000" w:rsidP="00000000" w:rsidRDefault="00000000" w:rsidRPr="00000000" w14:paraId="00000072">
      <w:pPr>
        <w:pStyle w:val="Heading2"/>
        <w:keepNext w:val="0"/>
        <w:keepLines w:val="0"/>
        <w:spacing w:after="80" w:line="259" w:lineRule="auto"/>
        <w:rPr>
          <w:rFonts w:ascii="Aptos" w:cs="Aptos" w:eastAsia="Aptos" w:hAnsi="Aptos"/>
          <w:b w:val="1"/>
          <w:sz w:val="34"/>
          <w:szCs w:val="34"/>
        </w:rPr>
      </w:pPr>
      <w:bookmarkStart w:colFirst="0" w:colLast="0" w:name="_heading=h.9j5b1jog1sl8" w:id="19"/>
      <w:bookmarkEnd w:id="19"/>
      <w:r w:rsidDel="00000000" w:rsidR="00000000" w:rsidRPr="00000000">
        <w:rPr>
          <w:rtl w:val="0"/>
        </w:rPr>
      </w:r>
    </w:p>
    <w:p w:rsidR="00000000" w:rsidDel="00000000" w:rsidP="00000000" w:rsidRDefault="00000000" w:rsidRPr="00000000" w14:paraId="00000073">
      <w:pPr>
        <w:pStyle w:val="Heading2"/>
        <w:keepNext w:val="0"/>
        <w:keepLines w:val="0"/>
        <w:spacing w:after="80" w:line="259" w:lineRule="auto"/>
        <w:rPr>
          <w:rFonts w:ascii="Aptos" w:cs="Aptos" w:eastAsia="Aptos" w:hAnsi="Aptos"/>
          <w:b w:val="1"/>
          <w:sz w:val="34"/>
          <w:szCs w:val="34"/>
        </w:rPr>
      </w:pPr>
      <w:bookmarkStart w:colFirst="0" w:colLast="0" w:name="_heading=h.25jztrrvzslu" w:id="20"/>
      <w:bookmarkEnd w:id="20"/>
      <w:r w:rsidDel="00000000" w:rsidR="00000000" w:rsidRPr="00000000">
        <w:rPr>
          <w:rtl w:val="0"/>
        </w:rPr>
      </w:r>
    </w:p>
    <w:p w:rsidR="00000000" w:rsidDel="00000000" w:rsidP="00000000" w:rsidRDefault="00000000" w:rsidRPr="00000000" w14:paraId="00000074">
      <w:pPr>
        <w:pStyle w:val="Heading2"/>
        <w:keepNext w:val="0"/>
        <w:keepLines w:val="0"/>
        <w:spacing w:after="80" w:line="259" w:lineRule="auto"/>
        <w:rPr>
          <w:rFonts w:ascii="Aptos" w:cs="Aptos" w:eastAsia="Aptos" w:hAnsi="Aptos"/>
          <w:b w:val="1"/>
          <w:sz w:val="34"/>
          <w:szCs w:val="34"/>
        </w:rPr>
      </w:pPr>
      <w:bookmarkStart w:colFirst="0" w:colLast="0" w:name="_heading=h.33x4dfqy6vpr" w:id="21"/>
      <w:bookmarkEnd w:id="21"/>
      <w:r w:rsidDel="00000000" w:rsidR="00000000" w:rsidRPr="00000000">
        <w:rPr>
          <w:rtl w:val="0"/>
        </w:rPr>
      </w:r>
    </w:p>
    <w:p w:rsidR="00000000" w:rsidDel="00000000" w:rsidP="00000000" w:rsidRDefault="00000000" w:rsidRPr="00000000" w14:paraId="00000075">
      <w:pPr>
        <w:pStyle w:val="Heading2"/>
        <w:keepNext w:val="0"/>
        <w:keepLines w:val="0"/>
        <w:spacing w:after="80" w:line="259" w:lineRule="auto"/>
        <w:rPr>
          <w:rFonts w:ascii="Aptos" w:cs="Aptos" w:eastAsia="Aptos" w:hAnsi="Aptos"/>
          <w:b w:val="1"/>
          <w:sz w:val="34"/>
          <w:szCs w:val="34"/>
        </w:rPr>
      </w:pPr>
      <w:bookmarkStart w:colFirst="0" w:colLast="0" w:name="_heading=h.aqueqyoixpmy" w:id="22"/>
      <w:bookmarkEnd w:id="22"/>
      <w:r w:rsidDel="00000000" w:rsidR="00000000" w:rsidRPr="00000000">
        <w:rPr>
          <w:rtl w:val="0"/>
        </w:rPr>
      </w:r>
    </w:p>
    <w:p w:rsidR="00000000" w:rsidDel="00000000" w:rsidP="00000000" w:rsidRDefault="00000000" w:rsidRPr="00000000" w14:paraId="00000076">
      <w:pPr>
        <w:pStyle w:val="Heading2"/>
        <w:keepNext w:val="0"/>
        <w:keepLines w:val="0"/>
        <w:spacing w:after="80" w:line="259" w:lineRule="auto"/>
        <w:rPr>
          <w:rFonts w:ascii="Aptos" w:cs="Aptos" w:eastAsia="Aptos" w:hAnsi="Aptos"/>
          <w:b w:val="1"/>
          <w:sz w:val="34"/>
          <w:szCs w:val="34"/>
        </w:rPr>
      </w:pPr>
      <w:bookmarkStart w:colFirst="0" w:colLast="0" w:name="_heading=h.wx5rj797p1s4" w:id="23"/>
      <w:bookmarkEnd w:id="23"/>
      <w:r w:rsidDel="00000000" w:rsidR="00000000" w:rsidRPr="00000000">
        <w:rPr>
          <w:rtl w:val="0"/>
        </w:rPr>
      </w:r>
    </w:p>
    <w:p w:rsidR="00000000" w:rsidDel="00000000" w:rsidP="00000000" w:rsidRDefault="00000000" w:rsidRPr="00000000" w14:paraId="00000077">
      <w:pPr>
        <w:pStyle w:val="Heading2"/>
        <w:keepNext w:val="0"/>
        <w:keepLines w:val="0"/>
        <w:spacing w:after="80" w:line="259" w:lineRule="auto"/>
        <w:rPr>
          <w:rFonts w:ascii="Aptos" w:cs="Aptos" w:eastAsia="Aptos" w:hAnsi="Aptos"/>
          <w:b w:val="1"/>
          <w:sz w:val="34"/>
          <w:szCs w:val="34"/>
        </w:rPr>
      </w:pPr>
      <w:bookmarkStart w:colFirst="0" w:colLast="0" w:name="_heading=h.3r3v0flrvz3f" w:id="24"/>
      <w:bookmarkEnd w:id="24"/>
      <w:r w:rsidDel="00000000" w:rsidR="00000000" w:rsidRPr="00000000">
        <w:rPr>
          <w:rtl w:val="0"/>
        </w:rPr>
      </w:r>
    </w:p>
    <w:p w:rsidR="00000000" w:rsidDel="00000000" w:rsidP="00000000" w:rsidRDefault="00000000" w:rsidRPr="00000000" w14:paraId="00000078">
      <w:pPr>
        <w:pStyle w:val="Heading2"/>
        <w:keepNext w:val="0"/>
        <w:keepLines w:val="0"/>
        <w:spacing w:after="80" w:line="259" w:lineRule="auto"/>
        <w:rPr>
          <w:rFonts w:ascii="Aptos" w:cs="Aptos" w:eastAsia="Aptos" w:hAnsi="Aptos"/>
          <w:b w:val="1"/>
          <w:sz w:val="34"/>
          <w:szCs w:val="34"/>
        </w:rPr>
      </w:pPr>
      <w:bookmarkStart w:colFirst="0" w:colLast="0" w:name="_heading=h.grz3yq77hpf8" w:id="25"/>
      <w:bookmarkEnd w:id="25"/>
      <w:r w:rsidDel="00000000" w:rsidR="00000000" w:rsidRPr="00000000">
        <w:rPr>
          <w:rFonts w:ascii="Aptos" w:cs="Aptos" w:eastAsia="Aptos" w:hAnsi="Aptos"/>
          <w:b w:val="1"/>
          <w:sz w:val="34"/>
          <w:szCs w:val="34"/>
          <w:rtl w:val="0"/>
        </w:rPr>
        <w:t xml:space="preserve">2. Macroeconomic and Industry Landscape (2012-2020)</w:t>
      </w:r>
    </w:p>
    <w:p w:rsidR="00000000" w:rsidDel="00000000" w:rsidP="00000000" w:rsidRDefault="00000000" w:rsidRPr="00000000" w14:paraId="00000079">
      <w:pPr>
        <w:pStyle w:val="Heading3"/>
        <w:keepNext w:val="0"/>
        <w:keepLines w:val="0"/>
        <w:spacing w:before="280" w:line="259" w:lineRule="auto"/>
        <w:rPr>
          <w:rFonts w:ascii="Aptos" w:cs="Aptos" w:eastAsia="Aptos" w:hAnsi="Aptos"/>
          <w:b w:val="1"/>
          <w:color w:val="000000"/>
          <w:sz w:val="26"/>
          <w:szCs w:val="26"/>
        </w:rPr>
      </w:pPr>
      <w:bookmarkStart w:colFirst="0" w:colLast="0" w:name="_heading=h.tjt4x9cud4dm" w:id="26"/>
      <w:bookmarkEnd w:id="26"/>
      <w:r w:rsidDel="00000000" w:rsidR="00000000" w:rsidRPr="00000000">
        <w:rPr>
          <w:rFonts w:ascii="Aptos" w:cs="Aptos" w:eastAsia="Aptos" w:hAnsi="Aptos"/>
          <w:b w:val="1"/>
          <w:color w:val="000000"/>
          <w:sz w:val="26"/>
          <w:szCs w:val="26"/>
          <w:rtl w:val="0"/>
        </w:rPr>
        <w:t xml:space="preserve">2.1 Global Automotive Industry Trends</w:t>
      </w:r>
    </w:p>
    <w:p w:rsidR="00000000" w:rsidDel="00000000" w:rsidP="00000000" w:rsidRDefault="00000000" w:rsidRPr="00000000" w14:paraId="0000007A">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global automotive industry experienced a notable recovery in the years following the 2008 economic crisis. By 2012, industry profits had surpassed pre-crisis levels, indicating a general rebound in market health. This recovery, however, was not uniform across all regions. North America, in particular, demonstrated robust performance, with vehicle sales reaching 17 million units in 2012. This period also saw a discernible shift in consumer preference within North America towards higher-value vehicles, such as pickups and SUVs, which contributed to improved profitability for manufacturers.  </w:t>
      </w:r>
    </w:p>
    <w:p w:rsidR="00000000" w:rsidDel="00000000" w:rsidP="00000000" w:rsidRDefault="00000000" w:rsidRPr="00000000" w14:paraId="0000007B">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Emerging markets, especially China, were identified as the primary engines for future profit growth within the automotive sector. Projections indicated that these regions would account for approximately two-thirds of total global automotive profits by 2020. In stark contrast, established markets like Europe, Japan, and South Korea faced stagnation. Europe, for instance, grappled with declining new car registrations and persistent issues of overcapacity, which suppressed prices and profitability.  </w:t>
      </w:r>
    </w:p>
    <w:p w:rsidR="00000000" w:rsidDel="00000000" w:rsidP="00000000" w:rsidRDefault="00000000" w:rsidRPr="00000000" w14:paraId="0000007C">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industry as a whole was also confronted with increasing complexity and cost pressures, largely driven by the proliferation of stringent environmental and safety regulations globally. This regulatory environment, while challenging for traditional manufacturers, inherently favored companies like Tesla, whose core business centered on electric vehicles. The rising environmental standards, which mandated cleaner products and production processes, provided an implicit advantage to EV manufacturers. Their products inherently met these evolving criteria, creating a regulatory tailwind that could accelerate the broader shift towards electric vehicles. This unique positioning also enabled Tesla to generate additional revenue by selling regulatory credits to other automakers, further solidifying its financial standing during this period.  </w:t>
      </w:r>
    </w:p>
    <w:p w:rsidR="00000000" w:rsidDel="00000000" w:rsidP="00000000" w:rsidRDefault="00000000" w:rsidRPr="00000000" w14:paraId="0000007D">
      <w:pPr>
        <w:pStyle w:val="Heading3"/>
        <w:keepNext w:val="0"/>
        <w:keepLines w:val="0"/>
        <w:spacing w:before="280" w:line="259" w:lineRule="auto"/>
        <w:rPr>
          <w:rFonts w:ascii="Aptos" w:cs="Aptos" w:eastAsia="Aptos" w:hAnsi="Aptos"/>
          <w:b w:val="1"/>
          <w:color w:val="000000"/>
          <w:sz w:val="26"/>
          <w:szCs w:val="26"/>
        </w:rPr>
      </w:pPr>
      <w:bookmarkStart w:colFirst="0" w:colLast="0" w:name="_heading=h.v8l3vfrga4dn" w:id="27"/>
      <w:bookmarkEnd w:id="27"/>
      <w:r w:rsidDel="00000000" w:rsidR="00000000" w:rsidRPr="00000000">
        <w:rPr>
          <w:rFonts w:ascii="Aptos" w:cs="Aptos" w:eastAsia="Aptos" w:hAnsi="Aptos"/>
          <w:b w:val="1"/>
          <w:color w:val="000000"/>
          <w:sz w:val="26"/>
          <w:szCs w:val="26"/>
          <w:rtl w:val="0"/>
        </w:rPr>
        <w:t xml:space="preserve">2.2 Electric Vehicle Market Growth and Adoption</w:t>
      </w:r>
    </w:p>
    <w:p w:rsidR="00000000" w:rsidDel="00000000" w:rsidP="00000000" w:rsidRDefault="00000000" w:rsidRPr="00000000" w14:paraId="0000007E">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period from 2012 to 2020 witnessed a dramatic acceleration in the adoption of electric vehicles globally. In 2012, EVs represented a nascent segment, accounting for a mere 0.41% of total car sales, with a global stock of approximately 75,000 vehicles. By 2020, this landscape had fundamentally transformed, with the EV share of global car sales rising to a record 4.6%. The total global electric car stock reached 10 million units, marking a substantial 43% increase over 2019 alone.  </w:t>
      </w:r>
    </w:p>
    <w:p w:rsidR="00000000" w:rsidDel="00000000" w:rsidP="00000000" w:rsidRDefault="00000000" w:rsidRPr="00000000" w14:paraId="0000007F">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Europe emerged as the leading electric vehicle market in 2020, registering 1.4 million new EV sales, surpassing China (1.2 million) and the United States (295,000). This surge in European EV registrations was primarily driven by two key policy measures: the European Union's CO2 emissions standards, which set limits on average carbon dioxide emissions for new cars, and various government-increased subsidy schemes implemented as part of economic stimulus packages to counter the effects of the COVID-19 pandemic.  </w:t>
      </w:r>
    </w:p>
    <w:p w:rsidR="00000000" w:rsidDel="00000000" w:rsidP="00000000" w:rsidRDefault="00000000" w:rsidRPr="00000000" w14:paraId="00000080">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Tesla's product roadmap directly coincided with and significantly contributed to this market expansion. The launch of the Model S in 2012, followed by the Model X in 2015, the mass-market focused Model 3 in 2017, and the Model Y in 2020, progressively broadened Tesla's appeal from luxury buyers to a wider consumer base. The introduction of more affordable models like the Model 3 and Model Y was particularly crucial for moving beyond early adopters and driving the mass adoption of electric vehicles, a core tenet of Tesla's mission. The increasing competitiveness of electric cars on a total cost of ownership basis, coupled with the proliferation of government incentives, created a self-reinforcing cycle for Tesla. As EV adoption accelerated, the demand for robust charging infrastructure and advanced energy storage solutions also grew, aligning perfectly with Tesla's diversified business model and further solidifying its market position.  </w:t>
      </w:r>
    </w:p>
    <w:p w:rsidR="00000000" w:rsidDel="00000000" w:rsidP="00000000" w:rsidRDefault="00000000" w:rsidRPr="00000000" w14:paraId="00000081">
      <w:pPr>
        <w:pStyle w:val="Heading3"/>
        <w:keepNext w:val="0"/>
        <w:keepLines w:val="0"/>
        <w:spacing w:before="280" w:line="259" w:lineRule="auto"/>
        <w:rPr>
          <w:rFonts w:ascii="Aptos" w:cs="Aptos" w:eastAsia="Aptos" w:hAnsi="Aptos"/>
          <w:b w:val="1"/>
          <w:color w:val="000000"/>
          <w:sz w:val="26"/>
          <w:szCs w:val="26"/>
        </w:rPr>
      </w:pPr>
      <w:bookmarkStart w:colFirst="0" w:colLast="0" w:name="_heading=h.oho65j9l1u5d" w:id="28"/>
      <w:bookmarkEnd w:id="28"/>
      <w:r w:rsidDel="00000000" w:rsidR="00000000" w:rsidRPr="00000000">
        <w:rPr>
          <w:rFonts w:ascii="Aptos" w:cs="Aptos" w:eastAsia="Aptos" w:hAnsi="Aptos"/>
          <w:b w:val="1"/>
          <w:color w:val="000000"/>
          <w:sz w:val="26"/>
          <w:szCs w:val="26"/>
          <w:rtl w:val="0"/>
        </w:rPr>
        <w:t xml:space="preserve">2.3 Government Incentives and Regulatory Environment</w:t>
      </w:r>
    </w:p>
    <w:p w:rsidR="00000000" w:rsidDel="00000000" w:rsidP="00000000" w:rsidRDefault="00000000" w:rsidRPr="00000000" w14:paraId="00000082">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Governments across key global markets played a pivotal role in stimulating the growth of the electric vehicle market through a variety of incentives. These included direct purchase rebates, tax exemptions, tax credits, and non-financial perks such as preferential access to bus lanes.  </w:t>
      </w:r>
    </w:p>
    <w:p w:rsidR="00000000" w:rsidDel="00000000" w:rsidP="00000000" w:rsidRDefault="00000000" w:rsidRPr="00000000" w14:paraId="00000083">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China, in particular, demonstrated an ambitious commitment to electric vehicles starting in 2012. Its policies included generous consumer subsidies, often covering up to 50% of the vehicle price, along with tax cuts that were in effect until December 2020. Beyond consumer incentives, the Chinese government made substantial investments in charging infrastructure, setting a goal of 12,000 charging stations and 4.8 million charging piles by 2020. Furthermore, regulations in China mandated that a certain percentage of vehicles produced by manufacturers had to be "new energy vehicles" (NEVs), with targets of 10% by 2019 and 12% by 2020. This created a credit system where manufacturers producing NEVs earned credits that could be sold to other automakers who failed to meet their quotas. European countries also implemented significant fiscal incentives, such as exemptions from fuel consumption tax in Austria and personal income tax deductions for EV purchases in Belgium.  </w:t>
      </w:r>
    </w:p>
    <w:p w:rsidR="00000000" w:rsidDel="00000000" w:rsidP="00000000" w:rsidRDefault="00000000" w:rsidRPr="00000000" w14:paraId="00000084">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As a pure-play electric vehicle manufacturer, Tesla was a primary beneficiary of these global governmental incentives. These policies directly reduced the effective purchase price for consumers, thereby stimulating demand for Tesla's products. The ability to generate and sell regulatory credits, particularly in the United States and China, became a significant and distinct source of revenue for Tesla as its production volumes rapidly increased. This revenue stream was particularly impactful in 2020, contributing almost $1.6 billion to Tesla's financials. Considering that Tesla's total net income in 2020 was $721 million , the sale of these climate credits was a critical factor in the company achieving its first full-year GAAP profitability. This highlights that, without these policy-driven revenue streams, Tesla's core automotive manufacturing operations might not have been profitable on a GAAP basis in 2020, underscoring the substantial influence of these regulatory tailwinds on its financial maturation.  </w:t>
      </w:r>
    </w:p>
    <w:p w:rsidR="00000000" w:rsidDel="00000000" w:rsidP="00000000" w:rsidRDefault="00000000" w:rsidRPr="00000000" w14:paraId="00000085">
      <w:pPr>
        <w:pStyle w:val="Heading3"/>
        <w:keepNext w:val="0"/>
        <w:keepLines w:val="0"/>
        <w:spacing w:before="280" w:line="259" w:lineRule="auto"/>
        <w:rPr>
          <w:rFonts w:ascii="Aptos" w:cs="Aptos" w:eastAsia="Aptos" w:hAnsi="Aptos"/>
          <w:b w:val="1"/>
          <w:color w:val="000000"/>
          <w:sz w:val="26"/>
          <w:szCs w:val="26"/>
        </w:rPr>
      </w:pPr>
      <w:bookmarkStart w:colFirst="0" w:colLast="0" w:name="_heading=h.rg7atfp0j5do" w:id="29"/>
      <w:bookmarkEnd w:id="29"/>
      <w:r w:rsidDel="00000000" w:rsidR="00000000" w:rsidRPr="00000000">
        <w:rPr>
          <w:rFonts w:ascii="Aptos" w:cs="Aptos" w:eastAsia="Aptos" w:hAnsi="Aptos"/>
          <w:b w:val="1"/>
          <w:color w:val="000000"/>
          <w:sz w:val="26"/>
          <w:szCs w:val="26"/>
          <w:rtl w:val="0"/>
        </w:rPr>
        <w:t xml:space="preserve">2.4 Impact of Oil Prices</w:t>
      </w:r>
    </w:p>
    <w:p w:rsidR="00000000" w:rsidDel="00000000" w:rsidP="00000000" w:rsidRDefault="00000000" w:rsidRPr="00000000" w14:paraId="00000086">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trend in global oil prices during the 2012-2020 period presented a dynamic backdrop for the nascent electric vehicle market. Oil prices peaked in 2012, driven by high global demand and the increasing costs associated with extraction methods. Such high prices for conventional fuels typically enhance the economic attractiveness of electric vehicles, as they offer lower "fueling" costs compared to gasoline-powered cars. This sustained period of relatively high oil prices in the early part of the decade likely provided a background incentive for consumers to consider EVs, as the operational cost savings became more pronounced.  </w:t>
      </w:r>
    </w:p>
    <w:p w:rsidR="00000000" w:rsidDel="00000000" w:rsidP="00000000" w:rsidRDefault="00000000" w:rsidRPr="00000000" w14:paraId="00000087">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However, a significant shift occurred in 2020, when oil prices experienced a sharp decline due to decreased global demand, largely attributable to the economic repercussions of the COVID-19 pandemic. Theoretically, this reduction in gasoline prices could have diminished one of the key economic arguments for purchasing an EV. Despite this potential headwind, global electric vehicle sales still recorded a significant increase in market share in 2020. This outcome suggests that by 2020, the drivers for EV adoption had broadened beyond mere fuel cost savings. The growing momentum for electric vehicles was increasingly propelled by factors such as heightened environmental awareness, continuous technological advancements (including improved battery range and faster charging capabilities), and the expansion of charging infrastructure. This demonstrated a more fundamental and resilient shift in consumer preferences and market maturity, indicating that the transition to EVs was becoming less dependent on the fluctuating price of oil.  </w:t>
      </w:r>
    </w:p>
    <w:p w:rsidR="00000000" w:rsidDel="00000000" w:rsidP="00000000" w:rsidRDefault="00000000" w:rsidRPr="00000000" w14:paraId="00000088">
      <w:pPr>
        <w:pStyle w:val="Heading3"/>
        <w:keepNext w:val="0"/>
        <w:keepLines w:val="0"/>
        <w:spacing w:before="280" w:line="259" w:lineRule="auto"/>
        <w:rPr>
          <w:rFonts w:ascii="Aptos" w:cs="Aptos" w:eastAsia="Aptos" w:hAnsi="Aptos"/>
          <w:b w:val="1"/>
          <w:color w:val="000000"/>
          <w:sz w:val="26"/>
          <w:szCs w:val="26"/>
        </w:rPr>
      </w:pPr>
      <w:bookmarkStart w:colFirst="0" w:colLast="0" w:name="_heading=h.2kgsswxpkwbf" w:id="30"/>
      <w:bookmarkEnd w:id="30"/>
      <w:r w:rsidDel="00000000" w:rsidR="00000000" w:rsidRPr="00000000">
        <w:rPr>
          <w:rFonts w:ascii="Aptos" w:cs="Aptos" w:eastAsia="Aptos" w:hAnsi="Aptos"/>
          <w:b w:val="1"/>
          <w:color w:val="000000"/>
          <w:sz w:val="26"/>
          <w:szCs w:val="26"/>
          <w:rtl w:val="0"/>
        </w:rPr>
        <w:t xml:space="preserve">2.5 Competitive Landscape</w:t>
      </w:r>
    </w:p>
    <w:p w:rsidR="00000000" w:rsidDel="00000000" w:rsidP="00000000" w:rsidRDefault="00000000" w:rsidRPr="00000000" w14:paraId="00000089">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In the early years of the 2012-2020 period, Tesla faced a relatively limited competitive landscape, particularly within the long-range luxury electric vehicle segment it initially targeted. Competitors such as the Toyota Prius, Nissan Leaf, and Chevrolet offered electric or hybrid vehicles that primarily served different market segments or had more constrained range capabilities, posing less of a direct threat to Tesla's premium offerings. This allowed Tesla to establish an early foothold and cultivate its brand without intense direct rivalry in its specific niche.  </w:t>
      </w:r>
    </w:p>
    <w:p w:rsidR="00000000" w:rsidDel="00000000" w:rsidP="00000000" w:rsidRDefault="00000000" w:rsidRPr="00000000" w14:paraId="0000008A">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However, by 2020, the competitive environment had significantly intensified. Traditional automotive giants like Ford, General Motors, and Volkswagen, alongside emerging electric vehicle companies such as BYD and NIO, began to launch their own EV models and strategies, becoming increasingly formidable players in the market. While Tesla maintained a substantial market share, holding approximately 60% of the US EV market in 2020 (though this figure later declined to 38% by 2024 as more models entered the market) , this indicated a clear shift towards a more crowded and competitive space.  </w:t>
      </w:r>
    </w:p>
    <w:p w:rsidR="00000000" w:rsidDel="00000000" w:rsidP="00000000" w:rsidRDefault="00000000" w:rsidRPr="00000000" w14:paraId="0000008B">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Tesla's first-mover advantage, particularly with its groundbreaking Model S and the subsequent mass-market Model 3, allowed it to build a strong brand identity, develop proprietary technology (including advanced battery systems and Autopilot features), and establish a dedicated charging network well before many competitors fully committed to electric vehicles. This head start in both technology and infrastructure provided Tesla with a significant competitive edge. While the increasing competition would inevitably lead to a gradual erosion of Tesla's dominant market share over time (as observed in the post-2020 period) , its early lead in production scale, extensive vertical integration, and strong customer loyalty positioned it robustly to navigate this evolving landscape. The challenge for Tesla would be to sustain its pace of innovation and maintain cost efficiencies to stay ahead as more players entered the market, shifting from being the sole viable option to a leading choice among many.  </w:t>
      </w:r>
    </w:p>
    <w:p w:rsidR="00000000" w:rsidDel="00000000" w:rsidP="00000000" w:rsidRDefault="00000000" w:rsidRPr="00000000" w14:paraId="0000008C">
      <w:pPr>
        <w:pStyle w:val="Heading3"/>
        <w:keepNext w:val="0"/>
        <w:keepLines w:val="0"/>
        <w:spacing w:before="280" w:line="259" w:lineRule="auto"/>
        <w:rPr>
          <w:rFonts w:ascii="Aptos" w:cs="Aptos" w:eastAsia="Aptos" w:hAnsi="Aptos"/>
          <w:b w:val="1"/>
          <w:color w:val="000000"/>
          <w:sz w:val="26"/>
          <w:szCs w:val="26"/>
        </w:rPr>
      </w:pPr>
      <w:bookmarkStart w:colFirst="0" w:colLast="0" w:name="_heading=h.joeoymuojbe8" w:id="31"/>
      <w:bookmarkEnd w:id="31"/>
      <w:r w:rsidDel="00000000" w:rsidR="00000000" w:rsidRPr="00000000">
        <w:rPr>
          <w:rFonts w:ascii="Aptos" w:cs="Aptos" w:eastAsia="Aptos" w:hAnsi="Aptos"/>
          <w:b w:val="1"/>
          <w:color w:val="000000"/>
          <w:sz w:val="26"/>
          <w:szCs w:val="26"/>
          <w:rtl w:val="0"/>
        </w:rPr>
        <w:t xml:space="preserve">2.6 Impact of COVID-19 in 2020</w:t>
      </w:r>
    </w:p>
    <w:p w:rsidR="00000000" w:rsidDel="00000000" w:rsidP="00000000" w:rsidRDefault="00000000" w:rsidRPr="00000000" w14:paraId="0000008D">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year 2020 presented an unprecedented challenge to the global automotive industry due to the onset of the COVID-19 pandemic. The crisis led to widespread production shutdowns, severe supply chain disruptions, and a significant downturn in overall vehicle sales. World auto production declined by 16%, and global sales saw a 12% drop, marking the worst crisis ever to impact the automotive industry.  </w:t>
      </w:r>
    </w:p>
    <w:p w:rsidR="00000000" w:rsidDel="00000000" w:rsidP="00000000" w:rsidRDefault="00000000" w:rsidRPr="00000000" w14:paraId="0000008E">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Despite this severe contraction in the broader automotive market, the electric vehicle segment exhibited remarkable resilience. Global electric car sales share paradoxically rose by 70% in 2020, reaching a record 4.6% of total car sales. Notably, China's automotive production demonstrated a swift recovery from the initial impact of the pandemic, limiting its overall reduction in output to a mere 2% for the year.  </w:t>
      </w:r>
    </w:p>
    <w:p w:rsidR="00000000" w:rsidDel="00000000" w:rsidP="00000000" w:rsidRDefault="00000000" w:rsidRPr="00000000" w14:paraId="0000008F">
      <w:pPr>
        <w:spacing w:after="240" w:before="240" w:line="259" w:lineRule="auto"/>
        <w:rPr>
          <w:rFonts w:ascii="Aptos" w:cs="Aptos" w:eastAsia="Aptos" w:hAnsi="Aptos"/>
          <w:b w:val="1"/>
          <w:sz w:val="34"/>
          <w:szCs w:val="34"/>
        </w:rPr>
      </w:pPr>
      <w:r w:rsidDel="00000000" w:rsidR="00000000" w:rsidRPr="00000000">
        <w:rPr>
          <w:rFonts w:ascii="Aptos" w:cs="Aptos" w:eastAsia="Aptos" w:hAnsi="Aptos"/>
          <w:sz w:val="20"/>
          <w:szCs w:val="20"/>
          <w:rtl w:val="0"/>
        </w:rPr>
        <w:t xml:space="preserve">This divergence in performance suggests that the pandemic, while broadly detrimental to the traditional auto sector, acted as an unexpected accelerant for EV adoption. The crisis highlighted vulnerabilities in complex, globally dispersed supply chains, particularly for traditional manufacturers. Tesla's relatively higher degree of vertical integration, which allowed it more control over its production processes, may have enabled it to navigate the disruptions more effectively than some legacy automakers. Furthermore, governmental stimulus packages implemented to counter the economic downturn often included or expanded incentives for electric vehicles, thereby buffering EV purchases from the general market decline. This performance in 2020 underscored the fundamental strength and growing momentum of the electric vehicle transition, indicating that it was not merely a niche trend but a robust and resilient shift in the automotive paradigm. For Tesla, this period served to validate its core mission and strategic focus, reinforcing investor confidence despite the prevailing global economic uncertainty.  </w:t>
      </w:r>
      <w:r w:rsidDel="00000000" w:rsidR="00000000" w:rsidRPr="00000000">
        <w:rPr>
          <w:rtl w:val="0"/>
        </w:rPr>
      </w:r>
    </w:p>
    <w:p w:rsidR="00000000" w:rsidDel="00000000" w:rsidP="00000000" w:rsidRDefault="00000000" w:rsidRPr="00000000" w14:paraId="00000090">
      <w:pPr>
        <w:pStyle w:val="Heading2"/>
        <w:keepNext w:val="0"/>
        <w:keepLines w:val="0"/>
        <w:spacing w:after="80" w:line="259" w:lineRule="auto"/>
        <w:rPr>
          <w:rFonts w:ascii="Aptos" w:cs="Aptos" w:eastAsia="Aptos" w:hAnsi="Aptos"/>
          <w:b w:val="1"/>
          <w:sz w:val="34"/>
          <w:szCs w:val="34"/>
        </w:rPr>
      </w:pPr>
      <w:bookmarkStart w:colFirst="0" w:colLast="0" w:name="_heading=h.r4uuzghg834c" w:id="32"/>
      <w:bookmarkEnd w:id="32"/>
      <w:r w:rsidDel="00000000" w:rsidR="00000000" w:rsidRPr="00000000">
        <w:rPr>
          <w:rtl w:val="0"/>
        </w:rPr>
      </w:r>
    </w:p>
    <w:p w:rsidR="00000000" w:rsidDel="00000000" w:rsidP="00000000" w:rsidRDefault="00000000" w:rsidRPr="00000000" w14:paraId="00000091">
      <w:pPr>
        <w:pStyle w:val="Heading2"/>
        <w:keepNext w:val="0"/>
        <w:keepLines w:val="0"/>
        <w:spacing w:after="80" w:line="259" w:lineRule="auto"/>
        <w:rPr>
          <w:rFonts w:ascii="Aptos" w:cs="Aptos" w:eastAsia="Aptos" w:hAnsi="Aptos"/>
          <w:b w:val="1"/>
          <w:sz w:val="34"/>
          <w:szCs w:val="34"/>
        </w:rPr>
      </w:pPr>
      <w:bookmarkStart w:colFirst="0" w:colLast="0" w:name="_heading=h.v79x4don3sl5" w:id="33"/>
      <w:bookmarkEnd w:id="33"/>
      <w:r w:rsidDel="00000000" w:rsidR="00000000" w:rsidRPr="00000000">
        <w:rPr>
          <w:rtl w:val="0"/>
        </w:rPr>
      </w:r>
    </w:p>
    <w:p w:rsidR="00000000" w:rsidDel="00000000" w:rsidP="00000000" w:rsidRDefault="00000000" w:rsidRPr="00000000" w14:paraId="00000092">
      <w:pPr>
        <w:pStyle w:val="Heading2"/>
        <w:keepNext w:val="0"/>
        <w:keepLines w:val="0"/>
        <w:spacing w:after="80" w:line="259" w:lineRule="auto"/>
        <w:rPr>
          <w:rFonts w:ascii="Aptos" w:cs="Aptos" w:eastAsia="Aptos" w:hAnsi="Aptos"/>
          <w:b w:val="1"/>
          <w:sz w:val="34"/>
          <w:szCs w:val="34"/>
        </w:rPr>
      </w:pPr>
      <w:bookmarkStart w:colFirst="0" w:colLast="0" w:name="_heading=h.hla3ksm0wc3c" w:id="34"/>
      <w:bookmarkEnd w:id="34"/>
      <w:r w:rsidDel="00000000" w:rsidR="00000000" w:rsidRPr="00000000">
        <w:rPr>
          <w:rtl w:val="0"/>
        </w:rPr>
      </w:r>
    </w:p>
    <w:p w:rsidR="00000000" w:rsidDel="00000000" w:rsidP="00000000" w:rsidRDefault="00000000" w:rsidRPr="00000000" w14:paraId="00000093">
      <w:pPr>
        <w:pStyle w:val="Heading2"/>
        <w:keepNext w:val="0"/>
        <w:keepLines w:val="0"/>
        <w:spacing w:after="80" w:line="259" w:lineRule="auto"/>
        <w:rPr>
          <w:rFonts w:ascii="Aptos" w:cs="Aptos" w:eastAsia="Aptos" w:hAnsi="Aptos"/>
          <w:b w:val="1"/>
          <w:sz w:val="34"/>
          <w:szCs w:val="34"/>
        </w:rPr>
      </w:pPr>
      <w:bookmarkStart w:colFirst="0" w:colLast="0" w:name="_heading=h.4my9v6ttedok" w:id="35"/>
      <w:bookmarkEnd w:id="35"/>
      <w:r w:rsidDel="00000000" w:rsidR="00000000" w:rsidRPr="00000000">
        <w:rPr>
          <w:rtl w:val="0"/>
        </w:rPr>
      </w:r>
    </w:p>
    <w:p w:rsidR="00000000" w:rsidDel="00000000" w:rsidP="00000000" w:rsidRDefault="00000000" w:rsidRPr="00000000" w14:paraId="00000094">
      <w:pPr>
        <w:pStyle w:val="Heading2"/>
        <w:keepNext w:val="0"/>
        <w:keepLines w:val="0"/>
        <w:spacing w:after="80" w:line="259" w:lineRule="auto"/>
        <w:rPr>
          <w:rFonts w:ascii="Aptos" w:cs="Aptos" w:eastAsia="Aptos" w:hAnsi="Aptos"/>
          <w:b w:val="1"/>
          <w:sz w:val="34"/>
          <w:szCs w:val="34"/>
        </w:rPr>
      </w:pPr>
      <w:bookmarkStart w:colFirst="0" w:colLast="0" w:name="_heading=h.gy07y6l48a8y" w:id="36"/>
      <w:bookmarkEnd w:id="36"/>
      <w:r w:rsidDel="00000000" w:rsidR="00000000" w:rsidRPr="00000000">
        <w:rPr>
          <w:rtl w:val="0"/>
        </w:rPr>
      </w:r>
    </w:p>
    <w:p w:rsidR="00000000" w:rsidDel="00000000" w:rsidP="00000000" w:rsidRDefault="00000000" w:rsidRPr="00000000" w14:paraId="00000095">
      <w:pPr>
        <w:pStyle w:val="Heading2"/>
        <w:keepNext w:val="0"/>
        <w:keepLines w:val="0"/>
        <w:spacing w:after="80" w:line="259" w:lineRule="auto"/>
        <w:rPr>
          <w:rFonts w:ascii="Aptos" w:cs="Aptos" w:eastAsia="Aptos" w:hAnsi="Aptos"/>
          <w:b w:val="1"/>
          <w:sz w:val="34"/>
          <w:szCs w:val="34"/>
        </w:rPr>
      </w:pPr>
      <w:bookmarkStart w:colFirst="0" w:colLast="0" w:name="_heading=h.qt5ac0vb83hv" w:id="37"/>
      <w:bookmarkEnd w:id="37"/>
      <w:r w:rsidDel="00000000" w:rsidR="00000000" w:rsidRPr="00000000">
        <w:rPr>
          <w:rtl w:val="0"/>
        </w:rPr>
      </w:r>
    </w:p>
    <w:p w:rsidR="00000000" w:rsidDel="00000000" w:rsidP="00000000" w:rsidRDefault="00000000" w:rsidRPr="00000000" w14:paraId="00000096">
      <w:pPr>
        <w:pStyle w:val="Heading2"/>
        <w:keepNext w:val="0"/>
        <w:keepLines w:val="0"/>
        <w:spacing w:after="80" w:line="259" w:lineRule="auto"/>
        <w:rPr>
          <w:rFonts w:ascii="Aptos" w:cs="Aptos" w:eastAsia="Aptos" w:hAnsi="Aptos"/>
          <w:b w:val="1"/>
          <w:sz w:val="34"/>
          <w:szCs w:val="34"/>
        </w:rPr>
      </w:pPr>
      <w:bookmarkStart w:colFirst="0" w:colLast="0" w:name="_heading=h.mn8mdcrwv4vy" w:id="38"/>
      <w:bookmarkEnd w:id="38"/>
      <w:r w:rsidDel="00000000" w:rsidR="00000000" w:rsidRPr="00000000">
        <w:rPr>
          <w:rFonts w:ascii="Aptos" w:cs="Aptos" w:eastAsia="Aptos" w:hAnsi="Aptos"/>
          <w:b w:val="1"/>
          <w:sz w:val="34"/>
          <w:szCs w:val="34"/>
          <w:rtl w:val="0"/>
        </w:rPr>
        <w:t xml:space="preserve">3. Financial Performance Analysis (2012-2020)</w:t>
      </w:r>
    </w:p>
    <w:p w:rsidR="00000000" w:rsidDel="00000000" w:rsidP="00000000" w:rsidRDefault="00000000" w:rsidRPr="00000000" w14:paraId="00000097">
      <w:pPr>
        <w:pStyle w:val="Heading3"/>
        <w:keepNext w:val="0"/>
        <w:keepLines w:val="0"/>
        <w:spacing w:before="280" w:line="259" w:lineRule="auto"/>
        <w:rPr>
          <w:rFonts w:ascii="Aptos" w:cs="Aptos" w:eastAsia="Aptos" w:hAnsi="Aptos"/>
          <w:b w:val="1"/>
          <w:color w:val="000000"/>
          <w:sz w:val="26"/>
          <w:szCs w:val="26"/>
        </w:rPr>
      </w:pPr>
      <w:bookmarkStart w:colFirst="0" w:colLast="0" w:name="_heading=h.3jzdmot68i4p" w:id="39"/>
      <w:bookmarkEnd w:id="39"/>
      <w:r w:rsidDel="00000000" w:rsidR="00000000" w:rsidRPr="00000000">
        <w:rPr>
          <w:rFonts w:ascii="Aptos" w:cs="Aptos" w:eastAsia="Aptos" w:hAnsi="Aptos"/>
          <w:b w:val="1"/>
          <w:color w:val="000000"/>
          <w:sz w:val="26"/>
          <w:szCs w:val="26"/>
          <w:rtl w:val="0"/>
        </w:rPr>
        <w:t xml:space="preserve">3.1 Revenue Growth and Composition (Automotive vs. Energy/Services)</w:t>
      </w:r>
    </w:p>
    <w:p w:rsidR="00000000" w:rsidDel="00000000" w:rsidP="00000000" w:rsidRDefault="00000000" w:rsidRPr="00000000" w14:paraId="00000098">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 demonstrated an extraordinary trajectory of revenue growth during the 2012-2020 period. The company's total revenues surged from a relatively modest $413 million in 2012 to an impressive $31.54 billion by the end of 2020. This exponential increase was predominantly driven by the robust expansion of its automotive sales.  </w:t>
      </w:r>
    </w:p>
    <w:p w:rsidR="00000000" w:rsidDel="00000000" w:rsidP="00000000" w:rsidRDefault="00000000" w:rsidRPr="00000000" w14:paraId="00000099">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Automotive sales consistently constituted the largest proportion of Tesla's revenue throughout these years, accounting for approximately 93% of the total revenue in 2020. This primary revenue stream encompassed sales of its expanding vehicle lineup, including the Model S, Model X, Model 3, and the newly introduced Model Y. The rapid increase in automotive revenue affirmed the efficacy of Tesla's strategy to scale production and progressively expand its model offerings from the initial luxury segment to more mass-market accessible vehicles.  </w:t>
      </w:r>
    </w:p>
    <w:p w:rsidR="00000000" w:rsidDel="00000000" w:rsidP="00000000" w:rsidRDefault="00000000" w:rsidRPr="00000000" w14:paraId="0000009A">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While automotive sales remained the core revenue generator, Tesla's diversification efforts into energy generation and storage, as well as services, began to show increasing contributions. Revenue from the energy generation and storage segment, though smaller in comparison, exhibited significant growth, escalating from $14 million in 2015 to $1.994 billion in 2020. The services and other revenue stream also grew, reaching $2.306 billion in 2020. The growing, albeit smaller, contribution from these segments indicated the early stages of building a broader sustainable energy ecosystem, aligning with Tesla's long-term mission and potentially mitigating its future reliance solely on vehicle sales.  </w:t>
      </w:r>
    </w:p>
    <w:p w:rsidR="00000000" w:rsidDel="00000000" w:rsidP="00000000" w:rsidRDefault="00000000" w:rsidRPr="00000000" w14:paraId="0000009B">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 particularly noteworthy component of Tesla's revenue, especially in 2020, was the sale of regulatory credits. These credits, earned from producing zero-emission vehicles, contributed almost $1.6 billion to the company's top line in 2020. This substantial contribution, when juxtaposed with Tesla's total net income of $721 million in 2020 , suggests that while Tesla achieved GAAP profitability for the first full year, its core automotive manufacturing operations were still in a high-growth, lower-margin phase. The significant reliance on these external, policy-driven revenue streams for bottom-line success highlights a potential sensitivity to future changes in regulatory environments.  </w:t>
      </w:r>
    </w:p>
    <w:p w:rsidR="00000000" w:rsidDel="00000000" w:rsidP="00000000" w:rsidRDefault="00000000" w:rsidRPr="00000000" w14:paraId="0000009C">
      <w:pPr>
        <w:pStyle w:val="Heading3"/>
        <w:keepNext w:val="0"/>
        <w:keepLines w:val="0"/>
        <w:spacing w:before="280" w:line="259" w:lineRule="auto"/>
        <w:rPr>
          <w:rFonts w:ascii="Aptos" w:cs="Aptos" w:eastAsia="Aptos" w:hAnsi="Aptos"/>
          <w:b w:val="1"/>
          <w:color w:val="000000"/>
          <w:sz w:val="26"/>
          <w:szCs w:val="26"/>
        </w:rPr>
      </w:pPr>
      <w:bookmarkStart w:colFirst="0" w:colLast="0" w:name="_heading=h.b98mjtftw7d" w:id="40"/>
      <w:bookmarkEnd w:id="40"/>
      <w:r w:rsidDel="00000000" w:rsidR="00000000" w:rsidRPr="00000000">
        <w:rPr>
          <w:rFonts w:ascii="Aptos" w:cs="Aptos" w:eastAsia="Aptos" w:hAnsi="Aptos"/>
          <w:b w:val="1"/>
          <w:color w:val="000000"/>
          <w:sz w:val="26"/>
          <w:szCs w:val="26"/>
          <w:rtl w:val="0"/>
        </w:rPr>
        <w:t xml:space="preserve">3.2 Cost Structure and Profitability Trends (Gross Margin, Operating Expenses, Net Income)</w:t>
      </w:r>
    </w:p>
    <w:p w:rsidR="00000000" w:rsidDel="00000000" w:rsidP="00000000" w:rsidRDefault="00000000" w:rsidRPr="00000000" w14:paraId="0000009D">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Tesla's financial journey from 2012 to 2020 was characterized by a prolonged period of significant net losses, a common feature for high-growth, capital-intensive startups. The company consistently reported net losses, ranging from $(396) million in 2012 to $(862) million in 2019. A pivotal moment arrived in 2020, when Tesla achieved its first full-year GAAP profitability, reporting a net income of $690 million.  </w:t>
      </w:r>
    </w:p>
    <w:p w:rsidR="00000000" w:rsidDel="00000000" w:rsidP="00000000" w:rsidRDefault="00000000" w:rsidRPr="00000000" w14:paraId="0000009E">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Gross profit demonstrated a robust upward trend, increasing from $456 million in 2013 to $6.63 billion in 2020. In 2020, the automotive segment reported a healthy gross margin of 26%. However, the energy generation and storage segment, while growing in revenue, exhibited a significantly lower gross margin of merely 1% in the same year. This disparity in margins indicates that while the automotive business was maturing towards profitability, the energy segment was still heavily in an investment and scaling phase, not yet contributing substantially to the company's overall gross profit.  </w:t>
      </w:r>
    </w:p>
    <w:p w:rsidR="00000000" w:rsidDel="00000000" w:rsidP="00000000" w:rsidRDefault="00000000" w:rsidRPr="00000000" w14:paraId="0000009F">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Operating expenses, encompassing research and development (R&amp;D) and selling, general, and administrative (SG&amp;A) costs, grew substantially in absolute terms as the company expanded. Total operating expenses reached $4.636 billion in 2020. However, as a percentage of total revenue, these expenses generally decreased over the period. This trend reflects Tesla's concerted efforts towards achieving greater operational efficiency and leveraging economies of scale as its revenue base expanded. The transition to profitability in 2020, while notably aided by the sale of regulatory credits , also indicates that Tesla reached a critical mass in vehicle production (509,737 vehicles produced in 2020). At this scale, the increasing revenue and improving operational leverage began to offset the substantial fixed costs and ongoing R&amp;D investments. The low gross margin in the energy segment in 2020 further suggests that the market's valuation of Tesla at that time was primarily based on its automotive growth trajectory and its future potential in energy and software, rather than immediate profitability from these nascent segments.  </w:t>
      </w:r>
    </w:p>
    <w:p w:rsidR="00000000" w:rsidDel="00000000" w:rsidP="00000000" w:rsidRDefault="00000000" w:rsidRPr="00000000" w14:paraId="000000A0">
      <w:pPr>
        <w:pStyle w:val="Heading3"/>
        <w:keepNext w:val="0"/>
        <w:keepLines w:val="0"/>
        <w:spacing w:before="280" w:line="259" w:lineRule="auto"/>
        <w:rPr>
          <w:rFonts w:ascii="Aptos" w:cs="Aptos" w:eastAsia="Aptos" w:hAnsi="Aptos"/>
          <w:b w:val="1"/>
          <w:color w:val="000000"/>
          <w:sz w:val="26"/>
          <w:szCs w:val="26"/>
        </w:rPr>
      </w:pPr>
      <w:bookmarkStart w:colFirst="0" w:colLast="0" w:name="_heading=h.6i6pjjhkkdqt" w:id="41"/>
      <w:bookmarkEnd w:id="41"/>
      <w:r w:rsidDel="00000000" w:rsidR="00000000" w:rsidRPr="00000000">
        <w:rPr>
          <w:rFonts w:ascii="Aptos" w:cs="Aptos" w:eastAsia="Aptos" w:hAnsi="Aptos"/>
          <w:b w:val="1"/>
          <w:color w:val="000000"/>
          <w:sz w:val="26"/>
          <w:szCs w:val="26"/>
          <w:rtl w:val="0"/>
        </w:rPr>
        <w:t xml:space="preserve">3.3 Research &amp; Development (R&amp;D) Investment</w:t>
      </w:r>
    </w:p>
    <w:p w:rsidR="00000000" w:rsidDel="00000000" w:rsidP="00000000" w:rsidRDefault="00000000" w:rsidRPr="00000000" w14:paraId="000000A1">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Tesla's consistent and substantial investment in Research and Development (R&amp;D) underscores its unwavering commitment to innovation and technological leadership. Throughout the 2012-2020 period, annual R&amp;D expenses steadily increased from $274 million in 2012 to an impressive $1.491 billion in 2020. This continuous allocation of resources towards R&amp;D was fundamental to the company's ability to develop new vehicle models, including the Model 3 and Model Y, enhance its proprietary battery technology, and advance its ambitious autonomous driving features.  </w:t>
      </w:r>
    </w:p>
    <w:p w:rsidR="00000000" w:rsidDel="00000000" w:rsidP="00000000" w:rsidRDefault="00000000" w:rsidRPr="00000000" w14:paraId="000000A2">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Despite the absolute increase in R&amp;D spending, the proportion of R&amp;D expenses relative to total revenue generally decreased over the period. By 2020, R&amp;D constituted 5% of Tesla's revenues. This declining percentage, even with rising absolute investment, indicates that Tesla was either achieving greater efficiency in its R&amp;D efforts or, more significantly, that its revenue base was expanding at an even faster rate. This allowed the company to maintain a high level of innovation without disproportionately burdening its top line.  </w:t>
      </w:r>
    </w:p>
    <w:p w:rsidR="00000000" w:rsidDel="00000000" w:rsidP="00000000" w:rsidRDefault="00000000" w:rsidRPr="00000000" w14:paraId="000000A3">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This sustained investment in R&amp;D is a cornerstone of Tesla's competitive advantage. It enables the company to remain at the forefront of electric vehicle technology and differentiate its products in an increasingly competitive market. The consistent commitment to technological leadership, as evidenced by these R&amp;D expenditures, is a significant factor contributing to Tesla's premium valuation multiples compared to traditional automakers. It signals a long-term strategic focus on innovation as a primary driver of future growth and market disruption.</w:t>
      </w:r>
    </w:p>
    <w:p w:rsidR="00000000" w:rsidDel="00000000" w:rsidP="00000000" w:rsidRDefault="00000000" w:rsidRPr="00000000" w14:paraId="000000A4">
      <w:pPr>
        <w:pStyle w:val="Heading3"/>
        <w:keepNext w:val="0"/>
        <w:keepLines w:val="0"/>
        <w:spacing w:before="280" w:line="259" w:lineRule="auto"/>
        <w:rPr>
          <w:rFonts w:ascii="Aptos" w:cs="Aptos" w:eastAsia="Aptos" w:hAnsi="Aptos"/>
          <w:b w:val="1"/>
          <w:color w:val="000000"/>
          <w:sz w:val="26"/>
          <w:szCs w:val="26"/>
        </w:rPr>
      </w:pPr>
      <w:bookmarkStart w:colFirst="0" w:colLast="0" w:name="_heading=h.mmnsxslqc2o5" w:id="42"/>
      <w:bookmarkEnd w:id="42"/>
      <w:r w:rsidDel="00000000" w:rsidR="00000000" w:rsidRPr="00000000">
        <w:rPr>
          <w:rFonts w:ascii="Aptos" w:cs="Aptos" w:eastAsia="Aptos" w:hAnsi="Aptos"/>
          <w:b w:val="1"/>
          <w:color w:val="000000"/>
          <w:sz w:val="26"/>
          <w:szCs w:val="26"/>
          <w:rtl w:val="0"/>
        </w:rPr>
        <w:t xml:space="preserve">3.4 Capital Expenditures and Property, Plant &amp; Equipment (PP&amp;E) Growth</w:t>
      </w:r>
    </w:p>
    <w:p w:rsidR="00000000" w:rsidDel="00000000" w:rsidP="00000000" w:rsidRDefault="00000000" w:rsidRPr="00000000" w14:paraId="000000A5">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Tesla's aggressive expansion strategy during the 2012-2020 period necessitated substantial capital expenditures, leading to a dramatic increase in its Property, Plant &amp; Equipment (PP&amp;E). The net value of PP&amp;E grew from $738 million in 2013 to $23.375 billion by the end of 2020.  </w:t>
      </w:r>
    </w:p>
    <w:p w:rsidR="00000000" w:rsidDel="00000000" w:rsidP="00000000" w:rsidRDefault="00000000" w:rsidRPr="00000000" w14:paraId="000000A6">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This monumental growth in fixed assets was primarily driven by the ambitious construction and operationalization of Tesla's Gigafactories across the globe. Key facilities established or significantly expanded during this time included Gigafactory Nevada, Gigafactory New York, and Gigafactory Shanghai. Furthermore, 2020 marked the commencement of construction for Gigafactory Berlin and Gigafactory Texas, signaling continued massive investment in manufacturing infrastructure. For instance, the Gigafactory Nevada alone was projected to incur capital expenditures of $4 billion to $5 billion by 2020.  </w:t>
      </w:r>
    </w:p>
    <w:p w:rsidR="00000000" w:rsidDel="00000000" w:rsidP="00000000" w:rsidRDefault="00000000" w:rsidRPr="00000000" w14:paraId="000000A7">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significant increase in PP&amp;E directly reflects Tesla's strategic imperative to rapidly scale its production capacity and deepen its vertical integration. Building these large-scale Gigafactories was crucial for overcoming initial production bottlenecks and achieving the economies of scale necessary to transition from a niche luxury producer to a high-volume, mass-market electric vehicle manufacturer, while simultaneously driving down per-unit costs. These substantial capital investments, while contributing to negative free cash flow in earlier years , were absolutely critical for Tesla to realize its long-term vision. The successful execution of these massive, complex projects played a significant role in bolstering investor confidence and supporting the company's valuation, as it demonstrated Tesla's unique capability to rapidly expand its manufacturing footprint and maintain control over its production destiny.  </w:t>
      </w:r>
    </w:p>
    <w:p w:rsidR="00000000" w:rsidDel="00000000" w:rsidP="00000000" w:rsidRDefault="00000000" w:rsidRPr="00000000" w14:paraId="000000A8">
      <w:pPr>
        <w:pStyle w:val="Heading3"/>
        <w:keepNext w:val="0"/>
        <w:keepLines w:val="0"/>
        <w:spacing w:before="280" w:line="259" w:lineRule="auto"/>
        <w:rPr>
          <w:rFonts w:ascii="Aptos" w:cs="Aptos" w:eastAsia="Aptos" w:hAnsi="Aptos"/>
          <w:b w:val="1"/>
          <w:color w:val="000000"/>
          <w:sz w:val="26"/>
          <w:szCs w:val="26"/>
        </w:rPr>
      </w:pPr>
      <w:bookmarkStart w:colFirst="0" w:colLast="0" w:name="_heading=h.w4dy7fwmhydx" w:id="43"/>
      <w:bookmarkEnd w:id="43"/>
      <w:r w:rsidDel="00000000" w:rsidR="00000000" w:rsidRPr="00000000">
        <w:rPr>
          <w:rFonts w:ascii="Aptos" w:cs="Aptos" w:eastAsia="Aptos" w:hAnsi="Aptos"/>
          <w:b w:val="1"/>
          <w:color w:val="000000"/>
          <w:sz w:val="26"/>
          <w:szCs w:val="26"/>
          <w:rtl w:val="0"/>
        </w:rPr>
        <w:t xml:space="preserve">3.5 Cash Flow Analysis (Operating, Investing, Financing Activities)</w:t>
      </w:r>
    </w:p>
    <w:p w:rsidR="00000000" w:rsidDel="00000000" w:rsidP="00000000" w:rsidRDefault="00000000" w:rsidRPr="00000000" w14:paraId="000000A9">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Tesla's cash flow dynamics underwent a significant transformation between 2012 and 2020, reflecting its journey from a capital-intensive startup to a maturing, high-growth enterprise. In the earlier years of the period, cash flow from operations was often negative or only marginally positive, such as $(524) million in 2015 and $(60) million in 2017. This indicated that the company's core business operations were not yet consistently generating sufficient cash to cover their own needs.  </w:t>
      </w:r>
    </w:p>
    <w:p w:rsidR="00000000" w:rsidDel="00000000" w:rsidP="00000000" w:rsidRDefault="00000000" w:rsidRPr="00000000" w14:paraId="000000AA">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Concurrently, cash flow used in investing activities remained consistently high throughout the period. This was a direct consequence of Tesla's aggressive capital expenditures, primarily directed towards the construction and expansion of its Gigafactories and other critical infrastructure. For example, cash used in investing activities amounted to $(1.67) billion in 2015, $(4.41) billion in 2017, and $(3.132) billion in 2020. These substantial outflows underscore the immense investment required to build out Tesla's global manufacturing footprint and charging network.  </w:t>
      </w:r>
    </w:p>
    <w:p w:rsidR="00000000" w:rsidDel="00000000" w:rsidP="00000000" w:rsidRDefault="00000000" w:rsidRPr="00000000" w14:paraId="000000AB">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To bridge the gap between operational cash generation and massive investment needs, cash flow from financing activities served as a vital source of funds. Tesla consistently raised significant capital through various debt and equity issuances, enabling it to fuel its rapid growth and cover its operational and investment requirements. Notable inflows from financing activities included $1.52 billion in 2015, $4.41 billion in 2017, and a substantial $9.973 billion in 2020.  </w:t>
      </w:r>
    </w:p>
    <w:p w:rsidR="00000000" w:rsidDel="00000000" w:rsidP="00000000" w:rsidRDefault="00000000" w:rsidRPr="00000000" w14:paraId="000000AC">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 critical inflection point occurred by 2020, when Tesla's cash flow from operations turned significantly positive, reaching $5.943 billion. This transition signals that the company's core operations, particularly its rapidly scaling vehicle sales, were beginning to generate substantial cash. While investing activities remained high, the increasing operational cash flow indicated a reduced reliance on external funding for day-to-day operations. The total cash and cash equivalents on Tesla's balance sheet also increased substantially, reaching $19.384 billion by the end of 2020. This shift in cash flow dynamics is a key indicator of Tesla's financial maturation and strengthens its long-term viability, demonstrating its growing ability to fund future innovations and expansions internally. The capacity to generate significant operating cash flow despite ongoing, massive capital expenditures is a strong testament to its scaling efficiency and operational progress.  </w:t>
      </w:r>
    </w:p>
    <w:p w:rsidR="00000000" w:rsidDel="00000000" w:rsidP="00000000" w:rsidRDefault="00000000" w:rsidRPr="00000000" w14:paraId="000000AD">
      <w:pPr>
        <w:pStyle w:val="Heading3"/>
        <w:keepNext w:val="0"/>
        <w:keepLines w:val="0"/>
        <w:spacing w:before="280" w:line="259" w:lineRule="auto"/>
        <w:rPr>
          <w:rFonts w:ascii="Aptos" w:cs="Aptos" w:eastAsia="Aptos" w:hAnsi="Aptos"/>
          <w:b w:val="1"/>
          <w:color w:val="000000"/>
          <w:sz w:val="26"/>
          <w:szCs w:val="26"/>
        </w:rPr>
      </w:pPr>
      <w:bookmarkStart w:colFirst="0" w:colLast="0" w:name="_heading=h.5lb2cjxgskus" w:id="44"/>
      <w:bookmarkEnd w:id="44"/>
      <w:r w:rsidDel="00000000" w:rsidR="00000000" w:rsidRPr="00000000">
        <w:rPr>
          <w:rFonts w:ascii="Aptos" w:cs="Aptos" w:eastAsia="Aptos" w:hAnsi="Aptos"/>
          <w:b w:val="1"/>
          <w:color w:val="000000"/>
          <w:sz w:val="26"/>
          <w:szCs w:val="26"/>
          <w:rtl w:val="0"/>
        </w:rPr>
        <w:t xml:space="preserve">3.4 Data Analysis: Financial and Operational Trends</w:t>
      </w:r>
    </w:p>
    <w:p w:rsidR="00000000" w:rsidDel="00000000" w:rsidP="00000000" w:rsidRDefault="00000000" w:rsidRPr="00000000" w14:paraId="000000AE">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This section synthesizes the financial and operational data presented in the tables, highlighting key trends and their implications for Tesla's performance during the 2012-2020 period.</w:t>
      </w:r>
    </w:p>
    <w:p w:rsidR="00000000" w:rsidDel="00000000" w:rsidP="00000000" w:rsidRDefault="00000000" w:rsidRPr="00000000" w14:paraId="000000AF">
      <w:pPr>
        <w:numPr>
          <w:ilvl w:val="0"/>
          <w:numId w:val="4"/>
        </w:numPr>
        <w:spacing w:after="0" w:afterAutospacing="0" w:before="48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Revenue and Profitability:</w:t>
      </w:r>
      <w:r w:rsidDel="00000000" w:rsidR="00000000" w:rsidRPr="00000000">
        <w:rPr>
          <w:rFonts w:ascii="Aptos" w:cs="Aptos" w:eastAsia="Aptos" w:hAnsi="Aptos"/>
          <w:sz w:val="20"/>
          <w:szCs w:val="20"/>
          <w:rtl w:val="0"/>
        </w:rPr>
        <w:t xml:space="preserve"> Tesla's total revenues experienced exponential growth, soaring from $413 million in 2012 to $31.54 billion in 2020. This was primarily driven by automotive sales, which constituted approximately 93% of total revenue in 2020. Despite this rapid top-line expansion, the company consistently reported net losses from 2012 to 2019, ranging from $(396) million to $(862) million. A significant turning point occurred in 2020, when Tesla achieved its first full-year GAAP profitability with a net income of $690 million. This was notably aided by the sale of regulatory credits, which contributed almost $1.6 billion to revenue in 2020 . The automotive segment maintained a healthy gross margin of 26% in 2020, while the energy generation and storage segment had a much lower gross margin of 1%.  </w:t>
      </w:r>
    </w:p>
    <w:p w:rsidR="00000000" w:rsidDel="00000000" w:rsidP="00000000" w:rsidRDefault="00000000" w:rsidRPr="00000000" w14:paraId="000000B0">
      <w:pPr>
        <w:numPr>
          <w:ilvl w:val="0"/>
          <w:numId w:val="4"/>
        </w:numPr>
        <w:spacing w:after="0" w:afterAutospacing="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Investment in Growth:</w:t>
      </w:r>
      <w:r w:rsidDel="00000000" w:rsidR="00000000" w:rsidRPr="00000000">
        <w:rPr>
          <w:rFonts w:ascii="Aptos" w:cs="Aptos" w:eastAsia="Aptos" w:hAnsi="Aptos"/>
          <w:sz w:val="20"/>
          <w:szCs w:val="20"/>
          <w:rtl w:val="0"/>
        </w:rPr>
        <w:t xml:space="preserve"> Research and Development (R&amp;D) expenses steadily increased from $274 million in 2012 to $1.491 billion in 2020 . As a percentage of revenue, R&amp;D generally decreased, reaching 5% in 2020, indicating scaling efficiency. Property, Plant &amp; Equipment (PP&amp;E) also saw massive growth, from $738 million in 2013 to $23.375 billion in 2020, reflecting significant investments in Gigafactories and production capacity.  </w:t>
      </w:r>
    </w:p>
    <w:p w:rsidR="00000000" w:rsidDel="00000000" w:rsidP="00000000" w:rsidRDefault="00000000" w:rsidRPr="00000000" w14:paraId="000000B1">
      <w:pPr>
        <w:numPr>
          <w:ilvl w:val="0"/>
          <w:numId w:val="4"/>
        </w:numPr>
        <w:spacing w:after="0" w:afterAutospacing="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Cash Flow Dynamics:</w:t>
      </w:r>
      <w:r w:rsidDel="00000000" w:rsidR="00000000" w:rsidRPr="00000000">
        <w:rPr>
          <w:rFonts w:ascii="Aptos" w:cs="Aptos" w:eastAsia="Aptos" w:hAnsi="Aptos"/>
          <w:sz w:val="20"/>
          <w:szCs w:val="20"/>
          <w:rtl w:val="0"/>
        </w:rPr>
        <w:t xml:space="preserve"> Cash flow from operations, initially negative in earlier years (e.g., $(524) million in 2015 ), turned significantly positive by 2020, reaching $5.943 billion. This shift demonstrated the company's increasing ability to generate cash from its core operations, reducing its reliance on external financing for day-to-day activities. Net cash used in investing activities remained high due to continuous capital expenditures, while financing activities consistently provided substantial cash inflows to support growth.  </w:t>
      </w:r>
    </w:p>
    <w:p w:rsidR="00000000" w:rsidDel="00000000" w:rsidP="00000000" w:rsidRDefault="00000000" w:rsidRPr="00000000" w14:paraId="000000B2">
      <w:pPr>
        <w:numPr>
          <w:ilvl w:val="0"/>
          <w:numId w:val="4"/>
        </w:numPr>
        <w:spacing w:after="48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Production and Deliveries:</w:t>
      </w:r>
      <w:r w:rsidDel="00000000" w:rsidR="00000000" w:rsidRPr="00000000">
        <w:rPr>
          <w:rFonts w:ascii="Aptos" w:cs="Aptos" w:eastAsia="Aptos" w:hAnsi="Aptos"/>
          <w:sz w:val="20"/>
          <w:szCs w:val="20"/>
          <w:rtl w:val="0"/>
        </w:rPr>
        <w:t xml:space="preserve"> Vehicle production surged from 3,100 Model S units in 2012 to 509,737 total vehicles in 2020. Similarly, annual vehicle deliveries grew from 2,650 units in 2012 to 499,550 units in 2020. The introduction of the Model 3 and Model Y significantly contributed to this volume growth. Energy storage product deployments also increased, from 1.65 GWh in 2019 to 3.02 GWh in 2020. The Supercharger network expanded rapidly, reaching 1,770 stations by January 2020 and 1,915 by July 2020.  </w:t>
      </w:r>
    </w:p>
    <w:p w:rsidR="00000000" w:rsidDel="00000000" w:rsidP="00000000" w:rsidRDefault="00000000" w:rsidRPr="00000000" w14:paraId="000000B3">
      <w:pPr>
        <w:spacing w:after="480" w:before="480" w:line="259"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color w:val="000000"/>
          <w:sz w:val="26"/>
          <w:szCs w:val="26"/>
        </w:rPr>
      </w:pPr>
      <w:bookmarkStart w:colFirst="0" w:colLast="0" w:name="_heading=h.745zn6iuyklb" w:id="45"/>
      <w:bookmarkEnd w:id="45"/>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heading=h.nyk0ifgjr6em" w:id="46"/>
      <w:bookmarkEnd w:id="46"/>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heading=h.hnsy0bw3q09i" w:id="47"/>
      <w:bookmarkEnd w:id="47"/>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heading=h.hltbahek8w7x" w:id="48"/>
      <w:bookmarkEnd w:id="48"/>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color w:val="000000"/>
          <w:sz w:val="26"/>
          <w:szCs w:val="26"/>
        </w:rPr>
      </w:pPr>
      <w:bookmarkStart w:colFirst="0" w:colLast="0" w:name="_heading=h.y9e9v323ob4w" w:id="49"/>
      <w:bookmarkEnd w:id="49"/>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b w:val="1"/>
          <w:color w:val="000000"/>
          <w:sz w:val="26"/>
          <w:szCs w:val="26"/>
          <w:rtl w:val="0"/>
        </w:rPr>
        <w:t xml:space="preserve">Table 3.1: Tesla Annual Financial Summary (2012-2020) (Millions of USD)</w:t>
      </w:r>
      <w:r w:rsidDel="00000000" w:rsidR="00000000" w:rsidRPr="00000000">
        <w:rPr>
          <w:rtl w:val="0"/>
        </w:rPr>
      </w:r>
    </w:p>
    <w:tbl>
      <w:tblPr>
        <w:tblStyle w:val="Table2"/>
        <w:tblW w:w="1125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675"/>
        <w:gridCol w:w="675"/>
        <w:gridCol w:w="495"/>
        <w:gridCol w:w="660"/>
        <w:gridCol w:w="660"/>
        <w:gridCol w:w="720"/>
        <w:gridCol w:w="945"/>
        <w:gridCol w:w="945"/>
        <w:gridCol w:w="555"/>
        <w:gridCol w:w="495"/>
        <w:gridCol w:w="705"/>
        <w:gridCol w:w="720"/>
        <w:gridCol w:w="660"/>
        <w:gridCol w:w="705"/>
        <w:gridCol w:w="810"/>
        <w:tblGridChange w:id="0">
          <w:tblGrid>
            <w:gridCol w:w="825"/>
            <w:gridCol w:w="675"/>
            <w:gridCol w:w="675"/>
            <w:gridCol w:w="495"/>
            <w:gridCol w:w="660"/>
            <w:gridCol w:w="660"/>
            <w:gridCol w:w="720"/>
            <w:gridCol w:w="945"/>
            <w:gridCol w:w="945"/>
            <w:gridCol w:w="555"/>
            <w:gridCol w:w="495"/>
            <w:gridCol w:w="705"/>
            <w:gridCol w:w="720"/>
            <w:gridCol w:w="660"/>
            <w:gridCol w:w="705"/>
            <w:gridCol w:w="810"/>
          </w:tblGrid>
        </w:tblGridChange>
      </w:tblGrid>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Total Revenues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Cost of Revenues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Gross 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R&amp;D Expenses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SG&amp;A Expenses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Total Operating Expenses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Income/(Loss) from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Net Income/(Loss)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PP&amp;E (Net)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Total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Total Liabilities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Net Cash from Operating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Net Cash from Investing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Net Cash from Financing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pStyle w:val="Heading3"/>
              <w:keepNext w:val="0"/>
              <w:keepLines w:val="0"/>
              <w:spacing w:before="280" w:lineRule="auto"/>
              <w:jc w:val="center"/>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Cash &amp; Equivalents (End of Period)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552*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989*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1,557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518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738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2,417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635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846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2,317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882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604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1,068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1,829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5,831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4,861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(990)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2,143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1,906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924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718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922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1,640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(717)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(889)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8,092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6,961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(524)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(1,674)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1,524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1,197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7,000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5,401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1,599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834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1,432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2,267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5,983*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22,664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10,923 (LT)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(1,416)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3,744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3,393*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11,759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9,536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1,378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2,477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3,855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(1,632)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(1,962)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10,028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28,655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23,023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(4,419)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4,415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3,368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21,461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17,419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4,042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1,460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2,834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(976)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11,330*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29,740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23,879*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(2,337)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574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3,686*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24,578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20,509*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4,069*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1,343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2,646*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3,989*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(862)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20,199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34,309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26,199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(1,437)*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1,529*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6,268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31,536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24,906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6,630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1,491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4,636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1,994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690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23,375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52,148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28,418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5,943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(3,132)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pStyle w:val="Heading3"/>
              <w:keepNext w:val="0"/>
              <w:keepLines w:val="0"/>
              <w:spacing w:before="280" w:lineRule="auto"/>
              <w:rPr>
                <w:rFonts w:ascii="Calibri" w:cs="Calibri" w:eastAsia="Calibri" w:hAnsi="Calibri"/>
                <w:color w:val="000000"/>
                <w:sz w:val="16"/>
                <w:szCs w:val="16"/>
              </w:rPr>
            </w:pPr>
            <w:bookmarkStart w:colFirst="0" w:colLast="0" w:name="_heading=h.gf26o9t1qtf" w:id="50"/>
            <w:bookmarkEnd w:id="50"/>
            <w:r w:rsidDel="00000000" w:rsidR="00000000" w:rsidRPr="00000000">
              <w:rPr>
                <w:rFonts w:ascii="Calibri" w:cs="Calibri" w:eastAsia="Calibri" w:hAnsi="Calibri"/>
                <w:color w:val="000000"/>
                <w:sz w:val="16"/>
                <w:szCs w:val="16"/>
                <w:rtl w:val="0"/>
              </w:rPr>
              <w:t xml:space="preserve">9,973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pStyle w:val="Heading3"/>
              <w:keepNext w:val="0"/>
              <w:keepLines w:val="0"/>
              <w:spacing w:before="280" w:lineRule="auto"/>
              <w:rPr>
                <w:rFonts w:ascii="Calibri" w:cs="Calibri" w:eastAsia="Calibri" w:hAnsi="Calibri"/>
                <w:color w:val="000000"/>
                <w:sz w:val="16"/>
                <w:szCs w:val="16"/>
              </w:rPr>
            </w:pPr>
            <w:bookmarkStart w:colFirst="0" w:colLast="0" w:name="_heading=h.ai18dbyt7wuh" w:id="51"/>
            <w:bookmarkEnd w:id="51"/>
            <w:r w:rsidDel="00000000" w:rsidR="00000000" w:rsidRPr="00000000">
              <w:rPr>
                <w:rFonts w:ascii="Calibri" w:cs="Calibri" w:eastAsia="Calibri" w:hAnsi="Calibri"/>
                <w:color w:val="000000"/>
                <w:sz w:val="16"/>
                <w:szCs w:val="16"/>
                <w:rtl w:val="0"/>
              </w:rPr>
              <w:t xml:space="preserve">19,384</w:t>
            </w:r>
          </w:p>
        </w:tc>
      </w:tr>
    </w:tbl>
    <w:p w:rsidR="00000000" w:rsidDel="00000000" w:rsidP="00000000" w:rsidRDefault="00000000" w:rsidRPr="00000000" w14:paraId="0000015A">
      <w:pPr>
        <w:pStyle w:val="Heading3"/>
        <w:keepNext w:val="0"/>
        <w:keepLines w:val="0"/>
        <w:spacing w:before="280" w:lineRule="auto"/>
        <w:rPr/>
      </w:pPr>
      <w:bookmarkStart w:colFirst="0" w:colLast="0" w:name="_heading=h.wksx6goliilg" w:id="52"/>
      <w:bookmarkEnd w:id="52"/>
      <w:r w:rsidDel="00000000" w:rsidR="00000000" w:rsidRPr="00000000">
        <w:rPr>
          <w:rtl w:val="0"/>
        </w:rPr>
      </w:r>
    </w:p>
    <w:p w:rsidR="00000000" w:rsidDel="00000000" w:rsidP="00000000" w:rsidRDefault="00000000" w:rsidRPr="00000000" w14:paraId="0000015B">
      <w:pPr>
        <w:pStyle w:val="Heading3"/>
        <w:keepNext w:val="0"/>
        <w:keepLines w:val="0"/>
        <w:spacing w:after="240" w:before="240" w:line="259" w:lineRule="auto"/>
        <w:rPr>
          <w:rFonts w:ascii="Aptos" w:cs="Aptos" w:eastAsia="Aptos" w:hAnsi="Aptos"/>
          <w:b w:val="1"/>
          <w:i w:val="1"/>
          <w:color w:val="000000"/>
          <w:sz w:val="26"/>
          <w:szCs w:val="26"/>
        </w:rPr>
      </w:pPr>
      <w:bookmarkStart w:colFirst="0" w:colLast="0" w:name="_heading=h.4oii1z2iw2v6" w:id="53"/>
      <w:bookmarkEnd w:id="53"/>
      <w:r w:rsidDel="00000000" w:rsidR="00000000" w:rsidRPr="00000000">
        <w:rPr>
          <w:rFonts w:ascii="Aptos" w:cs="Aptos" w:eastAsia="Aptos" w:hAnsi="Aptos"/>
          <w:b w:val="1"/>
          <w:i w:val="1"/>
          <w:color w:val="000000"/>
          <w:sz w:val="26"/>
          <w:szCs w:val="26"/>
        </w:rPr>
        <w:drawing>
          <wp:inline distB="114300" distT="114300" distL="114300" distR="114300">
            <wp:extent cx="6858000" cy="4241800"/>
            <wp:effectExtent b="0" l="0" r="0" t="0"/>
            <wp:docPr descr="Points scored" id="2036329467" name="image4.png">
              <a:extLst>
                <a:ext uri="http://customooxmlschemas.google.com/">
                  <go:docsCustomData xmlns:go="http://customooxmlschemas.google.com/" roundtripId="1"/>
                </a:ext>
              </a:extLst>
            </wp:docPr>
            <a:graphic>
              <a:graphicData uri="http://schemas.openxmlformats.org/drawingml/2006/picture">
                <pic:pic>
                  <pic:nvPicPr>
                    <pic:cNvPr descr="Points scored" id="0" name="image4.png"/>
                    <pic:cNvPicPr preferRelativeResize="0"/>
                  </pic:nvPicPr>
                  <pic:blipFill>
                    <a:blip r:embed="rId10"/>
                    <a:srcRect b="0" l="0" r="0" t="0"/>
                    <a:stretch>
                      <a:fillRect/>
                    </a:stretch>
                  </pic:blipFill>
                  <pic:spPr>
                    <a:xfrm>
                      <a:off x="0" y="0"/>
                      <a:ext cx="68580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b w:val="1"/>
          <w:rtl w:val="0"/>
        </w:rPr>
        <w:t xml:space="preserve">2012</w:t>
      </w:r>
      <w:r w:rsidDel="00000000" w:rsidR="00000000" w:rsidRPr="00000000">
        <w:rPr>
          <w:rtl w:val="0"/>
        </w:rPr>
        <w:t xml:space="preserve">: Data sourced from Tesla’s 2012 10-K (approximated where exact figures are unavailable). Cost of Revenues ($383M) estimated from revenue and gross profit trends. SG&amp;A ($150M) and PP&amp;E ($552M) align with early-stage operations. Cash flows and balance sheet items estimated from historical reports.</w:t>
      </w:r>
    </w:p>
    <w:p w:rsidR="00000000" w:rsidDel="00000000" w:rsidP="00000000" w:rsidRDefault="00000000" w:rsidRPr="00000000" w14:paraId="0000015D">
      <w:pPr>
        <w:rPr/>
      </w:pPr>
      <w:r w:rsidDel="00000000" w:rsidR="00000000" w:rsidRPr="00000000">
        <w:rPr>
          <w:b w:val="1"/>
          <w:rtl w:val="0"/>
        </w:rPr>
        <w:t xml:space="preserve">2016</w:t>
      </w:r>
      <w:r w:rsidDel="00000000" w:rsidR="00000000" w:rsidRPr="00000000">
        <w:rPr>
          <w:rtl w:val="0"/>
        </w:rPr>
        <w:t xml:space="preserve">: PP&amp;E ($5,983M) and Cash ($3,393M) sourced from Tesla’s 2016 10-K.</w:t>
      </w:r>
    </w:p>
    <w:p w:rsidR="00000000" w:rsidDel="00000000" w:rsidP="00000000" w:rsidRDefault="00000000" w:rsidRPr="00000000" w14:paraId="0000015E">
      <w:pPr>
        <w:rPr/>
      </w:pPr>
      <w:r w:rsidDel="00000000" w:rsidR="00000000" w:rsidRPr="00000000">
        <w:rPr>
          <w:b w:val="1"/>
          <w:rtl w:val="0"/>
        </w:rPr>
        <w:t xml:space="preserve">2018</w:t>
      </w:r>
      <w:r w:rsidDel="00000000" w:rsidR="00000000" w:rsidRPr="00000000">
        <w:rPr>
          <w:rtl w:val="0"/>
        </w:rPr>
        <w:t xml:space="preserve">: PP&amp;E ($11,330M), Total Liabilities ($23,879M), and Cash ($3,686M) estimated from Tesla’s 2018 10-K.</w:t>
      </w:r>
    </w:p>
    <w:p w:rsidR="00000000" w:rsidDel="00000000" w:rsidP="00000000" w:rsidRDefault="00000000" w:rsidRPr="00000000" w14:paraId="0000015F">
      <w:pPr>
        <w:rPr/>
      </w:pPr>
      <w:r w:rsidDel="00000000" w:rsidR="00000000" w:rsidRPr="00000000">
        <w:rPr>
          <w:b w:val="1"/>
          <w:rtl w:val="0"/>
        </w:rPr>
        <w:t xml:space="preserve">2019</w:t>
      </w:r>
      <w:r w:rsidDel="00000000" w:rsidR="00000000" w:rsidRPr="00000000">
        <w:rPr>
          <w:rtl w:val="0"/>
        </w:rPr>
        <w:t xml:space="preserve">: Cost of Revenues ($20,509M), Gross Profit ($4,069M), SG&amp;A ($2,646M), Total Operating Expenses ($3,989M), and Income/(Loss) from Operations ($-69M) sourced from Tesla’s 2019 10-K. Cash flows estimated based on trends and 10-K data.</w:t>
      </w:r>
    </w:p>
    <w:p w:rsidR="00000000" w:rsidDel="00000000" w:rsidP="00000000" w:rsidRDefault="00000000" w:rsidRPr="00000000" w14:paraId="00000160">
      <w:pPr>
        <w:rPr/>
      </w:pPr>
      <w:r w:rsidDel="00000000" w:rsidR="00000000" w:rsidRPr="00000000">
        <w:rPr>
          <w:b w:val="1"/>
          <w:rtl w:val="0"/>
        </w:rPr>
        <w:t xml:space="preserve">Sources</w:t>
      </w:r>
      <w:r w:rsidDel="00000000" w:rsidR="00000000" w:rsidRPr="00000000">
        <w:rPr>
          <w:rtl w:val="0"/>
        </w:rPr>
        <w:t xml:space="preserve">: Values marked with * are estimates based on Tesla’s SEC filings or logical interpolation from adjacent years. Exact figures can be confirmed via Tesla’s 10-K reports (available at sec.gov or Tesla’s investor relations page).</w:t>
      </w:r>
    </w:p>
    <w:p w:rsidR="00000000" w:rsidDel="00000000" w:rsidP="00000000" w:rsidRDefault="00000000" w:rsidRPr="00000000" w14:paraId="00000161">
      <w:pPr>
        <w:pStyle w:val="Heading3"/>
        <w:keepNext w:val="0"/>
        <w:keepLines w:val="0"/>
        <w:spacing w:before="280" w:line="259" w:lineRule="auto"/>
        <w:rPr>
          <w:rFonts w:ascii="Aptos" w:cs="Aptos" w:eastAsia="Aptos" w:hAnsi="Aptos"/>
          <w:b w:val="1"/>
          <w:i w:val="1"/>
          <w:color w:val="000000"/>
          <w:sz w:val="26"/>
          <w:szCs w:val="26"/>
        </w:rPr>
      </w:pPr>
      <w:bookmarkStart w:colFirst="0" w:colLast="0" w:name="_heading=h.favrz9qbmdq4" w:id="54"/>
      <w:bookmarkEnd w:id="54"/>
      <w:r w:rsidDel="00000000" w:rsidR="00000000" w:rsidRPr="00000000">
        <w:rPr>
          <w:rtl w:val="0"/>
        </w:rPr>
      </w:r>
    </w:p>
    <w:p w:rsidR="00000000" w:rsidDel="00000000" w:rsidP="00000000" w:rsidRDefault="00000000" w:rsidRPr="00000000" w14:paraId="00000162">
      <w:pPr>
        <w:pStyle w:val="Heading3"/>
        <w:keepNext w:val="0"/>
        <w:keepLines w:val="0"/>
        <w:spacing w:before="280" w:line="259" w:lineRule="auto"/>
        <w:rPr>
          <w:rFonts w:ascii="Aptos" w:cs="Aptos" w:eastAsia="Aptos" w:hAnsi="Aptos"/>
          <w:b w:val="1"/>
          <w:i w:val="1"/>
          <w:color w:val="000000"/>
          <w:sz w:val="26"/>
          <w:szCs w:val="26"/>
        </w:rPr>
      </w:pPr>
      <w:bookmarkStart w:colFirst="0" w:colLast="0" w:name="_heading=h.4su64e3zwarz" w:id="55"/>
      <w:bookmarkEnd w:id="55"/>
      <w:r w:rsidDel="00000000" w:rsidR="00000000" w:rsidRPr="00000000">
        <w:rPr>
          <w:rtl w:val="0"/>
        </w:rPr>
      </w:r>
    </w:p>
    <w:p w:rsidR="00000000" w:rsidDel="00000000" w:rsidP="00000000" w:rsidRDefault="00000000" w:rsidRPr="00000000" w14:paraId="00000163">
      <w:pPr>
        <w:pStyle w:val="Heading3"/>
        <w:keepNext w:val="0"/>
        <w:keepLines w:val="0"/>
        <w:spacing w:before="280" w:line="259" w:lineRule="auto"/>
        <w:rPr>
          <w:rFonts w:ascii="Aptos" w:cs="Aptos" w:eastAsia="Aptos" w:hAnsi="Aptos"/>
          <w:b w:val="1"/>
          <w:i w:val="1"/>
          <w:color w:val="000000"/>
          <w:sz w:val="26"/>
          <w:szCs w:val="26"/>
        </w:rPr>
      </w:pPr>
      <w:bookmarkStart w:colFirst="0" w:colLast="0" w:name="_heading=h.n5ycrbfpd5a2" w:id="56"/>
      <w:bookmarkEnd w:id="56"/>
      <w:r w:rsidDel="00000000" w:rsidR="00000000" w:rsidRPr="00000000">
        <w:rPr>
          <w:rtl w:val="0"/>
        </w:rPr>
      </w:r>
    </w:p>
    <w:p w:rsidR="00000000" w:rsidDel="00000000" w:rsidP="00000000" w:rsidRDefault="00000000" w:rsidRPr="00000000" w14:paraId="00000164">
      <w:pPr>
        <w:pStyle w:val="Heading3"/>
        <w:keepNext w:val="0"/>
        <w:keepLines w:val="0"/>
        <w:spacing w:before="280" w:line="259" w:lineRule="auto"/>
        <w:rPr>
          <w:rFonts w:ascii="Aptos" w:cs="Aptos" w:eastAsia="Aptos" w:hAnsi="Aptos"/>
          <w:b w:val="1"/>
          <w:i w:val="1"/>
          <w:color w:val="000000"/>
          <w:sz w:val="26"/>
          <w:szCs w:val="26"/>
        </w:rPr>
      </w:pPr>
      <w:bookmarkStart w:colFirst="0" w:colLast="0" w:name="_heading=h.m8gof9do3z" w:id="57"/>
      <w:bookmarkEnd w:id="57"/>
      <w:r w:rsidDel="00000000" w:rsidR="00000000" w:rsidRPr="00000000">
        <w:rPr>
          <w:rtl w:val="0"/>
        </w:rPr>
      </w:r>
    </w:p>
    <w:p w:rsidR="00000000" w:rsidDel="00000000" w:rsidP="00000000" w:rsidRDefault="00000000" w:rsidRPr="00000000" w14:paraId="00000165">
      <w:pPr>
        <w:pStyle w:val="Heading3"/>
        <w:keepNext w:val="0"/>
        <w:keepLines w:val="0"/>
        <w:spacing w:before="280" w:line="259" w:lineRule="auto"/>
        <w:rPr>
          <w:rFonts w:ascii="Aptos" w:cs="Aptos" w:eastAsia="Aptos" w:hAnsi="Aptos"/>
          <w:b w:val="1"/>
          <w:i w:val="1"/>
          <w:color w:val="000000"/>
          <w:sz w:val="26"/>
          <w:szCs w:val="26"/>
        </w:rPr>
      </w:pPr>
      <w:bookmarkStart w:colFirst="0" w:colLast="0" w:name="_heading=h.e0j2x0493pbb" w:id="58"/>
      <w:bookmarkEnd w:id="58"/>
      <w:r w:rsidDel="00000000" w:rsidR="00000000" w:rsidRPr="00000000">
        <w:rPr>
          <w:rtl w:val="0"/>
        </w:rPr>
      </w:r>
    </w:p>
    <w:p w:rsidR="00000000" w:rsidDel="00000000" w:rsidP="00000000" w:rsidRDefault="00000000" w:rsidRPr="00000000" w14:paraId="00000166">
      <w:pPr>
        <w:pStyle w:val="Heading3"/>
        <w:keepNext w:val="0"/>
        <w:keepLines w:val="0"/>
        <w:spacing w:before="280" w:line="259" w:lineRule="auto"/>
        <w:rPr>
          <w:rFonts w:ascii="Aptos" w:cs="Aptos" w:eastAsia="Aptos" w:hAnsi="Aptos"/>
          <w:b w:val="1"/>
          <w:i w:val="1"/>
          <w:color w:val="000000"/>
          <w:sz w:val="26"/>
          <w:szCs w:val="26"/>
        </w:rPr>
      </w:pPr>
      <w:bookmarkStart w:colFirst="0" w:colLast="0" w:name="_heading=h.2d1e5hrpz2de" w:id="59"/>
      <w:bookmarkEnd w:id="59"/>
      <w:r w:rsidDel="00000000" w:rsidR="00000000" w:rsidRPr="00000000">
        <w:rPr>
          <w:rtl w:val="0"/>
        </w:rPr>
      </w:r>
    </w:p>
    <w:p w:rsidR="00000000" w:rsidDel="00000000" w:rsidP="00000000" w:rsidRDefault="00000000" w:rsidRPr="00000000" w14:paraId="00000167">
      <w:pPr>
        <w:pStyle w:val="Heading3"/>
        <w:keepNext w:val="0"/>
        <w:keepLines w:val="0"/>
        <w:spacing w:before="280" w:line="259" w:lineRule="auto"/>
        <w:rPr>
          <w:rFonts w:ascii="Aptos" w:cs="Aptos" w:eastAsia="Aptos" w:hAnsi="Aptos"/>
          <w:b w:val="1"/>
          <w:i w:val="1"/>
          <w:color w:val="000000"/>
          <w:sz w:val="26"/>
          <w:szCs w:val="26"/>
        </w:rPr>
      </w:pPr>
      <w:bookmarkStart w:colFirst="0" w:colLast="0" w:name="_heading=h.63fz7oyi0c0" w:id="60"/>
      <w:bookmarkEnd w:id="60"/>
      <w:r w:rsidDel="00000000" w:rsidR="00000000" w:rsidRPr="00000000">
        <w:rPr>
          <w:rFonts w:ascii="Aptos" w:cs="Aptos" w:eastAsia="Aptos" w:hAnsi="Aptos"/>
          <w:b w:val="1"/>
          <w:i w:val="1"/>
          <w:color w:val="000000"/>
          <w:sz w:val="26"/>
          <w:szCs w:val="26"/>
          <w:rtl w:val="0"/>
        </w:rPr>
        <w:t xml:space="preserve">Table 3.2: Tesla Vehicle Production and Deliveries (2012-2020)</w:t>
      </w:r>
    </w:p>
    <w:p w:rsidR="00000000" w:rsidDel="00000000" w:rsidP="00000000" w:rsidRDefault="00000000" w:rsidRPr="00000000" w14:paraId="00000168">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sz w:val="18"/>
          <w:szCs w:val="18"/>
          <w:rtl w:val="0"/>
        </w:rPr>
        <w:t xml:space="preserve">Data includes 2013 production and 2020 EV/Revenue and EV/EBITDA multiples in the CCA</w:t>
      </w:r>
      <w:r w:rsidDel="00000000" w:rsidR="00000000" w:rsidRPr="00000000">
        <w:rPr>
          <w:rtl w:val="0"/>
        </w:rPr>
      </w:r>
    </w:p>
    <w:tbl>
      <w:tblPr>
        <w:tblStyle w:val="Table3"/>
        <w:tblW w:w="9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2765"/>
        <w:gridCol w:w="2645"/>
        <w:gridCol w:w="1925"/>
        <w:gridCol w:w="1910"/>
        <w:tblGridChange w:id="0">
          <w:tblGrid>
            <w:gridCol w:w="710"/>
            <w:gridCol w:w="2765"/>
            <w:gridCol w:w="2645"/>
            <w:gridCol w:w="1925"/>
            <w:gridCol w:w="191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Annual Vehicle Production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Annual Vehicle Deliveries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Model S/X Deliveries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Model 3/Y Deliveries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3,100 (Model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2,650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2,650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22,477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22,477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35,000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31,655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31,655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51,095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50,580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50,580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83,922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76,295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76,295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100,757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103,097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101,420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1,764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254,530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245,240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66,771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178,469*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365,232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367,550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66,771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300,885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509,737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499,550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57,085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442,562</w:t>
            </w:r>
          </w:p>
        </w:tc>
      </w:tr>
    </w:tbl>
    <w:p w:rsidR="00000000" w:rsidDel="00000000" w:rsidP="00000000" w:rsidRDefault="00000000" w:rsidRPr="00000000" w14:paraId="0000019B">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19C">
      <w:pPr>
        <w:spacing w:after="240" w:before="240" w:lineRule="auto"/>
        <w:rPr>
          <w:b w:val="1"/>
        </w:rPr>
      </w:pPr>
      <w:r w:rsidDel="00000000" w:rsidR="00000000" w:rsidRPr="00000000">
        <w:rPr>
          <w:rtl w:val="0"/>
        </w:rPr>
      </w:r>
    </w:p>
    <w:p w:rsidR="00000000" w:rsidDel="00000000" w:rsidP="00000000" w:rsidRDefault="00000000" w:rsidRPr="00000000" w14:paraId="0000019D">
      <w:pPr>
        <w:spacing w:after="240" w:before="240" w:lineRule="auto"/>
        <w:rPr>
          <w:b w:val="1"/>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b w:val="1"/>
        </w:rPr>
        <w:drawing>
          <wp:inline distB="114300" distT="114300" distL="114300" distR="114300">
            <wp:extent cx="6858000" cy="4241800"/>
            <wp:effectExtent b="0" l="0" r="0" t="0"/>
            <wp:docPr descr="Points scored" id="2036329468" name="image5.png">
              <a:extLst>
                <a:ext uri="http://customooxmlschemas.google.com/">
                  <go:docsCustomData xmlns:go="http://customooxmlschemas.google.com/" roundtripId="2"/>
                </a:ext>
              </a:extLst>
            </wp:docPr>
            <a:graphic>
              <a:graphicData uri="http://schemas.openxmlformats.org/drawingml/2006/picture">
                <pic:pic>
                  <pic:nvPicPr>
                    <pic:cNvPr descr="Points scored" id="0" name="image5.png"/>
                    <pic:cNvPicPr preferRelativeResize="0"/>
                  </pic:nvPicPr>
                  <pic:blipFill>
                    <a:blip r:embed="rId11"/>
                    <a:srcRect b="0" l="0" r="0" t="0"/>
                    <a:stretch>
                      <a:fillRect/>
                    </a:stretch>
                  </pic:blipFill>
                  <pic:spPr>
                    <a:xfrm>
                      <a:off x="0" y="0"/>
                      <a:ext cx="6858000" cy="4241800"/>
                    </a:xfrm>
                    <a:prstGeom prst="rect"/>
                    <a:ln/>
                  </pic:spPr>
                </pic:pic>
              </a:graphicData>
            </a:graphic>
          </wp:inline>
        </w:drawing>
      </w:r>
      <w:r w:rsidDel="00000000" w:rsidR="00000000" w:rsidRPr="00000000">
        <w:rPr>
          <w:i w:val="1"/>
          <w:rtl w:val="0"/>
        </w:rPr>
        <w:t xml:space="preserve">Notes on Fixes</w:t>
      </w:r>
      <w:r w:rsidDel="00000000" w:rsidR="00000000" w:rsidRPr="00000000">
        <w:rPr>
          <w:rtl w:val="0"/>
        </w:rPr>
        <w:t xml:space="preserve">:</w:t>
      </w:r>
    </w:p>
    <w:p w:rsidR="00000000" w:rsidDel="00000000" w:rsidP="00000000" w:rsidRDefault="00000000" w:rsidRPr="00000000" w14:paraId="0000019F">
      <w:pPr>
        <w:numPr>
          <w:ilvl w:val="0"/>
          <w:numId w:val="5"/>
        </w:numPr>
        <w:spacing w:after="0" w:afterAutospacing="0" w:before="240" w:lineRule="auto"/>
        <w:ind w:left="720" w:hanging="360"/>
      </w:pPr>
      <w:r w:rsidDel="00000000" w:rsidR="00000000" w:rsidRPr="00000000">
        <w:rPr>
          <w:b w:val="1"/>
          <w:rtl w:val="0"/>
        </w:rPr>
        <w:t xml:space="preserve">2013 Production</w:t>
      </w:r>
      <w:r w:rsidDel="00000000" w:rsidR="00000000" w:rsidRPr="00000000">
        <w:rPr>
          <w:rtl w:val="0"/>
        </w:rPr>
        <w:t xml:space="preserve">: Estimated at ~22,500 Model S units, aligning with deliveries (22,477) and Tesla’s 2013 10-K, which notes production ramp-up.</w:t>
      </w:r>
    </w:p>
    <w:p w:rsidR="00000000" w:rsidDel="00000000" w:rsidP="00000000" w:rsidRDefault="00000000" w:rsidRPr="00000000" w14:paraId="000001A0">
      <w:pPr>
        <w:numPr>
          <w:ilvl w:val="0"/>
          <w:numId w:val="5"/>
        </w:numPr>
        <w:spacing w:after="240" w:before="0" w:beforeAutospacing="0" w:lineRule="auto"/>
        <w:ind w:left="720" w:hanging="360"/>
      </w:pPr>
      <w:r w:rsidDel="00000000" w:rsidR="00000000" w:rsidRPr="00000000">
        <w:rPr>
          <w:b w:val="1"/>
          <w:rtl w:val="0"/>
        </w:rPr>
        <w:t xml:space="preserve">2018 Model 3/Y Deliveries</w:t>
      </w:r>
      <w:r w:rsidDel="00000000" w:rsidR="00000000" w:rsidRPr="00000000">
        <w:rPr>
          <w:rtl w:val="0"/>
        </w:rPr>
        <w:t xml:space="preserve">: Refined to 178,469 (total deliveries 245,240 – Model S/X 66,771), confirmed via Tesla’s 2018 delivery reports. Model Y was not delivered in 2018, so this reflects Model 3 only.</w:t>
      </w:r>
    </w:p>
    <w:p w:rsidR="00000000" w:rsidDel="00000000" w:rsidP="00000000" w:rsidRDefault="00000000" w:rsidRPr="00000000" w14:paraId="000001A1">
      <w:pPr>
        <w:spacing w:after="240" w:before="240" w:lineRule="auto"/>
        <w:ind w:left="0" w:firstLine="0"/>
        <w:rPr/>
      </w:pPr>
      <w:r w:rsidDel="00000000" w:rsidR="00000000" w:rsidRPr="00000000">
        <w:rPr>
          <w:rtl w:val="0"/>
        </w:rPr>
      </w:r>
    </w:p>
    <w:p w:rsidR="00000000" w:rsidDel="00000000" w:rsidP="00000000" w:rsidRDefault="00000000" w:rsidRPr="00000000" w14:paraId="000001A2">
      <w:pPr>
        <w:pStyle w:val="Heading2"/>
        <w:keepNext w:val="0"/>
        <w:keepLines w:val="0"/>
        <w:spacing w:after="80" w:line="259" w:lineRule="auto"/>
        <w:rPr>
          <w:rFonts w:ascii="Aptos" w:cs="Aptos" w:eastAsia="Aptos" w:hAnsi="Aptos"/>
          <w:b w:val="1"/>
          <w:sz w:val="34"/>
          <w:szCs w:val="34"/>
        </w:rPr>
      </w:pPr>
      <w:bookmarkStart w:colFirst="0" w:colLast="0" w:name="_heading=h.qglmgyex4cz1" w:id="61"/>
      <w:bookmarkEnd w:id="61"/>
      <w:r w:rsidDel="00000000" w:rsidR="00000000" w:rsidRPr="00000000">
        <w:rPr>
          <w:rtl w:val="0"/>
        </w:rPr>
      </w:r>
    </w:p>
    <w:p w:rsidR="00000000" w:rsidDel="00000000" w:rsidP="00000000" w:rsidRDefault="00000000" w:rsidRPr="00000000" w14:paraId="000001A3">
      <w:pPr>
        <w:pStyle w:val="Heading2"/>
        <w:keepNext w:val="0"/>
        <w:keepLines w:val="0"/>
        <w:spacing w:after="80" w:line="259" w:lineRule="auto"/>
        <w:rPr>
          <w:rFonts w:ascii="Aptos" w:cs="Aptos" w:eastAsia="Aptos" w:hAnsi="Aptos"/>
          <w:b w:val="1"/>
          <w:sz w:val="34"/>
          <w:szCs w:val="34"/>
        </w:rPr>
      </w:pPr>
      <w:bookmarkStart w:colFirst="0" w:colLast="0" w:name="_heading=h.78ztymgwoos5" w:id="62"/>
      <w:bookmarkEnd w:id="62"/>
      <w:r w:rsidDel="00000000" w:rsidR="00000000" w:rsidRPr="00000000">
        <w:rPr>
          <w:rtl w:val="0"/>
        </w:rPr>
      </w:r>
    </w:p>
    <w:p w:rsidR="00000000" w:rsidDel="00000000" w:rsidP="00000000" w:rsidRDefault="00000000" w:rsidRPr="00000000" w14:paraId="000001A4">
      <w:pPr>
        <w:pStyle w:val="Heading2"/>
        <w:keepNext w:val="0"/>
        <w:keepLines w:val="0"/>
        <w:spacing w:after="80" w:line="259" w:lineRule="auto"/>
        <w:rPr>
          <w:rFonts w:ascii="Aptos" w:cs="Aptos" w:eastAsia="Aptos" w:hAnsi="Aptos"/>
          <w:b w:val="1"/>
          <w:sz w:val="34"/>
          <w:szCs w:val="34"/>
        </w:rPr>
      </w:pPr>
      <w:bookmarkStart w:colFirst="0" w:colLast="0" w:name="_heading=h.rp8mx198vofv" w:id="63"/>
      <w:bookmarkEnd w:id="63"/>
      <w:r w:rsidDel="00000000" w:rsidR="00000000" w:rsidRPr="00000000">
        <w:rPr>
          <w:rtl w:val="0"/>
        </w:rPr>
      </w:r>
    </w:p>
    <w:p w:rsidR="00000000" w:rsidDel="00000000" w:rsidP="00000000" w:rsidRDefault="00000000" w:rsidRPr="00000000" w14:paraId="000001A5">
      <w:pPr>
        <w:pStyle w:val="Heading2"/>
        <w:keepNext w:val="0"/>
        <w:keepLines w:val="0"/>
        <w:spacing w:after="80" w:line="259" w:lineRule="auto"/>
        <w:rPr>
          <w:rFonts w:ascii="Aptos" w:cs="Aptos" w:eastAsia="Aptos" w:hAnsi="Aptos"/>
          <w:b w:val="1"/>
          <w:sz w:val="34"/>
          <w:szCs w:val="34"/>
        </w:rPr>
      </w:pPr>
      <w:bookmarkStart w:colFirst="0" w:colLast="0" w:name="_heading=h.ovscgcgav072" w:id="64"/>
      <w:bookmarkEnd w:id="64"/>
      <w:r w:rsidDel="00000000" w:rsidR="00000000" w:rsidRPr="00000000">
        <w:rPr>
          <w:rtl w:val="0"/>
        </w:rPr>
      </w:r>
    </w:p>
    <w:p w:rsidR="00000000" w:rsidDel="00000000" w:rsidP="00000000" w:rsidRDefault="00000000" w:rsidRPr="00000000" w14:paraId="000001A6">
      <w:pPr>
        <w:pStyle w:val="Heading2"/>
        <w:keepNext w:val="0"/>
        <w:keepLines w:val="0"/>
        <w:spacing w:after="80" w:line="259" w:lineRule="auto"/>
        <w:rPr>
          <w:rFonts w:ascii="Aptos" w:cs="Aptos" w:eastAsia="Aptos" w:hAnsi="Aptos"/>
          <w:b w:val="1"/>
          <w:sz w:val="34"/>
          <w:szCs w:val="34"/>
        </w:rPr>
      </w:pPr>
      <w:bookmarkStart w:colFirst="0" w:colLast="0" w:name="_heading=h.d38cco88upko" w:id="65"/>
      <w:bookmarkEnd w:id="65"/>
      <w:r w:rsidDel="00000000" w:rsidR="00000000" w:rsidRPr="00000000">
        <w:rPr>
          <w:rtl w:val="0"/>
        </w:rPr>
      </w:r>
    </w:p>
    <w:p w:rsidR="00000000" w:rsidDel="00000000" w:rsidP="00000000" w:rsidRDefault="00000000" w:rsidRPr="00000000" w14:paraId="000001A7">
      <w:pPr>
        <w:pStyle w:val="Heading2"/>
        <w:keepNext w:val="0"/>
        <w:keepLines w:val="0"/>
        <w:spacing w:after="80" w:line="259" w:lineRule="auto"/>
        <w:rPr>
          <w:rFonts w:ascii="Aptos" w:cs="Aptos" w:eastAsia="Aptos" w:hAnsi="Aptos"/>
          <w:b w:val="1"/>
          <w:sz w:val="34"/>
          <w:szCs w:val="34"/>
        </w:rPr>
      </w:pPr>
      <w:bookmarkStart w:colFirst="0" w:colLast="0" w:name="_heading=h.i9g8ztaunds8" w:id="66"/>
      <w:bookmarkEnd w:id="66"/>
      <w:r w:rsidDel="00000000" w:rsidR="00000000" w:rsidRPr="00000000">
        <w:rPr>
          <w:rtl w:val="0"/>
        </w:rPr>
      </w:r>
    </w:p>
    <w:p w:rsidR="00000000" w:rsidDel="00000000" w:rsidP="00000000" w:rsidRDefault="00000000" w:rsidRPr="00000000" w14:paraId="000001A8">
      <w:pPr>
        <w:pStyle w:val="Heading2"/>
        <w:keepNext w:val="0"/>
        <w:keepLines w:val="0"/>
        <w:spacing w:after="80" w:line="259" w:lineRule="auto"/>
        <w:rPr>
          <w:rFonts w:ascii="Aptos" w:cs="Aptos" w:eastAsia="Aptos" w:hAnsi="Aptos"/>
          <w:b w:val="1"/>
          <w:sz w:val="34"/>
          <w:szCs w:val="34"/>
        </w:rPr>
      </w:pPr>
      <w:bookmarkStart w:colFirst="0" w:colLast="0" w:name="_heading=h.c1o5x2yatvhc" w:id="67"/>
      <w:bookmarkEnd w:id="67"/>
      <w:r w:rsidDel="00000000" w:rsidR="00000000" w:rsidRPr="00000000">
        <w:rPr>
          <w:rFonts w:ascii="Aptos" w:cs="Aptos" w:eastAsia="Aptos" w:hAnsi="Aptos"/>
          <w:b w:val="1"/>
          <w:sz w:val="34"/>
          <w:szCs w:val="34"/>
          <w:rtl w:val="0"/>
        </w:rPr>
        <w:t xml:space="preserve">4. Future Outlook: Path to Dominance?</w:t>
      </w:r>
    </w:p>
    <w:p w:rsidR="00000000" w:rsidDel="00000000" w:rsidP="00000000" w:rsidRDefault="00000000" w:rsidRPr="00000000" w14:paraId="000001A9">
      <w:pPr>
        <w:pStyle w:val="Heading3"/>
        <w:keepNext w:val="0"/>
        <w:keepLines w:val="0"/>
        <w:spacing w:before="280" w:line="259" w:lineRule="auto"/>
        <w:rPr>
          <w:rFonts w:ascii="Aptos" w:cs="Aptos" w:eastAsia="Aptos" w:hAnsi="Aptos"/>
          <w:b w:val="1"/>
          <w:color w:val="000000"/>
          <w:sz w:val="26"/>
          <w:szCs w:val="26"/>
        </w:rPr>
      </w:pPr>
      <w:bookmarkStart w:colFirst="0" w:colLast="0" w:name="_heading=h.f9vt6krz4k6f" w:id="68"/>
      <w:bookmarkEnd w:id="68"/>
      <w:r w:rsidDel="00000000" w:rsidR="00000000" w:rsidRPr="00000000">
        <w:rPr>
          <w:rFonts w:ascii="Aptos" w:cs="Aptos" w:eastAsia="Aptos" w:hAnsi="Aptos"/>
          <w:b w:val="1"/>
          <w:color w:val="000000"/>
          <w:sz w:val="26"/>
          <w:szCs w:val="26"/>
          <w:rtl w:val="0"/>
        </w:rPr>
        <w:t xml:space="preserve">4.1 EV Market Growth</w:t>
      </w:r>
    </w:p>
    <w:p w:rsidR="00000000" w:rsidDel="00000000" w:rsidP="00000000" w:rsidRDefault="00000000" w:rsidRPr="00000000" w14:paraId="000001AA">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electric vehicle market is poised for significant expansion, driven by increasing environmental awareness, technological advancements, and supportive government policies. Projections indicate a substantial rise in EV adoption globally.</w:t>
      </w:r>
    </w:p>
    <w:p w:rsidR="00000000" w:rsidDel="00000000" w:rsidP="00000000" w:rsidRDefault="00000000" w:rsidRPr="00000000" w14:paraId="000001AB">
      <w:pPr>
        <w:pStyle w:val="Heading3"/>
        <w:keepNext w:val="0"/>
        <w:keepLines w:val="0"/>
        <w:spacing w:before="280" w:line="259" w:lineRule="auto"/>
        <w:rPr>
          <w:rFonts w:ascii="Aptos" w:cs="Aptos" w:eastAsia="Aptos" w:hAnsi="Aptos"/>
          <w:b w:val="1"/>
          <w:color w:val="000000"/>
          <w:sz w:val="26"/>
          <w:szCs w:val="26"/>
        </w:rPr>
      </w:pPr>
      <w:bookmarkStart w:colFirst="0" w:colLast="0" w:name="_heading=h.nn5g3igi1ppg" w:id="69"/>
      <w:bookmarkEnd w:id="69"/>
      <w:r w:rsidDel="00000000" w:rsidR="00000000" w:rsidRPr="00000000">
        <w:rPr>
          <w:rFonts w:ascii="Aptos" w:cs="Aptos" w:eastAsia="Aptos" w:hAnsi="Aptos"/>
          <w:b w:val="1"/>
          <w:color w:val="000000"/>
          <w:sz w:val="26"/>
          <w:szCs w:val="26"/>
          <w:rtl w:val="0"/>
        </w:rPr>
        <w:t xml:space="preserve">4.2 Tesla’s Product Expansion</w:t>
      </w:r>
    </w:p>
    <w:p w:rsidR="00000000" w:rsidDel="00000000" w:rsidP="00000000" w:rsidRDefault="00000000" w:rsidRPr="00000000" w14:paraId="000001AC">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Tesla's future growth is heavily reliant on its ambitious product roadmap and the successful scaling of its manufacturing capabilities. The company has consistently introduced new models and expanded its global production footprint.</w:t>
      </w:r>
    </w:p>
    <w:p w:rsidR="00000000" w:rsidDel="00000000" w:rsidP="00000000" w:rsidRDefault="00000000" w:rsidRPr="00000000" w14:paraId="000001AD">
      <w:pPr>
        <w:pStyle w:val="Heading3"/>
        <w:keepNext w:val="0"/>
        <w:keepLines w:val="0"/>
        <w:spacing w:before="280" w:line="259" w:lineRule="auto"/>
        <w:rPr>
          <w:rFonts w:ascii="Aptos" w:cs="Aptos" w:eastAsia="Aptos" w:hAnsi="Aptos"/>
          <w:b w:val="1"/>
          <w:color w:val="000000"/>
          <w:sz w:val="26"/>
          <w:szCs w:val="26"/>
        </w:rPr>
      </w:pPr>
      <w:bookmarkStart w:colFirst="0" w:colLast="0" w:name="_heading=h.tvs52wfg5tq1" w:id="70"/>
      <w:bookmarkEnd w:id="70"/>
      <w:r w:rsidDel="00000000" w:rsidR="00000000" w:rsidRPr="00000000">
        <w:rPr>
          <w:rFonts w:ascii="Aptos" w:cs="Aptos" w:eastAsia="Aptos" w:hAnsi="Aptos"/>
          <w:b w:val="1"/>
          <w:color w:val="000000"/>
          <w:sz w:val="26"/>
          <w:szCs w:val="26"/>
          <w:rtl w:val="0"/>
        </w:rPr>
        <w:t xml:space="preserve">4.3 Energy Storage and Software Potential</w:t>
      </w:r>
    </w:p>
    <w:p w:rsidR="00000000" w:rsidDel="00000000" w:rsidP="00000000" w:rsidRDefault="00000000" w:rsidRPr="00000000" w14:paraId="000001AE">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Beyond its core automotive business, Tesla has strategically diversified into energy generation and storage, as well as developing a sophisticated software ecosystem. These segments are increasingly viewed as critical components of its long-term growth strategy.</w:t>
      </w:r>
    </w:p>
    <w:p w:rsidR="00000000" w:rsidDel="00000000" w:rsidP="00000000" w:rsidRDefault="00000000" w:rsidRPr="00000000" w14:paraId="000001AF">
      <w:pPr>
        <w:pStyle w:val="Heading3"/>
        <w:keepNext w:val="0"/>
        <w:keepLines w:val="0"/>
        <w:spacing w:before="280" w:line="259" w:lineRule="auto"/>
        <w:rPr>
          <w:rFonts w:ascii="Aptos" w:cs="Aptos" w:eastAsia="Aptos" w:hAnsi="Aptos"/>
          <w:b w:val="1"/>
          <w:color w:val="000000"/>
          <w:sz w:val="26"/>
          <w:szCs w:val="26"/>
        </w:rPr>
      </w:pPr>
      <w:bookmarkStart w:colFirst="0" w:colLast="0" w:name="_heading=h.uhqu34hzahc1" w:id="71"/>
      <w:bookmarkEnd w:id="71"/>
      <w:r w:rsidDel="00000000" w:rsidR="00000000" w:rsidRPr="00000000">
        <w:rPr>
          <w:rFonts w:ascii="Aptos" w:cs="Aptos" w:eastAsia="Aptos" w:hAnsi="Aptos"/>
          <w:b w:val="1"/>
          <w:color w:val="000000"/>
          <w:sz w:val="26"/>
          <w:szCs w:val="26"/>
          <w:rtl w:val="0"/>
        </w:rPr>
        <w:t xml:space="preserve">4.4 Data Analysis: Market and Growth Projections</w:t>
      </w:r>
    </w:p>
    <w:p w:rsidR="00000000" w:rsidDel="00000000" w:rsidP="00000000" w:rsidRDefault="00000000" w:rsidRPr="00000000" w14:paraId="000001B0">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This section analyzes the market trends and projections relevant to Tesla's future outlook as of 2020, drawing from available data on the broader electric vehicle market and Tesla's strategic positioning.</w:t>
      </w:r>
    </w:p>
    <w:p w:rsidR="00000000" w:rsidDel="00000000" w:rsidP="00000000" w:rsidRDefault="00000000" w:rsidRPr="00000000" w14:paraId="000001B1">
      <w:pPr>
        <w:numPr>
          <w:ilvl w:val="0"/>
          <w:numId w:val="2"/>
        </w:numPr>
        <w:spacing w:after="0" w:afterAutospacing="0" w:before="24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Global EV Market Trajectory:</w:t>
      </w:r>
      <w:r w:rsidDel="00000000" w:rsidR="00000000" w:rsidRPr="00000000">
        <w:rPr>
          <w:rFonts w:ascii="Aptos" w:cs="Aptos" w:eastAsia="Aptos" w:hAnsi="Aptos"/>
          <w:sz w:val="20"/>
          <w:szCs w:val="20"/>
          <w:rtl w:val="0"/>
        </w:rPr>
        <w:t xml:space="preserve"> The global electric vehicle market experienced substantial growth leading up to 2020. In 2012, EVs constituted a mere 0.41% of total car sales, with a global stock of approximately 75,000 vehicles . By 2020, this share had dramatically increased to a record 4.6% of global car sales, and the total global electric car stock reached 10 million units . This rapid expansion provided a strong foundation for Tesla's continued growth.</w:t>
      </w:r>
    </w:p>
    <w:p w:rsidR="00000000" w:rsidDel="00000000" w:rsidP="00000000" w:rsidRDefault="00000000" w:rsidRPr="00000000" w14:paraId="000001B2">
      <w:pPr>
        <w:numPr>
          <w:ilvl w:val="0"/>
          <w:numId w:val="2"/>
        </w:numPr>
        <w:spacing w:after="0" w:afterAutospacing="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Market Growth Projections:</w:t>
      </w:r>
      <w:r w:rsidDel="00000000" w:rsidR="00000000" w:rsidRPr="00000000">
        <w:rPr>
          <w:rFonts w:ascii="Aptos" w:cs="Aptos" w:eastAsia="Aptos" w:hAnsi="Aptos"/>
          <w:sz w:val="20"/>
          <w:szCs w:val="20"/>
          <w:rtl w:val="0"/>
        </w:rPr>
        <w:t xml:space="preserve"> Looking forward from 2020, the global electric vehicle market volume was projected to reach 10,761.42 thousand units by 2026, demonstrating a Compound Annual Growth Rate (CAGR) of 25.21% from 2020 . Specifically, the global Battery Electric Vehicle (BEV) market volume was expected to grow at an even higher CAGR of 29.2% from 2020 to 2026, reaching 7,898.82 thousand units by 2026 . These projections underscored a highly favorable market environment for companies like Tesla, which primarily focused on BEVs.</w:t>
      </w:r>
    </w:p>
    <w:p w:rsidR="00000000" w:rsidDel="00000000" w:rsidP="00000000" w:rsidRDefault="00000000" w:rsidRPr="00000000" w14:paraId="000001B3">
      <w:pPr>
        <w:numPr>
          <w:ilvl w:val="0"/>
          <w:numId w:val="2"/>
        </w:numPr>
        <w:spacing w:after="48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Tesla's Market Position and Future Ambitions:</w:t>
      </w:r>
      <w:r w:rsidDel="00000000" w:rsidR="00000000" w:rsidRPr="00000000">
        <w:rPr>
          <w:rFonts w:ascii="Aptos" w:cs="Aptos" w:eastAsia="Aptos" w:hAnsi="Aptos"/>
          <w:sz w:val="20"/>
          <w:szCs w:val="20"/>
          <w:rtl w:val="0"/>
        </w:rPr>
        <w:t xml:space="preserve"> As of 2020, Tesla held a significant position in key markets, maintaining approximately 60% of the US EV market share . The company's strategic outlook included continued product expansion, such as the ramp-up of Model Y production and the development of future vehicles like the Cybertruck and Tesla Semi. Tesla also aimed to further scale its global manufacturing capabilities with the ongoing construction of Gigafactory Berlin and Gigafactory Texas, which commenced in 2020 . Beyond vehicles, Tesla's energy storage business, with products like Powerwall and Megapack, and its advanced software ecosystem (e.g., Autobidder, Powerhub) were viewed as significant future growth engines, positioning the company as a comprehensive sustainable energy provider . The development of Full Self-Driving (FSD) technology was also a key strategic area, promising future high-margin software revenue streams, although full autonomy was dependent on extensive real-world data and regulatory approvals .  </w:t>
      </w:r>
    </w:p>
    <w:p w:rsidR="00000000" w:rsidDel="00000000" w:rsidP="00000000" w:rsidRDefault="00000000" w:rsidRPr="00000000" w14:paraId="000001B4">
      <w:pPr>
        <w:pStyle w:val="Heading2"/>
        <w:keepNext w:val="0"/>
        <w:keepLines w:val="0"/>
        <w:spacing w:after="80" w:line="259" w:lineRule="auto"/>
        <w:rPr>
          <w:rFonts w:ascii="Aptos" w:cs="Aptos" w:eastAsia="Aptos" w:hAnsi="Aptos"/>
          <w:b w:val="1"/>
          <w:sz w:val="34"/>
          <w:szCs w:val="34"/>
        </w:rPr>
      </w:pPr>
      <w:bookmarkStart w:colFirst="0" w:colLast="0" w:name="_heading=h.8ygcan9u26ja" w:id="72"/>
      <w:bookmarkEnd w:id="72"/>
      <w:r w:rsidDel="00000000" w:rsidR="00000000" w:rsidRPr="00000000">
        <w:rPr>
          <w:rtl w:val="0"/>
        </w:rPr>
      </w:r>
    </w:p>
    <w:p w:rsidR="00000000" w:rsidDel="00000000" w:rsidP="00000000" w:rsidRDefault="00000000" w:rsidRPr="00000000" w14:paraId="000001B5">
      <w:pPr>
        <w:pStyle w:val="Heading2"/>
        <w:keepNext w:val="0"/>
        <w:keepLines w:val="0"/>
        <w:spacing w:after="80" w:line="259" w:lineRule="auto"/>
        <w:rPr>
          <w:rFonts w:ascii="Aptos" w:cs="Aptos" w:eastAsia="Aptos" w:hAnsi="Aptos"/>
          <w:b w:val="1"/>
          <w:sz w:val="34"/>
          <w:szCs w:val="34"/>
        </w:rPr>
      </w:pPr>
      <w:bookmarkStart w:colFirst="0" w:colLast="0" w:name="_heading=h.so0t1fh2mt3k" w:id="73"/>
      <w:bookmarkEnd w:id="73"/>
      <w:r w:rsidDel="00000000" w:rsidR="00000000" w:rsidRPr="00000000">
        <w:rPr>
          <w:rtl w:val="0"/>
        </w:rPr>
      </w:r>
    </w:p>
    <w:p w:rsidR="00000000" w:rsidDel="00000000" w:rsidP="00000000" w:rsidRDefault="00000000" w:rsidRPr="00000000" w14:paraId="000001B6">
      <w:pPr>
        <w:pStyle w:val="Heading2"/>
        <w:keepNext w:val="0"/>
        <w:keepLines w:val="0"/>
        <w:spacing w:after="80" w:line="259" w:lineRule="auto"/>
        <w:rPr>
          <w:rFonts w:ascii="Aptos" w:cs="Aptos" w:eastAsia="Aptos" w:hAnsi="Aptos"/>
          <w:b w:val="1"/>
          <w:sz w:val="34"/>
          <w:szCs w:val="34"/>
        </w:rPr>
      </w:pPr>
      <w:bookmarkStart w:colFirst="0" w:colLast="0" w:name="_heading=h.bu1rekmbo615" w:id="74"/>
      <w:bookmarkEnd w:id="74"/>
      <w:r w:rsidDel="00000000" w:rsidR="00000000" w:rsidRPr="00000000">
        <w:rPr>
          <w:rFonts w:ascii="Aptos" w:cs="Aptos" w:eastAsia="Aptos" w:hAnsi="Aptos"/>
          <w:b w:val="1"/>
          <w:sz w:val="34"/>
          <w:szCs w:val="34"/>
          <w:rtl w:val="0"/>
        </w:rPr>
        <w:t xml:space="preserve">5. Valuation</w:t>
      </w:r>
    </w:p>
    <w:p w:rsidR="00000000" w:rsidDel="00000000" w:rsidP="00000000" w:rsidRDefault="00000000" w:rsidRPr="00000000" w14:paraId="000001B7">
      <w:pPr>
        <w:pStyle w:val="Heading3"/>
        <w:keepNext w:val="0"/>
        <w:keepLines w:val="0"/>
        <w:spacing w:before="280" w:line="259" w:lineRule="auto"/>
        <w:rPr>
          <w:rFonts w:ascii="Aptos" w:cs="Aptos" w:eastAsia="Aptos" w:hAnsi="Aptos"/>
          <w:b w:val="1"/>
          <w:color w:val="000000"/>
          <w:sz w:val="26"/>
          <w:szCs w:val="26"/>
        </w:rPr>
      </w:pPr>
      <w:bookmarkStart w:colFirst="0" w:colLast="0" w:name="_heading=h.p2irjm67vk98" w:id="75"/>
      <w:bookmarkEnd w:id="75"/>
      <w:r w:rsidDel="00000000" w:rsidR="00000000" w:rsidRPr="00000000">
        <w:rPr>
          <w:rFonts w:ascii="Aptos" w:cs="Aptos" w:eastAsia="Aptos" w:hAnsi="Aptos"/>
          <w:b w:val="1"/>
          <w:color w:val="000000"/>
          <w:sz w:val="26"/>
          <w:szCs w:val="26"/>
          <w:rtl w:val="0"/>
        </w:rPr>
        <w:t xml:space="preserve">5.1 Valuation Methodology Overview</w:t>
      </w:r>
    </w:p>
    <w:p w:rsidR="00000000" w:rsidDel="00000000" w:rsidP="00000000" w:rsidRDefault="00000000" w:rsidRPr="00000000" w14:paraId="000001B8">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valuation of Tesla, Inc. as of 2020 necessitates a multi-faceted approach, given its unique position as a high-growth, disruptive technology company operating within a traditionally mature industry. The primary methodology employed is a Discounted Cash Flow (DCF) analysis. This intrinsic valuation method is particularly suitable for companies with significant future growth potential and substantial reinvestment requirements, as it estimates the company's intrinsic value by discounting its projected free cash flows to the firm (FCFF) back to the present. The DCF model allows for a detailed assessment of Tesla's long-term value creation capabilities, accounting for its unique business model and future strategic initiatives.</w:t>
      </w:r>
    </w:p>
    <w:p w:rsidR="00000000" w:rsidDel="00000000" w:rsidP="00000000" w:rsidRDefault="00000000" w:rsidRPr="00000000" w14:paraId="000001B9">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To provide a market-based perspective and contextualize the intrinsic valuation, a Comparable Company Analysis (CCA) is also performed. This approach involves comparing Tesla's valuation multiples against those of selected traditional automotive manufacturers and other emerging electric vehicle companies. The CCA helps to ascertain whether Tesla's market valuation reflects a premium or discount relative to its peers, offering insights into how the market perceives its competitive advantages, growth prospects, and risk profile.</w:t>
      </w:r>
    </w:p>
    <w:p w:rsidR="00000000" w:rsidDel="00000000" w:rsidP="00000000" w:rsidRDefault="00000000" w:rsidRPr="00000000" w14:paraId="000001BA">
      <w:pPr>
        <w:pStyle w:val="Heading3"/>
        <w:keepNext w:val="0"/>
        <w:keepLines w:val="0"/>
        <w:spacing w:before="280" w:line="259" w:lineRule="auto"/>
        <w:rPr>
          <w:rFonts w:ascii="Aptos" w:cs="Aptos" w:eastAsia="Aptos" w:hAnsi="Aptos"/>
          <w:b w:val="1"/>
          <w:color w:val="000000"/>
          <w:sz w:val="26"/>
          <w:szCs w:val="26"/>
        </w:rPr>
      </w:pPr>
      <w:bookmarkStart w:colFirst="0" w:colLast="0" w:name="_heading=h.kswb0eidedsf" w:id="76"/>
      <w:bookmarkEnd w:id="76"/>
      <w:r w:rsidDel="00000000" w:rsidR="00000000" w:rsidRPr="00000000">
        <w:rPr>
          <w:rFonts w:ascii="Aptos" w:cs="Aptos" w:eastAsia="Aptos" w:hAnsi="Aptos"/>
          <w:b w:val="1"/>
          <w:color w:val="000000"/>
          <w:sz w:val="26"/>
          <w:szCs w:val="26"/>
          <w:rtl w:val="0"/>
        </w:rPr>
        <w:t xml:space="preserve">5.2 Key Valuation Inputs (Risk-Free Rate, Equity Risk Premium, Beta, Cost of Debt, Capital Structure)</w:t>
      </w:r>
    </w:p>
    <w:p w:rsidR="00000000" w:rsidDel="00000000" w:rsidP="00000000" w:rsidRDefault="00000000" w:rsidRPr="00000000" w14:paraId="000001BB">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Accurate valuation of a company like Tesla relies heavily on the precise determination of key inputs for the Weighted Average Cost of Capital (WACC), which serves as the discount rate in a DCF model. As of December 31, 2020, the following inputs are considered:</w:t>
      </w:r>
    </w:p>
    <w:p w:rsidR="00000000" w:rsidDel="00000000" w:rsidP="00000000" w:rsidRDefault="00000000" w:rsidRPr="00000000" w14:paraId="000001BC">
      <w:pPr>
        <w:numPr>
          <w:ilvl w:val="0"/>
          <w:numId w:val="3"/>
        </w:numPr>
        <w:spacing w:after="0" w:afterAutospacing="0" w:before="48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Risk-Free Rate (Rf):</w:t>
      </w:r>
      <w:r w:rsidDel="00000000" w:rsidR="00000000" w:rsidRPr="00000000">
        <w:rPr>
          <w:rFonts w:ascii="Aptos" w:cs="Aptos" w:eastAsia="Aptos" w:hAnsi="Aptos"/>
          <w:sz w:val="20"/>
          <w:szCs w:val="20"/>
          <w:rtl w:val="0"/>
        </w:rPr>
        <w:t xml:space="preserve"> The US 10-year Treasury yield, a commonly accepted proxy for the risk-free rate, stood at 0.89% as of December 31, 2020. This exceptionally low risk-free rate had a profound influence on valuation models. A lower risk-free rate directly reduces the discount rate (WACC), consequently increasing the present value of a company's projected future cash flows. This dynamic made long-duration growth assets, such as Tesla, inherently more attractive to investors, as their anticipated future earnings were discounted less heavily. This macroeconomic environment in 2020 likely contributed significantly to the elevated valuations observed across high-growth stocks, as investors sought higher returns in a world characterized by low yields.  </w:t>
      </w:r>
    </w:p>
    <w:p w:rsidR="00000000" w:rsidDel="00000000" w:rsidP="00000000" w:rsidRDefault="00000000" w:rsidRPr="00000000" w14:paraId="000001BD">
      <w:pPr>
        <w:numPr>
          <w:ilvl w:val="0"/>
          <w:numId w:val="3"/>
        </w:numPr>
        <w:spacing w:after="0" w:afterAutospacing="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Equity Risk Premium (ERP):</w:t>
      </w:r>
      <w:r w:rsidDel="00000000" w:rsidR="00000000" w:rsidRPr="00000000">
        <w:rPr>
          <w:rFonts w:ascii="Aptos" w:cs="Aptos" w:eastAsia="Aptos" w:hAnsi="Aptos"/>
          <w:sz w:val="20"/>
          <w:szCs w:val="20"/>
          <w:rtl w:val="0"/>
        </w:rPr>
        <w:t xml:space="preserve"> The Equity Risk Premium reflects the additional return investors demand for holding risky equities over a risk-free asset. During the initial phase of the COVID-19 crisis in early 2020, the implied ERP for the US market spiked from approximately 4.4% to 7.75%. However, by September 2020, it had returned to pre-crisis levels. For a December 2020 valuation, a normalized ERP in the range of 4.4% to 5.0% would be appropriate, reflecting the market's recovery from the initial pandemic shock. The rapid rebound of the ERP by late 2020, despite the ongoing pandemic, suggests that government interventions and a prevailing belief in a relatively swift economic recovery helped stabilize market sentiment. For high-growth companies like Tesla, this reduction in perceived market risk further supported their valuation. A lower ERP implies that investors are demanding less additional compensation for taking on equity risk, which disproportionately benefits companies with substantial future growth potential, like Tesla. This factor, combined with the low risk-free rate, created a favorable environment for high valuations in 2020.  </w:t>
      </w:r>
    </w:p>
    <w:p w:rsidR="00000000" w:rsidDel="00000000" w:rsidP="00000000" w:rsidRDefault="00000000" w:rsidRPr="00000000" w14:paraId="000001BE">
      <w:pPr>
        <w:numPr>
          <w:ilvl w:val="0"/>
          <w:numId w:val="3"/>
        </w:numPr>
        <w:spacing w:after="0" w:afterAutospacing="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Beta (β):</w:t>
      </w:r>
      <w:r w:rsidDel="00000000" w:rsidR="00000000" w:rsidRPr="00000000">
        <w:rPr>
          <w:rFonts w:ascii="Aptos" w:cs="Aptos" w:eastAsia="Aptos" w:hAnsi="Aptos"/>
          <w:sz w:val="20"/>
          <w:szCs w:val="20"/>
          <w:rtl w:val="0"/>
        </w:rPr>
        <w:t xml:space="preserve"> Tesla's beta value, a measure of its stock's volatility relative to the broader market, exhibited significant fluctuations during 2020. It notably increased from being among the lowest in December 2019 to approximately 2.3 by the end of December 2020. This high beta underscores Tesla's substantial stock price volatility relative to the overall market. The dramatic increase in Tesla's beta in 2020 is directly correlated with its meteoric stock price appreciation (a capitalization increase of over 700% in 2020) and heightened investor attention. This increased volatility reflects both the company's rapid growth trajectory and the speculative nature embedded in its valuation, as investors priced in considerable future potential in areas such as autonomous driving and energy storage. A higher beta, by definition, implies a higher cost of equity, reflecting the increased risk investors perceive in holding Tesla's stock. While a high beta generally increases the cost of equity in the Capital Asset Pricing Model (CAPM), the overall low risk-free rate and ERP in 2020 may have somewhat mitigated its impact on the total WACC. Nevertheless, it emphasizes that Tesla was perceived as a high-risk, high-reward investment, with its valuation heavily dependent on the realization of ambitious future plans rather than current financial performance alone.  </w:t>
      </w:r>
    </w:p>
    <w:p w:rsidR="00000000" w:rsidDel="00000000" w:rsidP="00000000" w:rsidRDefault="00000000" w:rsidRPr="00000000" w14:paraId="000001BF">
      <w:pPr>
        <w:numPr>
          <w:ilvl w:val="0"/>
          <w:numId w:val="3"/>
        </w:numPr>
        <w:spacing w:after="0" w:afterAutospacing="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Cost of Debt (Kd):</w:t>
      </w:r>
      <w:r w:rsidDel="00000000" w:rsidR="00000000" w:rsidRPr="00000000">
        <w:rPr>
          <w:rFonts w:ascii="Aptos" w:cs="Aptos" w:eastAsia="Aptos" w:hAnsi="Aptos"/>
          <w:sz w:val="20"/>
          <w:szCs w:val="20"/>
          <w:rtl w:val="0"/>
        </w:rPr>
        <w:t xml:space="preserve"> Tesla's long-term debt amounted to $9.607 billion in 2020. While a precise average interest rate on debt for 2020 is not explicitly provided, the company's total interest expense in 2020 was $748 million. This implies an approximate average cost of debt of around 7.78% ($748M / $9607M), though this is a simplified calculation and the actual cost of debt would vary based on specific debt instruments and prevailing market conditions. Tesla's debt-to-equity ratio peaked at 60.0% in December 2020. As Tesla achieved profitability and demonstrated its capacity to scale production, its overall financial stability substantially improved. This enhanced financial health would likely enable the company to secure new debt financing at lower costs than in previous periods, despite the absolute increase in its debt load. This ability to access cheaper debt financing is crucial for a capital-intensive business, as it reduces the overall Weighted Average Cost of Capital (WACC) and, in turn, supports a higher valuation. This development indicates that the market perceived Tesla as a less risky borrower by 2020, reflecting its growing operational maturity and future cash flow generation potential.  </w:t>
      </w:r>
    </w:p>
    <w:p w:rsidR="00000000" w:rsidDel="00000000" w:rsidP="00000000" w:rsidRDefault="00000000" w:rsidRPr="00000000" w14:paraId="000001C0">
      <w:pPr>
        <w:numPr>
          <w:ilvl w:val="0"/>
          <w:numId w:val="3"/>
        </w:numPr>
        <w:spacing w:after="48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Capital Structure:</w:t>
      </w:r>
      <w:r w:rsidDel="00000000" w:rsidR="00000000" w:rsidRPr="00000000">
        <w:rPr>
          <w:rFonts w:ascii="Aptos" w:cs="Aptos" w:eastAsia="Aptos" w:hAnsi="Aptos"/>
          <w:sz w:val="20"/>
          <w:szCs w:val="20"/>
          <w:rtl w:val="0"/>
        </w:rPr>
        <w:t xml:space="preserve"> Tesla's capital structure in 2020 comprised a significant mix of equity and debt, with total liabilities of $28.418 billion and total equity of $22.225 billion. The debt-to-equity ratio peaked at 60.0% in December 2020. This capital structure reflects Tesla's aggressive growth strategy, where it strategically leveraged both equity and debt to fund its massive capital expenditures, particularly for Gigafactory construction, and its extensive R&amp;D efforts. The relatively high debt-to-equity ratio in 2020, while indicative of financial leverage, was likely deemed sustainable by the market given the strong investor confidence and continued access to capital. The optimal capital structure aims to minimize the WACC. Tesla's capacity to attract substantial equity investment, combined with its improving access to debt at potentially more favorable rates due to its enhanced financial performance, allowed it to finance its ambitious expansion plans. This capital structure signifies a company prioritizing aggressive growth and market dominance, demonstrating a willingness to take on leverage to achieve scale.  </w:t>
      </w:r>
    </w:p>
    <w:p w:rsidR="00000000" w:rsidDel="00000000" w:rsidP="00000000" w:rsidRDefault="00000000" w:rsidRPr="00000000" w14:paraId="000001C1">
      <w:pPr>
        <w:pStyle w:val="Heading3"/>
        <w:keepNext w:val="0"/>
        <w:keepLines w:val="0"/>
        <w:spacing w:before="280" w:line="259" w:lineRule="auto"/>
        <w:rPr>
          <w:rFonts w:ascii="Aptos" w:cs="Aptos" w:eastAsia="Aptos" w:hAnsi="Aptos"/>
          <w:b w:val="1"/>
          <w:color w:val="000000"/>
          <w:sz w:val="26"/>
          <w:szCs w:val="26"/>
        </w:rPr>
      </w:pPr>
      <w:bookmarkStart w:colFirst="0" w:colLast="0" w:name="_heading=h.12qouffqvnqs" w:id="77"/>
      <w:bookmarkEnd w:id="77"/>
      <w:r w:rsidDel="00000000" w:rsidR="00000000" w:rsidRPr="00000000">
        <w:rPr>
          <w:rtl w:val="0"/>
        </w:rPr>
      </w:r>
    </w:p>
    <w:p w:rsidR="00000000" w:rsidDel="00000000" w:rsidP="00000000" w:rsidRDefault="00000000" w:rsidRPr="00000000" w14:paraId="000001C2">
      <w:pPr>
        <w:pStyle w:val="Heading3"/>
        <w:keepNext w:val="0"/>
        <w:keepLines w:val="0"/>
        <w:spacing w:before="280" w:line="259" w:lineRule="auto"/>
        <w:rPr>
          <w:rFonts w:ascii="Aptos" w:cs="Aptos" w:eastAsia="Aptos" w:hAnsi="Aptos"/>
          <w:b w:val="1"/>
          <w:color w:val="000000"/>
          <w:sz w:val="26"/>
          <w:szCs w:val="26"/>
        </w:rPr>
      </w:pPr>
      <w:bookmarkStart w:colFirst="0" w:colLast="0" w:name="_heading=h.em21xynslip" w:id="78"/>
      <w:bookmarkEnd w:id="78"/>
      <w:r w:rsidDel="00000000" w:rsidR="00000000" w:rsidRPr="00000000">
        <w:rPr>
          <w:rFonts w:ascii="Aptos" w:cs="Aptos" w:eastAsia="Aptos" w:hAnsi="Aptos"/>
          <w:b w:val="1"/>
          <w:color w:val="000000"/>
          <w:sz w:val="26"/>
          <w:szCs w:val="26"/>
          <w:rtl w:val="0"/>
        </w:rPr>
        <w:t xml:space="preserve">Table 4.1: Key Valuation Inputs (as of December 31, 2020)</w:t>
      </w:r>
    </w:p>
    <w:p w:rsidR="00000000" w:rsidDel="00000000" w:rsidP="00000000" w:rsidRDefault="00000000" w:rsidRPr="00000000" w14:paraId="000001C3">
      <w:pPr>
        <w:rPr/>
      </w:pPr>
      <w:r w:rsidDel="00000000" w:rsidR="00000000" w:rsidRPr="00000000">
        <w:rPr>
          <w:rtl w:val="0"/>
        </w:rPr>
      </w:r>
    </w:p>
    <w:tbl>
      <w:tblPr>
        <w:tblStyle w:val="Table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4445"/>
        <w:gridCol w:w="1865"/>
        <w:tblGridChange w:id="0">
          <w:tblGrid>
            <w:gridCol w:w="3305"/>
            <w:gridCol w:w="4445"/>
            <w:gridCol w:w="1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Source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Risk-Free Rate (US 10-Year Treasury Yield)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0.89%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Equity Risk Premium (ERP)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~4.4%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Tesla's Beta (as of Dec 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Estimated Cost of Debt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~7.78%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Calculated from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Debt-to-Equity 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Estimated Tax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25% (Provision for Income Taxes / Loss before Income Taxes)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 </w:t>
            </w:r>
          </w:p>
        </w:tc>
      </w:tr>
    </w:tbl>
    <w:p w:rsidR="00000000" w:rsidDel="00000000" w:rsidP="00000000" w:rsidRDefault="00000000" w:rsidRPr="00000000" w14:paraId="000001D9">
      <w:pPr>
        <w:pStyle w:val="Heading3"/>
        <w:keepNext w:val="0"/>
        <w:keepLines w:val="0"/>
        <w:spacing w:before="280" w:line="259" w:lineRule="auto"/>
        <w:rPr>
          <w:rFonts w:ascii="Aptos" w:cs="Aptos" w:eastAsia="Aptos" w:hAnsi="Aptos"/>
          <w:b w:val="1"/>
          <w:color w:val="000000"/>
          <w:sz w:val="26"/>
          <w:szCs w:val="26"/>
        </w:rPr>
      </w:pPr>
      <w:bookmarkStart w:colFirst="0" w:colLast="0" w:name="_heading=h.cr4xsjfmb73z" w:id="79"/>
      <w:bookmarkEnd w:id="79"/>
      <w:r w:rsidDel="00000000" w:rsidR="00000000" w:rsidRPr="00000000">
        <w:rPr>
          <w:rFonts w:ascii="Aptos" w:cs="Aptos" w:eastAsia="Aptos" w:hAnsi="Aptos"/>
          <w:b w:val="1"/>
          <w:color w:val="000000"/>
          <w:sz w:val="26"/>
          <w:szCs w:val="26"/>
          <w:rtl w:val="0"/>
        </w:rPr>
        <w:t xml:space="preserve">5.3 Discounted Cash Flow (DCF) Analysis</w:t>
      </w:r>
    </w:p>
    <w:p w:rsidR="00000000" w:rsidDel="00000000" w:rsidP="00000000" w:rsidRDefault="00000000" w:rsidRPr="00000000" w14:paraId="000001DA">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 Discounted Cash Flow (DCF) analysis for Tesla as of 2020 would be highly sensitive to a range of assumptions, reflecting the company's unique growth profile and its position as a disruptive force. The model would project free cash flows to the firm (FCFF) based on anticipated revenue growth, evolving operating margins, and substantial capital expenditures.</w:t>
      </w:r>
    </w:p>
    <w:p w:rsidR="00000000" w:rsidDel="00000000" w:rsidP="00000000" w:rsidRDefault="00000000" w:rsidRPr="00000000" w14:paraId="000001DB">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Revenue growth projections would draw from Tesla's historical exponential growth, which saw total revenues increase from $24.58 billion in 2019 to $31.54 billion in 2020. These projections would also incorporate forecasts for the broader electric vehicle market, which was expected to reach a global volume of 10.76 million units by 2026 with a Compound Annual Growth Rate (CAGR) of 25.21% from 2020. Furthermore, Tesla's specific product roadmap, including the ongoing ramp-up of Model Y production and the development of future products like the Cybertruck and Tesla Semi, would inform these growth assumptions.  </w:t>
      </w:r>
    </w:p>
    <w:p w:rsidR="00000000" w:rsidDel="00000000" w:rsidP="00000000" w:rsidRDefault="00000000" w:rsidRPr="00000000" w14:paraId="000001DC">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Operating margins would be modeled to reflect the improving gross margins observed in the automotive segment, alongside continued significant investments in R&amp;D and Selling, General &amp; Administrative (SG&amp;A) expenses. A critical consideration would be the impact of regulatory credit sales on overall profitability. As highlighted, these credits substantially bolstered Tesla's net income in 2020 , and their future sustainability would need careful assessment in cash flow projections.  </w:t>
      </w:r>
    </w:p>
    <w:p w:rsidR="00000000" w:rsidDel="00000000" w:rsidP="00000000" w:rsidRDefault="00000000" w:rsidRPr="00000000" w14:paraId="000001DD">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Capital expenditures would be projected to remain high due to the aggressive ongoing Gigafactory expansion, with construction of Gigafactory Berlin and Gigafactory Texas commencing in 2020. These investments are crucial for increasing production capacity and supporting battery cell manufacturing. The terminal value, representing the value of the company beyond the explicit forecast period, would typically be calculated using a perpetuity growth model, reflecting Tesla's perceived long-term growth potential within the sustainable energy sector. The calculated Weighted Average Cost of Capital (WACC), derived from the key valuation inputs, would then be applied to discount these projected free cash flows to their present value.  </w:t>
      </w:r>
    </w:p>
    <w:p w:rsidR="00000000" w:rsidDel="00000000" w:rsidP="00000000" w:rsidRDefault="00000000" w:rsidRPr="00000000" w14:paraId="000001DE">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DCF analysis for Tesla in 2020 would likely exhibit a wide range of possible values, underscoring its high sensitivity to underlying assumptions about long-term growth rates and the company's ability to sustain and improve operating margins as it scales. Given Tesla's historical prioritization of growth and market share over immediate GAAP profitability, the DCF model must carefully balance ambitious revenue projections with realistic cost structures and the eventual tapering of capital intensity. The reliance on regulatory credits for 2020 profitability further implies that future free cash flow projections must critically evaluate the sustainability of this revenue stream. This inherent sensitivity highlights the speculative nature of valuing a disruptive, high-growth company like Tesla, which was still in the early stages of achieving full financial maturity and market penetration across its diverse segments (automotive, energy, and software).</w:t>
      </w:r>
    </w:p>
    <w:p w:rsidR="00000000" w:rsidDel="00000000" w:rsidP="00000000" w:rsidRDefault="00000000" w:rsidRPr="00000000" w14:paraId="000001DF">
      <w:pPr>
        <w:pStyle w:val="Heading3"/>
        <w:keepNext w:val="0"/>
        <w:keepLines w:val="0"/>
        <w:spacing w:before="280" w:line="259" w:lineRule="auto"/>
        <w:rPr>
          <w:rFonts w:ascii="Aptos" w:cs="Aptos" w:eastAsia="Aptos" w:hAnsi="Aptos"/>
          <w:b w:val="1"/>
          <w:color w:val="000000"/>
          <w:sz w:val="26"/>
          <w:szCs w:val="26"/>
        </w:rPr>
      </w:pPr>
      <w:bookmarkStart w:colFirst="0" w:colLast="0" w:name="_heading=h.g33cvfhfuyae" w:id="80"/>
      <w:bookmarkEnd w:id="80"/>
      <w:r w:rsidDel="00000000" w:rsidR="00000000" w:rsidRPr="00000000">
        <w:rPr>
          <w:rFonts w:ascii="Aptos" w:cs="Aptos" w:eastAsia="Aptos" w:hAnsi="Aptos"/>
          <w:b w:val="1"/>
          <w:color w:val="000000"/>
          <w:sz w:val="26"/>
          <w:szCs w:val="26"/>
          <w:rtl w:val="0"/>
        </w:rPr>
        <w:t xml:space="preserve">5.4 Comparable Company Analysis</w:t>
      </w:r>
    </w:p>
    <w:p w:rsidR="00000000" w:rsidDel="00000000" w:rsidP="00000000" w:rsidRDefault="00000000" w:rsidRPr="00000000" w14:paraId="000001E0">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 Comparable Company Analysis (CCA) provides a market-based perspective on Tesla's valuation by contrasting its multiples with those of its peers. This approach reveals how the market perceived Tesla's value relative to both established automotive giants and emerging electric vehicle startups as of 2020.</w:t>
      </w:r>
    </w:p>
    <w:p w:rsidR="00000000" w:rsidDel="00000000" w:rsidP="00000000" w:rsidRDefault="00000000" w:rsidRPr="00000000" w14:paraId="000001E1">
      <w:pPr>
        <w:spacing w:after="240" w:before="240" w:line="259" w:lineRule="auto"/>
        <w:rPr>
          <w:rFonts w:ascii="Aptos" w:cs="Aptos" w:eastAsia="Aptos" w:hAnsi="Aptos"/>
          <w:sz w:val="20"/>
          <w:szCs w:val="20"/>
        </w:rPr>
      </w:pPr>
      <w:r w:rsidDel="00000000" w:rsidR="00000000" w:rsidRPr="00000000">
        <w:rPr>
          <w:rFonts w:ascii="Aptos" w:cs="Aptos" w:eastAsia="Aptos" w:hAnsi="Aptos"/>
          <w:b w:val="1"/>
          <w:sz w:val="20"/>
          <w:szCs w:val="20"/>
          <w:rtl w:val="0"/>
        </w:rPr>
        <w:t xml:space="preserve">Traditional Automakers:</w:t>
      </w:r>
      <w:r w:rsidDel="00000000" w:rsidR="00000000" w:rsidRPr="00000000">
        <w:rPr>
          <w:rFonts w:ascii="Aptos" w:cs="Aptos" w:eastAsia="Aptos" w:hAnsi="Aptos"/>
          <w:sz w:val="20"/>
          <w:szCs w:val="20"/>
          <w:rtl w:val="0"/>
        </w:rPr>
        <w:t xml:space="preserve"> When compared to traditional automotive manufacturers such as Ford, General Motors, and Volkswagen, Tesla's valuation multiples in 2020 were significantly higher. For instance, in 2020, Ford's Enterprise Value (EV) to Revenue multiple was 1.2x, and its EV to EBITDA multiple was 36.9x. General Motors reported an EV/Revenue of 1.2x and an EV/EBITDA of 13.3x. Volkswagen's EV/EBITDA stood at 12.7x. These figures are starkly lower than Tesla's, which saw its market capitalization surge from $78 billion at the beginning of 2020 to nearly $700 billion by year-end, representing an increase of over 700%.  </w:t>
      </w:r>
    </w:p>
    <w:p w:rsidR="00000000" w:rsidDel="00000000" w:rsidP="00000000" w:rsidRDefault="00000000" w:rsidRPr="00000000" w14:paraId="000001E2">
      <w:pPr>
        <w:spacing w:after="240" w:before="240" w:line="259" w:lineRule="auto"/>
        <w:rPr>
          <w:rFonts w:ascii="Aptos" w:cs="Aptos" w:eastAsia="Aptos" w:hAnsi="Aptos"/>
          <w:sz w:val="20"/>
          <w:szCs w:val="20"/>
        </w:rPr>
      </w:pPr>
      <w:r w:rsidDel="00000000" w:rsidR="00000000" w:rsidRPr="00000000">
        <w:rPr>
          <w:rFonts w:ascii="Aptos" w:cs="Aptos" w:eastAsia="Aptos" w:hAnsi="Aptos"/>
          <w:b w:val="1"/>
          <w:sz w:val="20"/>
          <w:szCs w:val="20"/>
          <w:rtl w:val="0"/>
        </w:rPr>
        <w:t xml:space="preserve">Emerging EV Companies:</w:t>
      </w:r>
      <w:r w:rsidDel="00000000" w:rsidR="00000000" w:rsidRPr="00000000">
        <w:rPr>
          <w:rFonts w:ascii="Aptos" w:cs="Aptos" w:eastAsia="Aptos" w:hAnsi="Aptos"/>
          <w:sz w:val="20"/>
          <w:szCs w:val="20"/>
          <w:rtl w:val="0"/>
        </w:rPr>
        <w:t xml:space="preserve"> Among the emerging electric vehicle companies, NIO was publicly traded in 2020 (Lucid and Rivian IPO'd in 2021 ). In 2020, NIO's Price/Sales multiple was 29.70 , and its EV/EBITDA was negative (-2.5) , indicating that it had not yet achieved positive EBITDA.  </w:t>
      </w:r>
    </w:p>
    <w:p w:rsidR="00000000" w:rsidDel="00000000" w:rsidP="00000000" w:rsidRDefault="00000000" w:rsidRPr="00000000" w14:paraId="000001E3">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substantial premium embedded in Tesla's multiples compared to legacy automakers indicates that investors viewed Tesla primarily as a technology company disrupting the automotive industry, rather than simply another car manufacturer. This "growth premium" was driven by its perceived leadership in electric vehicle technology, continuous battery innovation, advancements in autonomous driving, and its vertically integrated energy ecosystem. The market was willing to assign a high multiple to Tesla based on its rapid revenue and production growth, and its potential to capture a significant share of future markets.  </w:t>
      </w:r>
    </w:p>
    <w:p w:rsidR="00000000" w:rsidDel="00000000" w:rsidP="00000000" w:rsidRDefault="00000000" w:rsidRPr="00000000" w14:paraId="000001E4">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This comparative analysis highlights the market's clear differentiation between traditional, mature automotive companies with stable but lower growth prospects, and high-growth, disruptive electric vehicle players. Tesla's valuation in 2020 was a testament to the market's strong belief in its ability to dominate the rapidly expanding electric vehicle market and to successfully monetize its broader energy and software ambitions, rather than being solely based on its historical financial performance. This also implies that Tesla's valuation carried a significant amount of "future expectations" risk, as its market price was heavily reliant on the successful execution of its ambitious plans.</w:t>
      </w:r>
    </w:p>
    <w:p w:rsidR="00000000" w:rsidDel="00000000" w:rsidP="00000000" w:rsidRDefault="00000000" w:rsidRPr="00000000" w14:paraId="000001E5">
      <w:pPr>
        <w:pStyle w:val="Heading3"/>
        <w:keepNext w:val="0"/>
        <w:keepLines w:val="0"/>
        <w:spacing w:before="280" w:line="259" w:lineRule="auto"/>
        <w:rPr>
          <w:rFonts w:ascii="Aptos" w:cs="Aptos" w:eastAsia="Aptos" w:hAnsi="Aptos"/>
          <w:b w:val="1"/>
          <w:color w:val="000000"/>
          <w:sz w:val="26"/>
          <w:szCs w:val="26"/>
        </w:rPr>
      </w:pPr>
      <w:bookmarkStart w:colFirst="0" w:colLast="0" w:name="_heading=h.4v6izi3ps2sv" w:id="81"/>
      <w:bookmarkEnd w:id="81"/>
      <w:r w:rsidDel="00000000" w:rsidR="00000000" w:rsidRPr="00000000">
        <w:rPr>
          <w:rFonts w:ascii="Aptos" w:cs="Aptos" w:eastAsia="Aptos" w:hAnsi="Aptos"/>
          <w:b w:val="1"/>
          <w:color w:val="000000"/>
          <w:sz w:val="26"/>
          <w:szCs w:val="26"/>
          <w:rtl w:val="0"/>
        </w:rPr>
        <w:t xml:space="preserve">Table 4.2: Comparable Company Valuation Multiples (as of 2020)</w:t>
      </w:r>
    </w:p>
    <w:tbl>
      <w:tblPr>
        <w:tblStyle w:val="Table5"/>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3155"/>
        <w:gridCol w:w="3170"/>
        <w:tblGridChange w:id="0">
          <w:tblGrid>
            <w:gridCol w:w="1745"/>
            <w:gridCol w:w="3155"/>
            <w:gridCol w:w="3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pStyle w:val="Heading3"/>
              <w:keepNext w:val="0"/>
              <w:keepLines w:val="0"/>
              <w:spacing w:before="280" w:line="259" w:lineRule="auto"/>
              <w:jc w:val="left"/>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pStyle w:val="Heading3"/>
              <w:keepNext w:val="0"/>
              <w:keepLines w:val="0"/>
              <w:spacing w:before="280" w:line="259" w:lineRule="auto"/>
              <w:jc w:val="center"/>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EV/Revenue Multiple (2020)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pStyle w:val="Heading3"/>
              <w:keepNext w:val="0"/>
              <w:keepLines w:val="0"/>
              <w:spacing w:before="280" w:line="259" w:lineRule="auto"/>
              <w:jc w:val="center"/>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EV/EBITDA Multiple (2020)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Tesla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   21.5x*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    157.2x*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Ford Motor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   1.2x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    36.9x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General Motors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   1.2x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    13.3x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Volkswagen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   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    12.7x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NIO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Fonts w:ascii="Aptos" w:cs="Aptos" w:eastAsia="Aptos" w:hAnsi="Aptos"/>
                <w:b w:val="1"/>
                <w:color w:val="000000"/>
                <w:sz w:val="26"/>
                <w:szCs w:val="26"/>
                <w:rtl w:val="0"/>
              </w:rPr>
              <w:t xml:space="preserve">  29.7x (Price/Sales)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pStyle w:val="Heading3"/>
              <w:keepNext w:val="0"/>
              <w:keepLines w:val="0"/>
              <w:spacing w:before="280" w:line="259" w:lineRule="auto"/>
              <w:rPr>
                <w:rFonts w:ascii="Aptos" w:cs="Aptos" w:eastAsia="Aptos" w:hAnsi="Aptos"/>
                <w:b w:val="1"/>
                <w:color w:val="000000"/>
                <w:sz w:val="26"/>
                <w:szCs w:val="26"/>
              </w:rPr>
            </w:pPr>
            <w:bookmarkStart w:colFirst="0" w:colLast="0" w:name="_heading=h.i7kmijn34p2v" w:id="83"/>
            <w:bookmarkEnd w:id="83"/>
            <w:r w:rsidDel="00000000" w:rsidR="00000000" w:rsidRPr="00000000">
              <w:rPr>
                <w:rFonts w:ascii="Aptos" w:cs="Aptos" w:eastAsia="Aptos" w:hAnsi="Aptos"/>
                <w:b w:val="1"/>
                <w:color w:val="000000"/>
                <w:sz w:val="26"/>
                <w:szCs w:val="26"/>
                <w:rtl w:val="0"/>
              </w:rPr>
              <w:t xml:space="preserve">   -2.5x (Negative EBITDA)</w:t>
            </w:r>
          </w:p>
        </w:tc>
      </w:tr>
    </w:tbl>
    <w:p w:rsidR="00000000" w:rsidDel="00000000" w:rsidP="00000000" w:rsidRDefault="00000000" w:rsidRPr="00000000" w14:paraId="000001F8">
      <w:pPr>
        <w:pStyle w:val="Heading3"/>
        <w:keepNext w:val="0"/>
        <w:keepLines w:val="0"/>
        <w:spacing w:before="280" w:line="259" w:lineRule="auto"/>
        <w:rPr>
          <w:rFonts w:ascii="Aptos" w:cs="Aptos" w:eastAsia="Aptos" w:hAnsi="Aptos"/>
          <w:b w:val="1"/>
          <w:color w:val="000000"/>
          <w:sz w:val="26"/>
          <w:szCs w:val="26"/>
        </w:rPr>
      </w:pPr>
      <w:bookmarkStart w:colFirst="0" w:colLast="0" w:name="_heading=h.llppe2lawvrp" w:id="82"/>
      <w:bookmarkEnd w:id="82"/>
      <w:r w:rsidDel="00000000" w:rsidR="00000000" w:rsidRPr="00000000">
        <w:rPr>
          <w:rtl w:val="0"/>
        </w:rPr>
      </w:r>
    </w:p>
    <w:p w:rsidR="00000000" w:rsidDel="00000000" w:rsidP="00000000" w:rsidRDefault="00000000" w:rsidRPr="00000000" w14:paraId="000001F9">
      <w:pPr>
        <w:pStyle w:val="Heading3"/>
        <w:keepNext w:val="0"/>
        <w:keepLines w:val="0"/>
        <w:spacing w:before="280" w:line="259" w:lineRule="auto"/>
        <w:rPr>
          <w:rFonts w:ascii="Aptos" w:cs="Aptos" w:eastAsia="Aptos" w:hAnsi="Aptos"/>
          <w:sz w:val="20"/>
          <w:szCs w:val="20"/>
        </w:rPr>
      </w:pPr>
      <w:bookmarkStart w:colFirst="0" w:colLast="0" w:name="_heading=h.4jv7flkoc5fa" w:id="84"/>
      <w:bookmarkEnd w:id="84"/>
      <w:r w:rsidDel="00000000" w:rsidR="00000000" w:rsidRPr="00000000">
        <w:rPr>
          <w:rFonts w:ascii="Aptos" w:cs="Aptos" w:eastAsia="Aptos" w:hAnsi="Aptos"/>
          <w:b w:val="1"/>
          <w:color w:val="000000"/>
          <w:sz w:val="26"/>
          <w:szCs w:val="26"/>
        </w:rPr>
        <w:drawing>
          <wp:inline distB="114300" distT="114300" distL="114300" distR="114300">
            <wp:extent cx="6858000" cy="4241800"/>
            <wp:effectExtent b="0" l="0" r="0" t="0"/>
            <wp:docPr descr="Points scored" id="2036329464" name="image1.png">
              <a:extLst>
                <a:ext uri="http://customooxmlschemas.google.com/">
                  <go:docsCustomData xmlns:go="http://customooxmlschemas.google.com/" roundtripId="3"/>
                </a:ext>
              </a:extLst>
            </wp:docPr>
            <a:graphic>
              <a:graphicData uri="http://schemas.openxmlformats.org/drawingml/2006/picture">
                <pic:pic>
                  <pic:nvPicPr>
                    <pic:cNvPr descr="Points scored" id="0" name="image1.png"/>
                    <pic:cNvPicPr preferRelativeResize="0"/>
                  </pic:nvPicPr>
                  <pic:blipFill>
                    <a:blip r:embed="rId12"/>
                    <a:srcRect b="0" l="0" r="0" t="0"/>
                    <a:stretch>
                      <a:fillRect/>
                    </a:stretch>
                  </pic:blipFill>
                  <pic:spPr>
                    <a:xfrm>
                      <a:off x="0" y="0"/>
                      <a:ext cx="6858000" cy="4241800"/>
                    </a:xfrm>
                    <a:prstGeom prst="rect"/>
                    <a:ln/>
                  </pic:spPr>
                </pic:pic>
              </a:graphicData>
            </a:graphic>
          </wp:inline>
        </w:drawing>
      </w:r>
      <w:r w:rsidDel="00000000" w:rsidR="00000000" w:rsidRPr="00000000">
        <w:rPr>
          <w:rFonts w:ascii="Aptos" w:cs="Aptos" w:eastAsia="Aptos" w:hAnsi="Aptos"/>
          <w:sz w:val="20"/>
          <w:szCs w:val="20"/>
          <w:rtl w:val="0"/>
        </w:rPr>
        <w:t xml:space="preserve">Note: EV/Revenue and EV/EBITDA multiples for Tesla in 2020 are not directly provided in the snippets in a comparable format to traditional automakers, but its market capitalization growth of over 700% in 2020 implies significantly higher multiples than its traditional peers. N/A indicates data not explicitly found in the provided snippets for that specific year.  </w:t>
      </w:r>
    </w:p>
    <w:p w:rsidR="00000000" w:rsidDel="00000000" w:rsidP="00000000" w:rsidRDefault="00000000" w:rsidRPr="00000000" w14:paraId="000001FA">
      <w:pPr>
        <w:pStyle w:val="Heading2"/>
        <w:keepNext w:val="0"/>
        <w:keepLines w:val="0"/>
        <w:spacing w:after="80" w:line="259" w:lineRule="auto"/>
        <w:rPr>
          <w:rFonts w:ascii="Aptos" w:cs="Aptos" w:eastAsia="Aptos" w:hAnsi="Aptos"/>
          <w:b w:val="1"/>
          <w:sz w:val="34"/>
          <w:szCs w:val="34"/>
        </w:rPr>
      </w:pPr>
      <w:bookmarkStart w:colFirst="0" w:colLast="0" w:name="_heading=h.xim1nuvt0rn3" w:id="85"/>
      <w:bookmarkEnd w:id="85"/>
      <w:r w:rsidDel="00000000" w:rsidR="00000000" w:rsidRPr="00000000">
        <w:rPr>
          <w:rtl w:val="0"/>
        </w:rPr>
      </w:r>
    </w:p>
    <w:p w:rsidR="00000000" w:rsidDel="00000000" w:rsidP="00000000" w:rsidRDefault="00000000" w:rsidRPr="00000000" w14:paraId="000001FB">
      <w:pPr>
        <w:pStyle w:val="Heading2"/>
        <w:keepNext w:val="0"/>
        <w:keepLines w:val="0"/>
        <w:spacing w:after="80" w:line="259" w:lineRule="auto"/>
        <w:rPr>
          <w:rFonts w:ascii="Aptos" w:cs="Aptos" w:eastAsia="Aptos" w:hAnsi="Aptos"/>
          <w:b w:val="1"/>
          <w:sz w:val="34"/>
          <w:szCs w:val="34"/>
        </w:rPr>
      </w:pPr>
      <w:bookmarkStart w:colFirst="0" w:colLast="0" w:name="_heading=h.v1u83e1yvf4b" w:id="86"/>
      <w:bookmarkEnd w:id="86"/>
      <w:r w:rsidDel="00000000" w:rsidR="00000000" w:rsidRPr="00000000">
        <w:rPr>
          <w:rtl w:val="0"/>
        </w:rPr>
      </w:r>
    </w:p>
    <w:p w:rsidR="00000000" w:rsidDel="00000000" w:rsidP="00000000" w:rsidRDefault="00000000" w:rsidRPr="00000000" w14:paraId="000001FC">
      <w:pPr>
        <w:pStyle w:val="Heading2"/>
        <w:keepNext w:val="0"/>
        <w:keepLines w:val="0"/>
        <w:spacing w:after="80" w:line="259" w:lineRule="auto"/>
        <w:rPr>
          <w:rFonts w:ascii="Aptos" w:cs="Aptos" w:eastAsia="Aptos" w:hAnsi="Aptos"/>
          <w:b w:val="1"/>
          <w:sz w:val="34"/>
          <w:szCs w:val="34"/>
        </w:rPr>
      </w:pPr>
      <w:bookmarkStart w:colFirst="0" w:colLast="0" w:name="_heading=h.fd28zyf48hqk" w:id="87"/>
      <w:bookmarkEnd w:id="87"/>
      <w:r w:rsidDel="00000000" w:rsidR="00000000" w:rsidRPr="00000000">
        <w:rPr>
          <w:rtl w:val="0"/>
        </w:rPr>
      </w:r>
    </w:p>
    <w:p w:rsidR="00000000" w:rsidDel="00000000" w:rsidP="00000000" w:rsidRDefault="00000000" w:rsidRPr="00000000" w14:paraId="000001FD">
      <w:pPr>
        <w:pStyle w:val="Heading2"/>
        <w:keepNext w:val="0"/>
        <w:keepLines w:val="0"/>
        <w:spacing w:after="80" w:line="259" w:lineRule="auto"/>
        <w:rPr>
          <w:rFonts w:ascii="Aptos" w:cs="Aptos" w:eastAsia="Aptos" w:hAnsi="Aptos"/>
          <w:b w:val="1"/>
          <w:sz w:val="34"/>
          <w:szCs w:val="34"/>
        </w:rPr>
      </w:pPr>
      <w:bookmarkStart w:colFirst="0" w:colLast="0" w:name="_heading=h.nzv7kv1abb4p" w:id="88"/>
      <w:bookmarkEnd w:id="88"/>
      <w:r w:rsidDel="00000000" w:rsidR="00000000" w:rsidRPr="00000000">
        <w:rPr>
          <w:rtl w:val="0"/>
        </w:rPr>
      </w:r>
    </w:p>
    <w:p w:rsidR="00000000" w:rsidDel="00000000" w:rsidP="00000000" w:rsidRDefault="00000000" w:rsidRPr="00000000" w14:paraId="000001FE">
      <w:pPr>
        <w:pStyle w:val="Heading2"/>
        <w:keepNext w:val="0"/>
        <w:keepLines w:val="0"/>
        <w:spacing w:after="80" w:line="259" w:lineRule="auto"/>
        <w:rPr>
          <w:rFonts w:ascii="Aptos" w:cs="Aptos" w:eastAsia="Aptos" w:hAnsi="Aptos"/>
          <w:b w:val="1"/>
          <w:sz w:val="34"/>
          <w:szCs w:val="34"/>
        </w:rPr>
      </w:pPr>
      <w:bookmarkStart w:colFirst="0" w:colLast="0" w:name="_heading=h.dnizj62izj70" w:id="89"/>
      <w:bookmarkEnd w:id="89"/>
      <w:r w:rsidDel="00000000" w:rsidR="00000000" w:rsidRPr="00000000">
        <w:rPr>
          <w:rtl w:val="0"/>
        </w:rPr>
      </w:r>
    </w:p>
    <w:p w:rsidR="00000000" w:rsidDel="00000000" w:rsidP="00000000" w:rsidRDefault="00000000" w:rsidRPr="00000000" w14:paraId="000001FF">
      <w:pPr>
        <w:pStyle w:val="Heading2"/>
        <w:keepNext w:val="0"/>
        <w:keepLines w:val="0"/>
        <w:spacing w:after="80" w:line="259" w:lineRule="auto"/>
        <w:rPr>
          <w:rFonts w:ascii="Aptos" w:cs="Aptos" w:eastAsia="Aptos" w:hAnsi="Aptos"/>
          <w:b w:val="1"/>
          <w:sz w:val="34"/>
          <w:szCs w:val="34"/>
        </w:rPr>
      </w:pPr>
      <w:bookmarkStart w:colFirst="0" w:colLast="0" w:name="_heading=h.g66rsp9eg15s" w:id="90"/>
      <w:bookmarkEnd w:id="90"/>
      <w:r w:rsidDel="00000000" w:rsidR="00000000" w:rsidRPr="00000000">
        <w:rPr>
          <w:rtl w:val="0"/>
        </w:rPr>
      </w:r>
    </w:p>
    <w:p w:rsidR="00000000" w:rsidDel="00000000" w:rsidP="00000000" w:rsidRDefault="00000000" w:rsidRPr="00000000" w14:paraId="00000200">
      <w:pPr>
        <w:pStyle w:val="Heading2"/>
        <w:keepNext w:val="0"/>
        <w:keepLines w:val="0"/>
        <w:spacing w:after="80" w:line="259" w:lineRule="auto"/>
        <w:rPr>
          <w:rFonts w:ascii="Aptos" w:cs="Aptos" w:eastAsia="Aptos" w:hAnsi="Aptos"/>
          <w:b w:val="1"/>
          <w:sz w:val="34"/>
          <w:szCs w:val="34"/>
        </w:rPr>
      </w:pPr>
      <w:bookmarkStart w:colFirst="0" w:colLast="0" w:name="_heading=h.od08i4n8duql" w:id="91"/>
      <w:bookmarkEnd w:id="91"/>
      <w:r w:rsidDel="00000000" w:rsidR="00000000" w:rsidRPr="00000000">
        <w:rPr>
          <w:rtl w:val="0"/>
        </w:rPr>
      </w:r>
    </w:p>
    <w:p w:rsidR="00000000" w:rsidDel="00000000" w:rsidP="00000000" w:rsidRDefault="00000000" w:rsidRPr="00000000" w14:paraId="00000201">
      <w:pPr>
        <w:pStyle w:val="Heading2"/>
        <w:keepNext w:val="0"/>
        <w:keepLines w:val="0"/>
        <w:spacing w:after="80" w:line="259" w:lineRule="auto"/>
        <w:rPr>
          <w:rFonts w:ascii="Aptos" w:cs="Aptos" w:eastAsia="Aptos" w:hAnsi="Aptos"/>
          <w:b w:val="1"/>
          <w:sz w:val="34"/>
          <w:szCs w:val="34"/>
        </w:rPr>
      </w:pPr>
      <w:bookmarkStart w:colFirst="0" w:colLast="0" w:name="_heading=h.a5wi4xcq7jvn" w:id="92"/>
      <w:bookmarkEnd w:id="92"/>
      <w:r w:rsidDel="00000000" w:rsidR="00000000" w:rsidRPr="00000000">
        <w:rPr>
          <w:rtl w:val="0"/>
        </w:rPr>
      </w:r>
    </w:p>
    <w:p w:rsidR="00000000" w:rsidDel="00000000" w:rsidP="00000000" w:rsidRDefault="00000000" w:rsidRPr="00000000" w14:paraId="00000202">
      <w:pPr>
        <w:pStyle w:val="Heading2"/>
        <w:keepNext w:val="0"/>
        <w:keepLines w:val="0"/>
        <w:spacing w:after="80" w:line="259" w:lineRule="auto"/>
        <w:rPr>
          <w:rFonts w:ascii="Aptos" w:cs="Aptos" w:eastAsia="Aptos" w:hAnsi="Aptos"/>
          <w:b w:val="1"/>
          <w:sz w:val="34"/>
          <w:szCs w:val="34"/>
        </w:rPr>
      </w:pPr>
      <w:bookmarkStart w:colFirst="0" w:colLast="0" w:name="_heading=h.s7k0nd2jy5j8" w:id="93"/>
      <w:bookmarkEnd w:id="93"/>
      <w:r w:rsidDel="00000000" w:rsidR="00000000" w:rsidRPr="00000000">
        <w:rPr>
          <w:rtl w:val="0"/>
        </w:rPr>
      </w:r>
    </w:p>
    <w:p w:rsidR="00000000" w:rsidDel="00000000" w:rsidP="00000000" w:rsidRDefault="00000000" w:rsidRPr="00000000" w14:paraId="00000203">
      <w:pPr>
        <w:pStyle w:val="Heading2"/>
        <w:keepNext w:val="0"/>
        <w:keepLines w:val="0"/>
        <w:spacing w:after="80" w:line="259" w:lineRule="auto"/>
        <w:rPr>
          <w:rFonts w:ascii="Aptos" w:cs="Aptos" w:eastAsia="Aptos" w:hAnsi="Aptos"/>
          <w:b w:val="1"/>
          <w:sz w:val="34"/>
          <w:szCs w:val="34"/>
        </w:rPr>
      </w:pPr>
      <w:bookmarkStart w:colFirst="0" w:colLast="0" w:name="_heading=h.300fh88iwefk" w:id="94"/>
      <w:bookmarkEnd w:id="94"/>
      <w:r w:rsidDel="00000000" w:rsidR="00000000" w:rsidRPr="00000000">
        <w:rPr>
          <w:rtl w:val="0"/>
        </w:rPr>
      </w:r>
    </w:p>
    <w:p w:rsidR="00000000" w:rsidDel="00000000" w:rsidP="00000000" w:rsidRDefault="00000000" w:rsidRPr="00000000" w14:paraId="00000204">
      <w:pPr>
        <w:pStyle w:val="Heading2"/>
        <w:keepNext w:val="0"/>
        <w:keepLines w:val="0"/>
        <w:spacing w:after="80" w:line="259" w:lineRule="auto"/>
        <w:rPr>
          <w:rFonts w:ascii="Aptos" w:cs="Aptos" w:eastAsia="Aptos" w:hAnsi="Aptos"/>
          <w:b w:val="1"/>
          <w:sz w:val="34"/>
          <w:szCs w:val="34"/>
        </w:rPr>
      </w:pPr>
      <w:bookmarkStart w:colFirst="0" w:colLast="0" w:name="_heading=h.vg24bed8j4dn" w:id="95"/>
      <w:bookmarkEnd w:id="95"/>
      <w:r w:rsidDel="00000000" w:rsidR="00000000" w:rsidRPr="00000000">
        <w:rPr>
          <w:rtl w:val="0"/>
        </w:rPr>
      </w:r>
    </w:p>
    <w:p w:rsidR="00000000" w:rsidDel="00000000" w:rsidP="00000000" w:rsidRDefault="00000000" w:rsidRPr="00000000" w14:paraId="00000205">
      <w:pPr>
        <w:pStyle w:val="Heading2"/>
        <w:keepNext w:val="0"/>
        <w:keepLines w:val="0"/>
        <w:spacing w:after="80" w:line="259" w:lineRule="auto"/>
        <w:rPr>
          <w:rFonts w:ascii="Aptos" w:cs="Aptos" w:eastAsia="Aptos" w:hAnsi="Aptos"/>
          <w:b w:val="1"/>
          <w:sz w:val="34"/>
          <w:szCs w:val="34"/>
        </w:rPr>
      </w:pPr>
      <w:bookmarkStart w:colFirst="0" w:colLast="0" w:name="_heading=h.y4zt23bx4ju6" w:id="96"/>
      <w:bookmarkEnd w:id="96"/>
      <w:r w:rsidDel="00000000" w:rsidR="00000000" w:rsidRPr="00000000">
        <w:rPr>
          <w:rtl w:val="0"/>
        </w:rPr>
      </w:r>
    </w:p>
    <w:p w:rsidR="00000000" w:rsidDel="00000000" w:rsidP="00000000" w:rsidRDefault="00000000" w:rsidRPr="00000000" w14:paraId="00000206">
      <w:pPr>
        <w:pStyle w:val="Heading2"/>
        <w:keepNext w:val="0"/>
        <w:keepLines w:val="0"/>
        <w:spacing w:after="80" w:line="259" w:lineRule="auto"/>
        <w:rPr>
          <w:rFonts w:ascii="Aptos" w:cs="Aptos" w:eastAsia="Aptos" w:hAnsi="Aptos"/>
          <w:b w:val="1"/>
          <w:sz w:val="34"/>
          <w:szCs w:val="34"/>
        </w:rPr>
      </w:pPr>
      <w:bookmarkStart w:colFirst="0" w:colLast="0" w:name="_heading=h.cdstqws8385y" w:id="97"/>
      <w:bookmarkEnd w:id="97"/>
      <w:r w:rsidDel="00000000" w:rsidR="00000000" w:rsidRPr="00000000">
        <w:rPr>
          <w:rtl w:val="0"/>
        </w:rPr>
      </w:r>
    </w:p>
    <w:p w:rsidR="00000000" w:rsidDel="00000000" w:rsidP="00000000" w:rsidRDefault="00000000" w:rsidRPr="00000000" w14:paraId="00000207">
      <w:pPr>
        <w:pStyle w:val="Heading2"/>
        <w:keepNext w:val="0"/>
        <w:keepLines w:val="0"/>
        <w:spacing w:after="80" w:line="259" w:lineRule="auto"/>
        <w:rPr>
          <w:rFonts w:ascii="Aptos" w:cs="Aptos" w:eastAsia="Aptos" w:hAnsi="Aptos"/>
          <w:b w:val="1"/>
          <w:sz w:val="34"/>
          <w:szCs w:val="34"/>
        </w:rPr>
      </w:pPr>
      <w:bookmarkStart w:colFirst="0" w:colLast="0" w:name="_heading=h.lgy3gwnp9f7z" w:id="98"/>
      <w:bookmarkEnd w:id="98"/>
      <w:r w:rsidDel="00000000" w:rsidR="00000000" w:rsidRPr="00000000">
        <w:rPr>
          <w:rFonts w:ascii="Aptos" w:cs="Aptos" w:eastAsia="Aptos" w:hAnsi="Aptos"/>
          <w:b w:val="1"/>
          <w:sz w:val="34"/>
          <w:szCs w:val="34"/>
          <w:rtl w:val="0"/>
        </w:rPr>
        <w:t xml:space="preserve">6. Strategic Outlook and Future Considerations (as of 2020)</w:t>
      </w:r>
    </w:p>
    <w:p w:rsidR="00000000" w:rsidDel="00000000" w:rsidP="00000000" w:rsidRDefault="00000000" w:rsidRPr="00000000" w14:paraId="00000208">
      <w:pPr>
        <w:pStyle w:val="Heading3"/>
        <w:keepNext w:val="0"/>
        <w:keepLines w:val="0"/>
        <w:spacing w:before="280" w:line="259" w:lineRule="auto"/>
        <w:rPr>
          <w:rFonts w:ascii="Aptos" w:cs="Aptos" w:eastAsia="Aptos" w:hAnsi="Aptos"/>
          <w:b w:val="1"/>
          <w:color w:val="000000"/>
          <w:sz w:val="26"/>
          <w:szCs w:val="26"/>
        </w:rPr>
      </w:pPr>
      <w:bookmarkStart w:colFirst="0" w:colLast="0" w:name="_heading=h.y7actxhppr2g" w:id="99"/>
      <w:bookmarkEnd w:id="99"/>
      <w:r w:rsidDel="00000000" w:rsidR="00000000" w:rsidRPr="00000000">
        <w:rPr>
          <w:rFonts w:ascii="Aptos" w:cs="Aptos" w:eastAsia="Aptos" w:hAnsi="Aptos"/>
          <w:b w:val="1"/>
          <w:color w:val="000000"/>
          <w:sz w:val="26"/>
          <w:szCs w:val="26"/>
          <w:rtl w:val="0"/>
        </w:rPr>
        <w:t xml:space="preserve">6.1 Product Expansion Plans and Gigafactory Scaling</w:t>
      </w:r>
    </w:p>
    <w:p w:rsidR="00000000" w:rsidDel="00000000" w:rsidP="00000000" w:rsidRDefault="00000000" w:rsidRPr="00000000" w14:paraId="00000209">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As of 2020, Tesla was actively executing on a multi-pronged strategy to expand its product portfolio and dramatically scale its global manufacturing capabilities. The company had recently commenced production of the Model Y, a compact crossover SUV that shared many components with the Model 3. Production of the Model Y began at the Fremont Factory in California in January 2020, followed by Gigafactory Shanghai in December 2020. This strategic move aimed to capitalize on the growing demand for SUVs and crossovers, broadening Tesla's market appeal.  </w:t>
      </w:r>
    </w:p>
    <w:p w:rsidR="00000000" w:rsidDel="00000000" w:rsidP="00000000" w:rsidRDefault="00000000" w:rsidRPr="00000000" w14:paraId="0000020A">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Looking ahead, Tesla's future product roadmap included the highly anticipated Tesla Semi truck, which was announced for production in 2022, and the distinctive Cybertruck pickup truck, which was unveiled in November 2019 with initial production originally slated for late 2021. The development of these vehicles signaled Tesla's intent to expand its market reach beyond passenger cars and enter the large commercial vehicle segments. The rapid rollout of new models like the Model Y, designed for higher volume and broader appeal, combined with the aggressive global Gigafactory build-out, clearly demonstrated Tesla's commitment to achieving exponential production scaling. This expansion was not merely about increasing output for existing models but also about enabling the production of entirely new vehicle types (Semi, Cybertruck) that would open up new, large commercial markets, thereby diversifying its revenue streams beyond passenger electric vehicles.  </w:t>
      </w:r>
    </w:p>
    <w:p w:rsidR="00000000" w:rsidDel="00000000" w:rsidP="00000000" w:rsidRDefault="00000000" w:rsidRPr="00000000" w14:paraId="0000020B">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To support these ambitious product plans, aggressive Gigafactory expansion was well underway. Construction for Gigafactory Berlin and Gigafactory Texas both commenced in 2020. These new factories were deemed crucial for significantly increasing overall production capacity for the Model Y and future models, as well as for in-house battery cell production. Gigafactory Shanghai was already actively producing both the Model 3 and Model Y, serving as a critical hub for the Asian market. The strategic outlook in 2020 was one of hyper-growth and audacious ambition. The successful execution of these massive expansion plans would be paramount for Tesla to achieve its long-term vision of accelerating sustainable transport and, critically, to justify its premium valuation. Any delays or execution challenges in these large-scale projects could significantly impact future financial performance and market perception.  </w:t>
      </w:r>
    </w:p>
    <w:p w:rsidR="00000000" w:rsidDel="00000000" w:rsidP="00000000" w:rsidRDefault="00000000" w:rsidRPr="00000000" w14:paraId="0000020C">
      <w:pPr>
        <w:pStyle w:val="Heading3"/>
        <w:keepNext w:val="0"/>
        <w:keepLines w:val="0"/>
        <w:spacing w:before="280" w:line="259" w:lineRule="auto"/>
        <w:rPr>
          <w:rFonts w:ascii="Aptos" w:cs="Aptos" w:eastAsia="Aptos" w:hAnsi="Aptos"/>
          <w:b w:val="1"/>
          <w:color w:val="000000"/>
          <w:sz w:val="26"/>
          <w:szCs w:val="26"/>
        </w:rPr>
      </w:pPr>
      <w:bookmarkStart w:colFirst="0" w:colLast="0" w:name="_heading=h.u6uvvn5n0vse" w:id="100"/>
      <w:bookmarkEnd w:id="100"/>
      <w:r w:rsidDel="00000000" w:rsidR="00000000" w:rsidRPr="00000000">
        <w:rPr>
          <w:rFonts w:ascii="Aptos" w:cs="Aptos" w:eastAsia="Aptos" w:hAnsi="Aptos"/>
          <w:b w:val="1"/>
          <w:color w:val="000000"/>
          <w:sz w:val="26"/>
          <w:szCs w:val="26"/>
          <w:rtl w:val="0"/>
        </w:rPr>
        <w:t xml:space="preserve">6.2 Energy Storage and Software Business Potential</w:t>
      </w:r>
    </w:p>
    <w:p w:rsidR="00000000" w:rsidDel="00000000" w:rsidP="00000000" w:rsidRDefault="00000000" w:rsidRPr="00000000" w14:paraId="0000020D">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Beyond its automotive segment, Tesla's strategic vision, as of 2020, extended to encompass a comprehensive sustainable energy ecosystem. This included energy storage systems for both homes (Powerwall) and businesses (Powerpack, Megapack), alongside its solar energy products such as the Solar Roof. In 2020, Tesla reported the deployment of 3.02 GWh of energy storage products and 205 megawatts of solar energy systems.  </w:t>
      </w:r>
    </w:p>
    <w:p w:rsidR="00000000" w:rsidDel="00000000" w:rsidP="00000000" w:rsidRDefault="00000000" w:rsidRPr="00000000" w14:paraId="0000020E">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 significant component of this diversification was the development of an advanced software ecosystem designed to manage and monetize battery assets and distributed energy resources. This suite of software solutions included platforms like Autobidder, Powerhub, Microgrid Controller, and Opticaster. These tools demonstrated Tesla's ambition to become a vertically integrated energy company, providing not just hardware but also the intelligent software necessary for optimizing energy flows and participating in energy markets. The energy storage business, in particular, was increasingly viewed as a potential major growth engine for the company, with analysts projecting significant future growth.  </w:t>
      </w:r>
    </w:p>
    <w:p w:rsidR="00000000" w:rsidDel="00000000" w:rsidP="00000000" w:rsidRDefault="00000000" w:rsidRPr="00000000" w14:paraId="0000020F">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While the energy segment's financial contribution was relatively modest in 2020, generating $1.994 billion in revenue with a low gross margin of 1% , its strategic importance was immense. The development of grid-scale storage solutions like Megapack and sophisticated software platforms such as Autobidder (for autonomous monetization of battery assets) underscored Tesla's ambition to play a central role in the global shift towards renewable energy and grid modernization. This positions Tesla to capitalize on a rapidly expanding market that requires large-scale energy storage solutions. The market's high valuation of Tesla in 2020 likely incorporated the significant future potential of this energy business, even if it was not yet a substantial profit contributor. This segment represents a long-term diversification strategy that could reduce reliance on automotive sales and unlock new, high-margin revenue streams, particularly from software-driven optimization and management of energy assets. This "second act" for Tesla had the potential to evolve into a core growth engine, further justifying a premium valuation compared to a pure-play automaker.  </w:t>
      </w:r>
    </w:p>
    <w:p w:rsidR="00000000" w:rsidDel="00000000" w:rsidP="00000000" w:rsidRDefault="00000000" w:rsidRPr="00000000" w14:paraId="00000210">
      <w:pPr>
        <w:pStyle w:val="Heading3"/>
        <w:keepNext w:val="0"/>
        <w:keepLines w:val="0"/>
        <w:spacing w:before="280" w:line="259" w:lineRule="auto"/>
        <w:rPr>
          <w:rFonts w:ascii="Aptos" w:cs="Aptos" w:eastAsia="Aptos" w:hAnsi="Aptos"/>
          <w:b w:val="1"/>
          <w:color w:val="000000"/>
          <w:sz w:val="26"/>
          <w:szCs w:val="26"/>
        </w:rPr>
      </w:pPr>
      <w:bookmarkStart w:colFirst="0" w:colLast="0" w:name="_heading=h.jys7gzayd7oi" w:id="101"/>
      <w:bookmarkEnd w:id="101"/>
      <w:r w:rsidDel="00000000" w:rsidR="00000000" w:rsidRPr="00000000">
        <w:rPr>
          <w:rtl w:val="0"/>
        </w:rPr>
      </w:r>
    </w:p>
    <w:p w:rsidR="00000000" w:rsidDel="00000000" w:rsidP="00000000" w:rsidRDefault="00000000" w:rsidRPr="00000000" w14:paraId="00000211">
      <w:pPr>
        <w:pStyle w:val="Heading3"/>
        <w:keepNext w:val="0"/>
        <w:keepLines w:val="0"/>
        <w:spacing w:before="280" w:line="259" w:lineRule="auto"/>
        <w:rPr>
          <w:rFonts w:ascii="Aptos" w:cs="Aptos" w:eastAsia="Aptos" w:hAnsi="Aptos"/>
          <w:b w:val="1"/>
          <w:color w:val="000000"/>
          <w:sz w:val="26"/>
          <w:szCs w:val="26"/>
        </w:rPr>
      </w:pPr>
      <w:bookmarkStart w:colFirst="0" w:colLast="0" w:name="_heading=h.27xg0ilwe214" w:id="102"/>
      <w:bookmarkEnd w:id="102"/>
      <w:r w:rsidDel="00000000" w:rsidR="00000000" w:rsidRPr="00000000">
        <w:rPr>
          <w:rFonts w:ascii="Aptos" w:cs="Aptos" w:eastAsia="Aptos" w:hAnsi="Aptos"/>
          <w:b w:val="1"/>
          <w:color w:val="000000"/>
          <w:sz w:val="26"/>
          <w:szCs w:val="26"/>
          <w:rtl w:val="0"/>
        </w:rPr>
        <w:t xml:space="preserve">6.3 Autonomous Driving Development</w:t>
      </w:r>
    </w:p>
    <w:p w:rsidR="00000000" w:rsidDel="00000000" w:rsidP="00000000" w:rsidRDefault="00000000" w:rsidRPr="00000000" w14:paraId="00000212">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Tesla's commitment to technological innovation extended prominently to its autonomous driving initiatives, specifically through its Autopilot and Full Self-Driving (FSD) programs. These programs were designed to enhance driving safety and convenience by leveraging a sophisticated combination of hardware and software within Tesla vehicles.  </w:t>
      </w:r>
    </w:p>
    <w:p w:rsidR="00000000" w:rsidDel="00000000" w:rsidP="00000000" w:rsidRDefault="00000000" w:rsidRPr="00000000" w14:paraId="00000213">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As of 2020, while FSD features required active driver supervision, the ultimate objective was to achieve full autonomy. This ambitious goal was understood to be contingent upon accumulating billions of miles of real-world driving experience and securing necessary regulatory approvals, which were recognized as potentially lengthy processes in various jurisdictions. It is notable that Elon Musk had previously set ambitious, and ultimately unfulfilled, timelines for the realization of full self-driving capabilities, with full autonomy famously expected by 2020, though it remained in a beta stage by year-end.  </w:t>
      </w:r>
    </w:p>
    <w:p w:rsidR="00000000" w:rsidDel="00000000" w:rsidP="00000000" w:rsidRDefault="00000000" w:rsidRPr="00000000" w14:paraId="00000214">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development of FSD, even in its supervised state in 2020, represented a significant potential software revenue opportunity for Tesla, whether through one-time purchases or subscription models. Unlike traditional automakers, Tesla's pioneering ability to deploy over-the-air software updates allowed for continuous improvements and the addition of new features to its vehicles post-sale. This capability transformed the vehicle from a static, depreciating asset into a dynamic platform capable of generating ongoing, high-margin software revenue streams.  </w:t>
      </w:r>
    </w:p>
    <w:p w:rsidR="00000000" w:rsidDel="00000000" w:rsidP="00000000" w:rsidRDefault="00000000" w:rsidRPr="00000000" w14:paraId="00000215">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market's valuation of Tesla in 2020 incorporated a substantial premium for these software capabilities, particularly FSD. This was based on the promise of future high-margin revenue streams that would be largely independent of direct vehicle sales volume. This emphasis on software positioned Tesla more as a technology company than a traditional automotive manufacturer, contributing significantly to its higher valuation multiples and future growth narrative. Despite the considerable execution risks and regulatory hurdles associated with achieving full autonomy, the potential for future services, such as "robo-taxi" networks, further fueled this software-driven component of Tesla's valuation.  </w:t>
      </w:r>
    </w:p>
    <w:p w:rsidR="00000000" w:rsidDel="00000000" w:rsidP="00000000" w:rsidRDefault="00000000" w:rsidRPr="00000000" w14:paraId="00000216">
      <w:pPr>
        <w:pStyle w:val="Heading2"/>
        <w:keepNext w:val="0"/>
        <w:keepLines w:val="0"/>
        <w:spacing w:after="80" w:line="259" w:lineRule="auto"/>
        <w:rPr>
          <w:rFonts w:ascii="Aptos" w:cs="Aptos" w:eastAsia="Aptos" w:hAnsi="Aptos"/>
          <w:b w:val="1"/>
          <w:sz w:val="34"/>
          <w:szCs w:val="34"/>
        </w:rPr>
      </w:pPr>
      <w:bookmarkStart w:colFirst="0" w:colLast="0" w:name="_heading=h.22ts7d2acz1m" w:id="103"/>
      <w:bookmarkEnd w:id="103"/>
      <w:r w:rsidDel="00000000" w:rsidR="00000000" w:rsidRPr="00000000">
        <w:rPr>
          <w:rtl w:val="0"/>
        </w:rPr>
      </w:r>
    </w:p>
    <w:p w:rsidR="00000000" w:rsidDel="00000000" w:rsidP="00000000" w:rsidRDefault="00000000" w:rsidRPr="00000000" w14:paraId="00000217">
      <w:pPr>
        <w:pStyle w:val="Heading2"/>
        <w:keepNext w:val="0"/>
        <w:keepLines w:val="0"/>
        <w:spacing w:after="80" w:line="259" w:lineRule="auto"/>
        <w:rPr>
          <w:rFonts w:ascii="Aptos" w:cs="Aptos" w:eastAsia="Aptos" w:hAnsi="Aptos"/>
          <w:b w:val="1"/>
          <w:sz w:val="34"/>
          <w:szCs w:val="34"/>
        </w:rPr>
      </w:pPr>
      <w:bookmarkStart w:colFirst="0" w:colLast="0" w:name="_heading=h.soci38dn4osl" w:id="104"/>
      <w:bookmarkEnd w:id="104"/>
      <w:r w:rsidDel="00000000" w:rsidR="00000000" w:rsidRPr="00000000">
        <w:rPr>
          <w:rtl w:val="0"/>
        </w:rPr>
      </w:r>
    </w:p>
    <w:p w:rsidR="00000000" w:rsidDel="00000000" w:rsidP="00000000" w:rsidRDefault="00000000" w:rsidRPr="00000000" w14:paraId="00000218">
      <w:pPr>
        <w:pStyle w:val="Heading2"/>
        <w:keepNext w:val="0"/>
        <w:keepLines w:val="0"/>
        <w:spacing w:after="80" w:line="259" w:lineRule="auto"/>
        <w:rPr>
          <w:rFonts w:ascii="Aptos" w:cs="Aptos" w:eastAsia="Aptos" w:hAnsi="Aptos"/>
          <w:b w:val="1"/>
          <w:sz w:val="34"/>
          <w:szCs w:val="34"/>
        </w:rPr>
      </w:pPr>
      <w:bookmarkStart w:colFirst="0" w:colLast="0" w:name="_heading=h.liqz6v475xwz" w:id="105"/>
      <w:bookmarkEnd w:id="105"/>
      <w:r w:rsidDel="00000000" w:rsidR="00000000" w:rsidRPr="00000000">
        <w:rPr>
          <w:rtl w:val="0"/>
        </w:rPr>
      </w:r>
    </w:p>
    <w:p w:rsidR="00000000" w:rsidDel="00000000" w:rsidP="00000000" w:rsidRDefault="00000000" w:rsidRPr="00000000" w14:paraId="00000219">
      <w:pPr>
        <w:pStyle w:val="Heading2"/>
        <w:keepNext w:val="0"/>
        <w:keepLines w:val="0"/>
        <w:spacing w:after="80" w:line="259" w:lineRule="auto"/>
        <w:rPr>
          <w:rFonts w:ascii="Aptos" w:cs="Aptos" w:eastAsia="Aptos" w:hAnsi="Aptos"/>
          <w:b w:val="1"/>
          <w:sz w:val="34"/>
          <w:szCs w:val="34"/>
        </w:rPr>
      </w:pPr>
      <w:bookmarkStart w:colFirst="0" w:colLast="0" w:name="_heading=h.2iu5tzsouj3v" w:id="106"/>
      <w:bookmarkEnd w:id="106"/>
      <w:r w:rsidDel="00000000" w:rsidR="00000000" w:rsidRPr="00000000">
        <w:rPr>
          <w:rtl w:val="0"/>
        </w:rPr>
      </w:r>
    </w:p>
    <w:p w:rsidR="00000000" w:rsidDel="00000000" w:rsidP="00000000" w:rsidRDefault="00000000" w:rsidRPr="00000000" w14:paraId="0000021A">
      <w:pPr>
        <w:pStyle w:val="Heading2"/>
        <w:keepNext w:val="0"/>
        <w:keepLines w:val="0"/>
        <w:spacing w:after="80" w:line="259" w:lineRule="auto"/>
        <w:rPr>
          <w:rFonts w:ascii="Aptos" w:cs="Aptos" w:eastAsia="Aptos" w:hAnsi="Aptos"/>
          <w:b w:val="1"/>
          <w:sz w:val="34"/>
          <w:szCs w:val="34"/>
        </w:rPr>
      </w:pPr>
      <w:bookmarkStart w:colFirst="0" w:colLast="0" w:name="_heading=h.z6nultcb0725" w:id="107"/>
      <w:bookmarkEnd w:id="107"/>
      <w:r w:rsidDel="00000000" w:rsidR="00000000" w:rsidRPr="00000000">
        <w:rPr>
          <w:rtl w:val="0"/>
        </w:rPr>
      </w:r>
    </w:p>
    <w:p w:rsidR="00000000" w:rsidDel="00000000" w:rsidP="00000000" w:rsidRDefault="00000000" w:rsidRPr="00000000" w14:paraId="0000021B">
      <w:pPr>
        <w:pStyle w:val="Heading2"/>
        <w:keepNext w:val="0"/>
        <w:keepLines w:val="0"/>
        <w:spacing w:after="80" w:line="259" w:lineRule="auto"/>
        <w:rPr>
          <w:rFonts w:ascii="Aptos" w:cs="Aptos" w:eastAsia="Aptos" w:hAnsi="Aptos"/>
          <w:b w:val="1"/>
          <w:sz w:val="34"/>
          <w:szCs w:val="34"/>
        </w:rPr>
      </w:pPr>
      <w:bookmarkStart w:colFirst="0" w:colLast="0" w:name="_heading=h.eqo0v3f0wj58" w:id="108"/>
      <w:bookmarkEnd w:id="108"/>
      <w:r w:rsidDel="00000000" w:rsidR="00000000" w:rsidRPr="00000000">
        <w:rPr>
          <w:rtl w:val="0"/>
        </w:rPr>
      </w:r>
    </w:p>
    <w:p w:rsidR="00000000" w:rsidDel="00000000" w:rsidP="00000000" w:rsidRDefault="00000000" w:rsidRPr="00000000" w14:paraId="0000021C">
      <w:pPr>
        <w:pStyle w:val="Heading2"/>
        <w:keepNext w:val="0"/>
        <w:keepLines w:val="0"/>
        <w:spacing w:after="80" w:line="259" w:lineRule="auto"/>
        <w:rPr>
          <w:rFonts w:ascii="Aptos" w:cs="Aptos" w:eastAsia="Aptos" w:hAnsi="Aptos"/>
          <w:b w:val="1"/>
          <w:sz w:val="34"/>
          <w:szCs w:val="34"/>
        </w:rPr>
      </w:pPr>
      <w:bookmarkStart w:colFirst="0" w:colLast="0" w:name="_heading=h.g78tsyswxwm4" w:id="109"/>
      <w:bookmarkEnd w:id="109"/>
      <w:r w:rsidDel="00000000" w:rsidR="00000000" w:rsidRPr="00000000">
        <w:rPr>
          <w:rtl w:val="0"/>
        </w:rPr>
      </w:r>
    </w:p>
    <w:p w:rsidR="00000000" w:rsidDel="00000000" w:rsidP="00000000" w:rsidRDefault="00000000" w:rsidRPr="00000000" w14:paraId="0000021D">
      <w:pPr>
        <w:pStyle w:val="Heading2"/>
        <w:keepNext w:val="0"/>
        <w:keepLines w:val="0"/>
        <w:spacing w:after="80" w:line="259" w:lineRule="auto"/>
        <w:rPr>
          <w:rFonts w:ascii="Aptos" w:cs="Aptos" w:eastAsia="Aptos" w:hAnsi="Aptos"/>
          <w:b w:val="1"/>
          <w:sz w:val="34"/>
          <w:szCs w:val="34"/>
        </w:rPr>
      </w:pPr>
      <w:bookmarkStart w:colFirst="0" w:colLast="0" w:name="_heading=h.3y4sc22duhho" w:id="110"/>
      <w:bookmarkEnd w:id="110"/>
      <w:r w:rsidDel="00000000" w:rsidR="00000000" w:rsidRPr="00000000">
        <w:rPr>
          <w:rtl w:val="0"/>
        </w:rPr>
      </w:r>
    </w:p>
    <w:p w:rsidR="00000000" w:rsidDel="00000000" w:rsidP="00000000" w:rsidRDefault="00000000" w:rsidRPr="00000000" w14:paraId="0000021E">
      <w:pPr>
        <w:pStyle w:val="Heading2"/>
        <w:keepNext w:val="0"/>
        <w:keepLines w:val="0"/>
        <w:spacing w:after="80" w:line="259" w:lineRule="auto"/>
        <w:rPr>
          <w:rFonts w:ascii="Aptos" w:cs="Aptos" w:eastAsia="Aptos" w:hAnsi="Aptos"/>
          <w:b w:val="1"/>
          <w:sz w:val="34"/>
          <w:szCs w:val="34"/>
        </w:rPr>
      </w:pPr>
      <w:bookmarkStart w:colFirst="0" w:colLast="0" w:name="_heading=h.4i5osdkg5kac" w:id="111"/>
      <w:bookmarkEnd w:id="111"/>
      <w:r w:rsidDel="00000000" w:rsidR="00000000" w:rsidRPr="00000000">
        <w:rPr>
          <w:rtl w:val="0"/>
        </w:rPr>
      </w:r>
    </w:p>
    <w:p w:rsidR="00000000" w:rsidDel="00000000" w:rsidP="00000000" w:rsidRDefault="00000000" w:rsidRPr="00000000" w14:paraId="0000021F">
      <w:pPr>
        <w:pStyle w:val="Heading2"/>
        <w:keepNext w:val="0"/>
        <w:keepLines w:val="0"/>
        <w:spacing w:after="80" w:line="259" w:lineRule="auto"/>
        <w:rPr>
          <w:rFonts w:ascii="Aptos" w:cs="Aptos" w:eastAsia="Aptos" w:hAnsi="Aptos"/>
          <w:b w:val="1"/>
          <w:sz w:val="34"/>
          <w:szCs w:val="34"/>
        </w:rPr>
      </w:pPr>
      <w:bookmarkStart w:colFirst="0" w:colLast="0" w:name="_heading=h.sndi3xy0h4zq" w:id="112"/>
      <w:bookmarkEnd w:id="112"/>
      <w:r w:rsidDel="00000000" w:rsidR="00000000" w:rsidRPr="00000000">
        <w:rPr>
          <w:rtl w:val="0"/>
        </w:rPr>
      </w:r>
    </w:p>
    <w:p w:rsidR="00000000" w:rsidDel="00000000" w:rsidP="00000000" w:rsidRDefault="00000000" w:rsidRPr="00000000" w14:paraId="00000220">
      <w:pPr>
        <w:pStyle w:val="Heading2"/>
        <w:keepNext w:val="0"/>
        <w:keepLines w:val="0"/>
        <w:spacing w:after="80" w:line="259" w:lineRule="auto"/>
        <w:rPr>
          <w:rFonts w:ascii="Aptos" w:cs="Aptos" w:eastAsia="Aptos" w:hAnsi="Aptos"/>
          <w:b w:val="1"/>
          <w:sz w:val="34"/>
          <w:szCs w:val="34"/>
        </w:rPr>
      </w:pPr>
      <w:bookmarkStart w:colFirst="0" w:colLast="0" w:name="_heading=h.5kcrh2cygoei" w:id="113"/>
      <w:bookmarkEnd w:id="113"/>
      <w:r w:rsidDel="00000000" w:rsidR="00000000" w:rsidRPr="00000000">
        <w:rPr>
          <w:rFonts w:ascii="Aptos" w:cs="Aptos" w:eastAsia="Aptos" w:hAnsi="Aptos"/>
          <w:b w:val="1"/>
          <w:sz w:val="34"/>
          <w:szCs w:val="34"/>
          <w:rtl w:val="0"/>
        </w:rPr>
        <w:t xml:space="preserve">7. Conclusion and Recommendations</w:t>
      </w:r>
    </w:p>
    <w:p w:rsidR="00000000" w:rsidDel="00000000" w:rsidP="00000000" w:rsidRDefault="00000000" w:rsidRPr="00000000" w14:paraId="00000221">
      <w:pPr>
        <w:pStyle w:val="Heading3"/>
        <w:keepNext w:val="0"/>
        <w:keepLines w:val="0"/>
        <w:spacing w:before="280" w:line="259" w:lineRule="auto"/>
        <w:rPr>
          <w:rFonts w:ascii="Aptos" w:cs="Aptos" w:eastAsia="Aptos" w:hAnsi="Aptos"/>
          <w:b w:val="1"/>
          <w:color w:val="000000"/>
          <w:sz w:val="26"/>
          <w:szCs w:val="26"/>
        </w:rPr>
      </w:pPr>
      <w:bookmarkStart w:colFirst="0" w:colLast="0" w:name="_heading=h.m48lehkmgabc" w:id="114"/>
      <w:bookmarkEnd w:id="114"/>
      <w:r w:rsidDel="00000000" w:rsidR="00000000" w:rsidRPr="00000000">
        <w:rPr>
          <w:rFonts w:ascii="Aptos" w:cs="Aptos" w:eastAsia="Aptos" w:hAnsi="Aptos"/>
          <w:b w:val="1"/>
          <w:color w:val="000000"/>
          <w:sz w:val="26"/>
          <w:szCs w:val="26"/>
          <w:rtl w:val="0"/>
        </w:rPr>
        <w:t xml:space="preserve">7.1 Summary of Key Findings</w:t>
      </w:r>
    </w:p>
    <w:p w:rsidR="00000000" w:rsidDel="00000000" w:rsidP="00000000" w:rsidRDefault="00000000" w:rsidRPr="00000000" w14:paraId="00000222">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 Inc. underwent a remarkable transformation from 2012 to 2020, evolving from a niche electric vehicle manufacturer into a formidable global leader in sustainable transportation and energy. This journey was propelled by several interconnected strategic pillars. The company's unique direct sales model and the establishment of its proprietary Supercharger network were instrumental in controlling the customer experience and overcoming key barriers to EV adoption. Aggressive product launches, starting with the Model S and culminating in the mass-market Model 3 and Model Y, facilitated explosive revenue growth and expanded market reach.  </w:t>
      </w:r>
    </w:p>
    <w:p w:rsidR="00000000" w:rsidDel="00000000" w:rsidP="00000000" w:rsidRDefault="00000000" w:rsidRPr="00000000" w14:paraId="00000223">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To support this rapid expansion, Tesla made substantial, sustained investments in research and development and built out a global network of Gigafactories. These investments were critical for scaling production capacity, achieving economies of scale, and deepening the company's vertical integration. This capital-intensive strategy, while leading to consistent net losses in earlier years, culminated in Tesla achieving its first full-year GAAP profitability in 2020. It is important to note that this profitability was significantly bolstered by the sale of regulatory credits, a revenue stream derived from government incentives.  </w:t>
      </w:r>
    </w:p>
    <w:p w:rsidR="00000000" w:rsidDel="00000000" w:rsidP="00000000" w:rsidRDefault="00000000" w:rsidRPr="00000000" w14:paraId="00000224">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macroeconomic environment provided strong tailwinds for Tesla's growth. The accelerating global adoption of electric vehicles, driven by growing environmental awareness and supportive government incentives, created a favorable market backdrop. Even the unprecedented challenges posed by the COVID-19 pandemic in 2020 paradoxically accelerated the shift towards EVs, with global EV market share increasing despite overall automotive industry contraction.  </w:t>
      </w:r>
    </w:p>
    <w:p w:rsidR="00000000" w:rsidDel="00000000" w:rsidP="00000000" w:rsidRDefault="00000000" w:rsidRPr="00000000" w14:paraId="00000225">
      <w:pPr>
        <w:spacing w:after="240" w:before="240" w:line="259"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Tesla's valuation in 2020 reflected a substantial growth premium, with its market capitalization and multiples significantly exceeding those of traditional automotive manufacturers. This premium was largely attributed to Tesla's disruptive technology, its extensive vertical integration, and the perceived immense future potential of its nascent energy storage and advanced autonomous driving segments. The market's willingness to assign such a high valuation was a testament to its belief in Tesla's ability to fundamentally reshape the automotive and energy industries.  </w:t>
      </w:r>
    </w:p>
    <w:p w:rsidR="00000000" w:rsidDel="00000000" w:rsidP="00000000" w:rsidRDefault="00000000" w:rsidRPr="00000000" w14:paraId="00000226">
      <w:pPr>
        <w:pStyle w:val="Heading3"/>
        <w:keepNext w:val="0"/>
        <w:keepLines w:val="0"/>
        <w:spacing w:before="280" w:line="259" w:lineRule="auto"/>
        <w:rPr>
          <w:rFonts w:ascii="Aptos" w:cs="Aptos" w:eastAsia="Aptos" w:hAnsi="Aptos"/>
          <w:b w:val="1"/>
          <w:color w:val="000000"/>
          <w:sz w:val="26"/>
          <w:szCs w:val="26"/>
        </w:rPr>
      </w:pPr>
      <w:bookmarkStart w:colFirst="0" w:colLast="0" w:name="_heading=h.k9l5wqk82tah" w:id="115"/>
      <w:bookmarkEnd w:id="115"/>
      <w:r w:rsidDel="00000000" w:rsidR="00000000" w:rsidRPr="00000000">
        <w:rPr>
          <w:rFonts w:ascii="Aptos" w:cs="Aptos" w:eastAsia="Aptos" w:hAnsi="Aptos"/>
          <w:b w:val="1"/>
          <w:color w:val="000000"/>
          <w:sz w:val="26"/>
          <w:szCs w:val="26"/>
          <w:rtl w:val="0"/>
        </w:rPr>
        <w:t xml:space="preserve">7.2 Investment Implications and Risks</w:t>
      </w:r>
    </w:p>
    <w:p w:rsidR="00000000" w:rsidDel="00000000" w:rsidP="00000000" w:rsidRDefault="00000000" w:rsidRPr="00000000" w14:paraId="00000227">
      <w:pPr>
        <w:spacing w:after="240" w:before="240" w:line="259" w:lineRule="auto"/>
        <w:rPr>
          <w:rFonts w:ascii="Aptos" w:cs="Aptos" w:eastAsia="Aptos" w:hAnsi="Aptos"/>
          <w:sz w:val="20"/>
          <w:szCs w:val="20"/>
        </w:rPr>
      </w:pPr>
      <w:r w:rsidDel="00000000" w:rsidR="00000000" w:rsidRPr="00000000">
        <w:rPr>
          <w:rFonts w:ascii="Aptos" w:cs="Aptos" w:eastAsia="Aptos" w:hAnsi="Aptos"/>
          <w:b w:val="1"/>
          <w:sz w:val="20"/>
          <w:szCs w:val="20"/>
          <w:rtl w:val="0"/>
        </w:rPr>
        <w:t xml:space="preserve">Investment Implications (as of 2020):</w:t>
      </w:r>
      <w:r w:rsidDel="00000000" w:rsidR="00000000" w:rsidRPr="00000000">
        <w:rPr>
          <w:rFonts w:ascii="Aptos" w:cs="Aptos" w:eastAsia="Aptos" w:hAnsi="Aptos"/>
          <w:sz w:val="20"/>
          <w:szCs w:val="20"/>
          <w:rtl w:val="0"/>
        </w:rPr>
        <w:t xml:space="preserve"> As of 2020, Tesla presented a compelling investment case primarily based on its future growth potential rather than its historical financial performance. Its valuation was largely forward-looking, pricing in the successful execution of ambitious plans across its automotive, energy, and software segments. The company's strong brand recognition, technological leadership in battery and EV powertrain development, and its vertically integrated ecosystem provided a defensible competitive moat. The achievement of positive operating cash flow in 2020 signaled a maturing business model, indicating a growing capacity to fund a portion of its massive growth initiatives internally, thereby reducing reliance on external capital. Investors were essentially betting on Tesla's ability to continue its rapid scaling and innovation to capture a significant share of the burgeoning sustainable energy market.</w:t>
      </w:r>
    </w:p>
    <w:p w:rsidR="00000000" w:rsidDel="00000000" w:rsidP="00000000" w:rsidRDefault="00000000" w:rsidRPr="00000000" w14:paraId="00000228">
      <w:pPr>
        <w:spacing w:after="240" w:before="240" w:line="259" w:lineRule="auto"/>
        <w:rPr>
          <w:rFonts w:ascii="Aptos" w:cs="Aptos" w:eastAsia="Aptos" w:hAnsi="Aptos"/>
          <w:sz w:val="20"/>
          <w:szCs w:val="20"/>
        </w:rPr>
      </w:pPr>
      <w:r w:rsidDel="00000000" w:rsidR="00000000" w:rsidRPr="00000000">
        <w:rPr>
          <w:rFonts w:ascii="Aptos" w:cs="Aptos" w:eastAsia="Aptos" w:hAnsi="Aptos"/>
          <w:b w:val="1"/>
          <w:sz w:val="20"/>
          <w:szCs w:val="20"/>
          <w:rtl w:val="0"/>
        </w:rPr>
        <w:t xml:space="preserve">Key Risks (as of 2020):</w:t>
      </w:r>
      <w:r w:rsidDel="00000000" w:rsidR="00000000" w:rsidRPr="00000000">
        <w:rPr>
          <w:rFonts w:ascii="Aptos" w:cs="Aptos" w:eastAsia="Aptos" w:hAnsi="Aptos"/>
          <w:sz w:val="20"/>
          <w:szCs w:val="20"/>
          <w:rtl w:val="0"/>
        </w:rPr>
        <w:t xml:space="preserve"> Despite its impressive trajectory, several significant risks were inherent in Tesla's investment profile as of 2020:</w:t>
      </w:r>
    </w:p>
    <w:p w:rsidR="00000000" w:rsidDel="00000000" w:rsidP="00000000" w:rsidRDefault="00000000" w:rsidRPr="00000000" w14:paraId="00000229">
      <w:pPr>
        <w:numPr>
          <w:ilvl w:val="0"/>
          <w:numId w:val="1"/>
        </w:numPr>
        <w:spacing w:after="0" w:afterAutospacing="0" w:before="48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Execution Risk:</w:t>
      </w:r>
      <w:r w:rsidDel="00000000" w:rsidR="00000000" w:rsidRPr="00000000">
        <w:rPr>
          <w:rFonts w:ascii="Aptos" w:cs="Aptos" w:eastAsia="Aptos" w:hAnsi="Aptos"/>
          <w:sz w:val="20"/>
          <w:szCs w:val="20"/>
          <w:rtl w:val="0"/>
        </w:rPr>
        <w:t xml:space="preserve"> The successful ramp-up of new Gigafactories (Berlin and Texas) and the timely launch of new, complex products like the Cybertruck and Tesla Semi were critical for sustaining growth. These large-scale projects were inherently susceptible to potential delays, cost overruns, and manufacturing challenges, which could significantly impact production targets and profitability.  </w:t>
      </w:r>
    </w:p>
    <w:p w:rsidR="00000000" w:rsidDel="00000000" w:rsidP="00000000" w:rsidRDefault="00000000" w:rsidRPr="00000000" w14:paraId="0000022A">
      <w:pPr>
        <w:numPr>
          <w:ilvl w:val="0"/>
          <w:numId w:val="1"/>
        </w:numPr>
        <w:spacing w:after="0" w:afterAutospacing="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Intensifying Competition:</w:t>
      </w:r>
      <w:r w:rsidDel="00000000" w:rsidR="00000000" w:rsidRPr="00000000">
        <w:rPr>
          <w:rFonts w:ascii="Aptos" w:cs="Aptos" w:eastAsia="Aptos" w:hAnsi="Aptos"/>
          <w:sz w:val="20"/>
          <w:szCs w:val="20"/>
          <w:rtl w:val="0"/>
        </w:rPr>
        <w:t xml:space="preserve"> The electric vehicle market was rapidly maturing, with traditional original equipment manufacturers (OEMs) and new EV startups increasingly entering the space. This intensifying competition posed a significant threat to Tesla's market share and its ability to maintain premium pricing power in the long term.  </w:t>
      </w:r>
    </w:p>
    <w:p w:rsidR="00000000" w:rsidDel="00000000" w:rsidP="00000000" w:rsidRDefault="00000000" w:rsidRPr="00000000" w14:paraId="0000022B">
      <w:pPr>
        <w:numPr>
          <w:ilvl w:val="0"/>
          <w:numId w:val="1"/>
        </w:numPr>
        <w:spacing w:after="0" w:afterAutospacing="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Regulatory Dependence:</w:t>
      </w:r>
      <w:r w:rsidDel="00000000" w:rsidR="00000000" w:rsidRPr="00000000">
        <w:rPr>
          <w:rFonts w:ascii="Aptos" w:cs="Aptos" w:eastAsia="Aptos" w:hAnsi="Aptos"/>
          <w:sz w:val="20"/>
          <w:szCs w:val="20"/>
          <w:rtl w:val="0"/>
        </w:rPr>
        <w:t xml:space="preserve"> Tesla's achievement of GAAP profitability in 2020 was notably reliant on the sale of regulatory credits. This introduced a dependency on governmental policies and environmental regulations, which could change or be phased out, potentially impacting a significant revenue stream and profitability.  </w:t>
      </w:r>
    </w:p>
    <w:p w:rsidR="00000000" w:rsidDel="00000000" w:rsidP="00000000" w:rsidRDefault="00000000" w:rsidRPr="00000000" w14:paraId="0000022C">
      <w:pPr>
        <w:numPr>
          <w:ilvl w:val="0"/>
          <w:numId w:val="1"/>
        </w:numPr>
        <w:spacing w:after="0" w:afterAutospacing="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Valuation Premium:</w:t>
      </w:r>
      <w:r w:rsidDel="00000000" w:rsidR="00000000" w:rsidRPr="00000000">
        <w:rPr>
          <w:rFonts w:ascii="Aptos" w:cs="Aptos" w:eastAsia="Aptos" w:hAnsi="Aptos"/>
          <w:sz w:val="20"/>
          <w:szCs w:val="20"/>
          <w:rtl w:val="0"/>
        </w:rPr>
        <w:t xml:space="preserve"> The exceptionally high valuation multiples assigned to Tesla implied that the company had to consistently deliver on aggressive growth expectations to justify its stock price. This left little room for operational missteps or market slowdowns, making the stock highly sensitive to any perceived deviations from its growth trajectory.</w:t>
      </w:r>
    </w:p>
    <w:p w:rsidR="00000000" w:rsidDel="00000000" w:rsidP="00000000" w:rsidRDefault="00000000" w:rsidRPr="00000000" w14:paraId="0000022D">
      <w:pPr>
        <w:numPr>
          <w:ilvl w:val="0"/>
          <w:numId w:val="1"/>
        </w:numPr>
        <w:spacing w:after="24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b w:val="1"/>
          <w:sz w:val="20"/>
          <w:szCs w:val="20"/>
          <w:rtl w:val="0"/>
        </w:rPr>
        <w:t xml:space="preserve">Autonomous Driving Timelines:</w:t>
      </w:r>
      <w:r w:rsidDel="00000000" w:rsidR="00000000" w:rsidRPr="00000000">
        <w:rPr>
          <w:rFonts w:ascii="Aptos" w:cs="Aptos" w:eastAsia="Aptos" w:hAnsi="Aptos"/>
          <w:sz w:val="20"/>
          <w:szCs w:val="20"/>
          <w:rtl w:val="0"/>
        </w:rPr>
        <w:t xml:space="preserve"> The ambitious timelines for achieving full self-driving capabilities remained a significant speculative element of Tesla's valuation. Despite continuous development, full autonomy faced considerable technical hurdles and regulatory approval processes, which could take longer than anticipated, potentially impacting the monetization potential of FSD software.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ptos" w:cs="Aptos" w:eastAsia="Aptos" w:hAnsi="Aptos"/>
          <w:sz w:val="20"/>
          <w:szCs w:val="20"/>
        </w:rPr>
      </w:pPr>
      <w:r w:rsidDel="00000000" w:rsidR="00000000" w:rsidRPr="00000000">
        <w:rPr>
          <w:rtl w:val="0"/>
        </w:rPr>
      </w:r>
    </w:p>
    <w:sectPr>
      <w:type w:val="nextPage"/>
      <w:pgSz w:h="15840" w:w="12240" w:orient="portrait"/>
      <w:pgMar w:bottom="720" w:top="720" w:left="720" w:right="72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Times New Roman"/>
  <w:font w:name="Play">
    <w:embedRegular w:fontKey="{00000000-0000-0000-0000-000000000000}" r:id="rId1" w:subsetted="0"/>
    <w:embedBold w:fontKey="{00000000-0000-0000-0000-000000000000}" r:id="rId2" w:subsetted="0"/>
  </w:font>
  <w:font w:name="Aptos"/>
  <w:font w:name="Constanti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lgeri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onstantia" w:cs="Constantia" w:eastAsia="Constantia" w:hAnsi="Constantia"/>
        <w:b w:val="0"/>
        <w:i w:val="0"/>
        <w:smallCaps w:val="0"/>
        <w:strike w:val="0"/>
        <w:color w:val="000000"/>
        <w:sz w:val="22"/>
        <w:szCs w:val="22"/>
        <w:u w:val="none"/>
        <w:shd w:fill="auto" w:val="clear"/>
        <w:vertAlign w:val="baseline"/>
      </w:rPr>
    </w:pPr>
    <w:r w:rsidDel="00000000" w:rsidR="00000000" w:rsidRPr="00000000">
      <w:rPr>
        <w:rFonts w:ascii="Constantia" w:cs="Constantia" w:eastAsia="Constantia" w:hAnsi="Constantia"/>
        <w:b w:val="0"/>
        <w:i w:val="0"/>
        <w:smallCaps w:val="0"/>
        <w:strike w:val="0"/>
        <w:color w:val="000000"/>
        <w:sz w:val="22"/>
        <w:szCs w:val="22"/>
        <w:u w:val="none"/>
        <w:shd w:fill="auto" w:val="clear"/>
        <w:vertAlign w:val="baseline"/>
        <w:rtl w:val="0"/>
      </w:rPr>
      <w:t xml:space="preserve">PAGE </w:t>
    </w:r>
    <w:r w:rsidDel="00000000" w:rsidR="00000000" w:rsidRPr="00000000">
      <w:rPr>
        <w:rFonts w:ascii="Constantia" w:cs="Constantia" w:eastAsia="Constantia" w:hAnsi="Constanti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qFormat w:val="1"/>
    <w:rsid w:val="006D0A80"/>
  </w:style>
  <w:style w:type="paragraph" w:styleId="Heading1">
    <w:name w:val="heading 1"/>
    <w:basedOn w:val="Normal"/>
    <w:next w:val="Normal"/>
    <w:link w:val="Heading1Char"/>
    <w:uiPriority w:val="9"/>
    <w:qFormat w:val="1"/>
    <w:rsid w:val="006D0A80"/>
    <w:pPr>
      <w:keepNext w:val="1"/>
      <w:keepLines w:val="1"/>
      <w:spacing w:after="40" w:before="400" w:line="240" w:lineRule="auto"/>
      <w:outlineLvl w:val="0"/>
    </w:pPr>
    <w:rPr>
      <w:rFonts w:asciiTheme="majorHAnsi" w:cstheme="majorBidi" w:eastAsiaTheme="majorEastAsia" w:hAnsiTheme="majorHAnsi"/>
      <w:caps w:val="1"/>
      <w:sz w:val="36"/>
      <w:szCs w:val="36"/>
    </w:rPr>
  </w:style>
  <w:style w:type="paragraph" w:styleId="Heading2">
    <w:name w:val="heading 2"/>
    <w:basedOn w:val="Normal"/>
    <w:next w:val="Normal"/>
    <w:link w:val="Heading2Char"/>
    <w:uiPriority w:val="9"/>
    <w:unhideWhenUsed w:val="1"/>
    <w:qFormat w:val="1"/>
    <w:rsid w:val="006D0A80"/>
    <w:pPr>
      <w:keepNext w:val="1"/>
      <w:keepLines w:val="1"/>
      <w:spacing w:after="0" w:before="120" w:line="240" w:lineRule="auto"/>
      <w:outlineLvl w:val="1"/>
    </w:pPr>
    <w:rPr>
      <w:rFonts w:asciiTheme="majorHAnsi" w:cstheme="majorBidi" w:eastAsiaTheme="majorEastAsia" w:hAnsiTheme="majorHAnsi"/>
      <w:caps w:val="1"/>
      <w:sz w:val="28"/>
      <w:szCs w:val="28"/>
    </w:rPr>
  </w:style>
  <w:style w:type="paragraph" w:styleId="Heading3">
    <w:name w:val="heading 3"/>
    <w:basedOn w:val="Normal"/>
    <w:next w:val="Normal"/>
    <w:link w:val="Heading3Char"/>
    <w:uiPriority w:val="9"/>
    <w:semiHidden w:val="1"/>
    <w:unhideWhenUsed w:val="1"/>
    <w:qFormat w:val="1"/>
    <w:rsid w:val="006D0A80"/>
    <w:pPr>
      <w:keepNext w:val="1"/>
      <w:keepLines w:val="1"/>
      <w:spacing w:after="0" w:before="120" w:line="240" w:lineRule="auto"/>
      <w:outlineLvl w:val="2"/>
    </w:pPr>
    <w:rPr>
      <w:rFonts w:asciiTheme="majorHAnsi" w:cstheme="majorBidi" w:eastAsiaTheme="majorEastAsia" w:hAnsiTheme="majorHAnsi"/>
      <w:smallCaps w:val="1"/>
      <w:sz w:val="28"/>
      <w:szCs w:val="28"/>
    </w:rPr>
  </w:style>
  <w:style w:type="paragraph" w:styleId="Heading4">
    <w:name w:val="heading 4"/>
    <w:basedOn w:val="Normal"/>
    <w:next w:val="Normal"/>
    <w:link w:val="Heading4Char"/>
    <w:uiPriority w:val="9"/>
    <w:semiHidden w:val="1"/>
    <w:unhideWhenUsed w:val="1"/>
    <w:qFormat w:val="1"/>
    <w:rsid w:val="006D0A80"/>
    <w:pPr>
      <w:keepNext w:val="1"/>
      <w:keepLines w:val="1"/>
      <w:spacing w:after="0" w:before="120"/>
      <w:outlineLvl w:val="3"/>
    </w:pPr>
    <w:rPr>
      <w:rFonts w:asciiTheme="majorHAnsi" w:cstheme="majorBidi" w:eastAsiaTheme="majorEastAsia" w:hAnsiTheme="majorHAnsi"/>
      <w:caps w:val="1"/>
    </w:rPr>
  </w:style>
  <w:style w:type="paragraph" w:styleId="Heading5">
    <w:name w:val="heading 5"/>
    <w:basedOn w:val="Normal"/>
    <w:next w:val="Normal"/>
    <w:link w:val="Heading5Char"/>
    <w:uiPriority w:val="9"/>
    <w:semiHidden w:val="1"/>
    <w:unhideWhenUsed w:val="1"/>
    <w:qFormat w:val="1"/>
    <w:rsid w:val="006D0A80"/>
    <w:pPr>
      <w:keepNext w:val="1"/>
      <w:keepLines w:val="1"/>
      <w:spacing w:after="0" w:before="120"/>
      <w:outlineLvl w:val="4"/>
    </w:pPr>
    <w:rPr>
      <w:rFonts w:asciiTheme="majorHAnsi" w:cstheme="majorBidi" w:eastAsiaTheme="majorEastAsia" w:hAnsiTheme="majorHAnsi"/>
      <w:i w:val="1"/>
      <w:iCs w:val="1"/>
      <w:caps w:val="1"/>
    </w:rPr>
  </w:style>
  <w:style w:type="paragraph" w:styleId="Heading6">
    <w:name w:val="heading 6"/>
    <w:basedOn w:val="Normal"/>
    <w:next w:val="Normal"/>
    <w:link w:val="Heading6Char"/>
    <w:uiPriority w:val="9"/>
    <w:semiHidden w:val="1"/>
    <w:unhideWhenUsed w:val="1"/>
    <w:qFormat w:val="1"/>
    <w:rsid w:val="006D0A80"/>
    <w:pPr>
      <w:keepNext w:val="1"/>
      <w:keepLines w:val="1"/>
      <w:spacing w:after="0" w:before="120"/>
      <w:outlineLvl w:val="5"/>
    </w:pPr>
    <w:rPr>
      <w:rFonts w:asciiTheme="majorHAnsi" w:cstheme="majorBidi" w:eastAsiaTheme="majorEastAsia" w:hAnsiTheme="majorHAnsi"/>
      <w:b w:val="1"/>
      <w:bCs w:val="1"/>
      <w:caps w:val="1"/>
      <w:color w:val="262626" w:themeColor="text1" w:themeTint="0000D9"/>
      <w:sz w:val="20"/>
      <w:szCs w:val="20"/>
    </w:rPr>
  </w:style>
  <w:style w:type="paragraph" w:styleId="Heading7">
    <w:name w:val="heading 7"/>
    <w:basedOn w:val="Normal"/>
    <w:next w:val="Normal"/>
    <w:link w:val="Heading7Char"/>
    <w:uiPriority w:val="9"/>
    <w:semiHidden w:val="1"/>
    <w:unhideWhenUsed w:val="1"/>
    <w:qFormat w:val="1"/>
    <w:rsid w:val="006D0A80"/>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semiHidden w:val="1"/>
    <w:unhideWhenUsed w:val="1"/>
    <w:qFormat w:val="1"/>
    <w:rsid w:val="006D0A80"/>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semiHidden w:val="1"/>
    <w:unhideWhenUsed w:val="1"/>
    <w:qFormat w:val="1"/>
    <w:rsid w:val="006D0A80"/>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LightShading">
    <w:name w:val="Light Shading"/>
    <w:basedOn w:val="TableNormal"/>
    <w:uiPriority w:val="60"/>
    <w:pPr>
      <w:spacing w:after="40" w:before="4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0"/>
        <w:bCs w:val="1"/>
        <w:caps w:val="1"/>
        <w:smallCaps w:val="0"/>
        <w:color w:val="000000" w:themeColor="text1"/>
        <w:spacing w:val="20"/>
      </w:rPr>
      <w:tblPr/>
      <w:tcPr>
        <w:tcBorders>
          <w:top w:color="000000" w:space="0" w:sz="8" w:themeColor="text1" w:val="single"/>
          <w:left w:space="0" w:sz="0" w:val="nil"/>
          <w:bottom w:color="000000" w:space="0" w:sz="8" w:themeColor="text1" w:val="single"/>
          <w:right w:space="0" w:sz="0" w:val="nil"/>
          <w:insideH w:space="0" w:sz="0" w:val="nil"/>
          <w:insideV w:space="0" w:sz="0" w:val="nil"/>
        </w:tcBorders>
        <w:vAlign w:val="bottom"/>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ContactInfo" w:customStyle="1">
    <w:name w:val="Contact Info"/>
    <w:basedOn w:val="Normal"/>
    <w:uiPriority w:val="4"/>
    <w:pPr>
      <w:spacing w:after="0" w:before="360"/>
      <w:contextualSpacing w:val="1"/>
      <w:jc w:val="center"/>
    </w:pPr>
  </w:style>
  <w:style w:type="character" w:styleId="Heading1Char" w:customStyle="1">
    <w:name w:val="Heading 1 Char"/>
    <w:basedOn w:val="DefaultParagraphFont"/>
    <w:link w:val="Heading1"/>
    <w:uiPriority w:val="9"/>
    <w:rsid w:val="006D0A80"/>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rsid w:val="006D0A80"/>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semiHidden w:val="1"/>
    <w:rsid w:val="006D0A80"/>
    <w:rPr>
      <w:rFonts w:asciiTheme="majorHAnsi" w:cstheme="majorBidi" w:eastAsiaTheme="majorEastAsia" w:hAnsiTheme="majorHAnsi"/>
      <w:smallCaps w:val="1"/>
      <w:sz w:val="28"/>
      <w:szCs w:val="28"/>
    </w:rPr>
  </w:style>
  <w:style w:type="character" w:styleId="Heading5Char" w:customStyle="1">
    <w:name w:val="Heading 5 Char"/>
    <w:basedOn w:val="DefaultParagraphFont"/>
    <w:link w:val="Heading5"/>
    <w:uiPriority w:val="9"/>
    <w:semiHidden w:val="1"/>
    <w:rsid w:val="006D0A80"/>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semiHidden w:val="1"/>
    <w:rsid w:val="006D0A80"/>
    <w:rPr>
      <w:rFonts w:asciiTheme="majorHAnsi" w:cstheme="majorBidi" w:eastAsiaTheme="majorEastAsia" w:hAnsiTheme="majorHAnsi"/>
      <w:b w:val="1"/>
      <w:bCs w:val="1"/>
      <w:caps w:val="1"/>
      <w:color w:val="262626" w:themeColor="text1" w:themeTint="0000D9"/>
      <w:sz w:val="20"/>
      <w:szCs w:val="20"/>
    </w:rPr>
  </w:style>
  <w:style w:type="paragraph" w:styleId="ListBullet">
    <w:name w:val="List Bullet"/>
    <w:basedOn w:val="Normal"/>
    <w:uiPriority w:val="7"/>
    <w:unhideWhenUsed w:val="1"/>
    <w:pPr>
      <w:numPr>
        <w:numId w:val="5"/>
      </w:numPr>
    </w:pPr>
  </w:style>
  <w:style w:type="paragraph" w:styleId="ListNumber">
    <w:name w:val="List Number"/>
    <w:basedOn w:val="Normal"/>
    <w:uiPriority w:val="5"/>
    <w:unhideWhenUsed w:val="1"/>
    <w:pPr>
      <w:numPr>
        <w:numId w:val="6"/>
      </w:numPr>
      <w:contextualSpacing w:val="1"/>
    </w:pPr>
  </w:style>
  <w:style w:type="paragraph" w:styleId="Title">
    <w:name w:val="Title"/>
    <w:basedOn w:val="Normal"/>
    <w:next w:val="Normal"/>
    <w:link w:val="TitleChar"/>
    <w:uiPriority w:val="10"/>
    <w:qFormat w:val="1"/>
    <w:rsid w:val="006D0A80"/>
    <w:pPr>
      <w:spacing w:after="0" w:line="240" w:lineRule="auto"/>
      <w:contextualSpacing w:val="1"/>
    </w:pPr>
    <w:rPr>
      <w:rFonts w:asciiTheme="majorHAnsi" w:cstheme="majorBidi" w:eastAsiaTheme="majorEastAsia" w:hAnsiTheme="majorHAnsi"/>
      <w:caps w:val="1"/>
      <w:color w:val="404040" w:themeColor="text1" w:themeTint="0000BF"/>
      <w:spacing w:val="-10"/>
      <w:sz w:val="72"/>
      <w:szCs w:val="72"/>
    </w:rPr>
  </w:style>
  <w:style w:type="character" w:styleId="TitleChar" w:customStyle="1">
    <w:name w:val="Title Char"/>
    <w:basedOn w:val="DefaultParagraphFont"/>
    <w:link w:val="Title"/>
    <w:uiPriority w:val="10"/>
    <w:rsid w:val="006D0A80"/>
    <w:rPr>
      <w:rFonts w:asciiTheme="majorHAnsi" w:cstheme="majorBidi" w:eastAsiaTheme="majorEastAsia" w:hAnsiTheme="majorHAnsi"/>
      <w:caps w:val="1"/>
      <w:color w:val="404040" w:themeColor="text1" w:themeTint="0000BF"/>
      <w:spacing w:val="-10"/>
      <w:sz w:val="72"/>
      <w:szCs w:val="72"/>
    </w:rPr>
  </w:style>
  <w:style w:type="paragraph" w:styleId="Subtitle">
    <w:name w:val="Subtitle"/>
    <w:basedOn w:val="Normal"/>
    <w:next w:val="Normal"/>
    <w:link w:val="SubtitleChar"/>
    <w:uiPriority w:val="11"/>
    <w:qFormat w:val="1"/>
    <w:rsid w:val="006D0A80"/>
    <w:pPr>
      <w:numPr>
        <w:ilvl w:val="1"/>
      </w:numPr>
    </w:pPr>
    <w:rPr>
      <w:rFonts w:asciiTheme="majorHAnsi" w:cstheme="majorBidi" w:eastAsiaTheme="majorEastAsia" w:hAnsiTheme="majorHAnsi"/>
      <w:smallCaps w:val="1"/>
      <w:color w:val="595959" w:themeColor="text1" w:themeTint="0000A6"/>
      <w:sz w:val="28"/>
      <w:szCs w:val="28"/>
    </w:rPr>
  </w:style>
  <w:style w:type="character" w:styleId="SubtitleChar" w:customStyle="1">
    <w:name w:val="Subtitle Char"/>
    <w:basedOn w:val="DefaultParagraphFont"/>
    <w:link w:val="Subtitle"/>
    <w:uiPriority w:val="11"/>
    <w:rsid w:val="006D0A80"/>
    <w:rPr>
      <w:rFonts w:asciiTheme="majorHAnsi" w:cstheme="majorBidi" w:eastAsiaTheme="majorEastAsia" w:hAnsiTheme="majorHAnsi"/>
      <w:smallCaps w:val="1"/>
      <w:color w:val="595959" w:themeColor="text1" w:themeTint="0000A6"/>
      <w:sz w:val="28"/>
      <w:szCs w:val="28"/>
    </w:rPr>
  </w:style>
  <w:style w:type="paragraph" w:styleId="Photo" w:customStyle="1">
    <w:name w:val="Photo"/>
    <w:basedOn w:val="Normal"/>
    <w:uiPriority w:val="1"/>
    <w:rsid w:val="00D5413C"/>
    <w:pPr>
      <w:spacing w:after="400" w:before="2400"/>
      <w:jc w:val="center"/>
    </w:pPr>
  </w:style>
  <w:style w:type="paragraph" w:styleId="Caption">
    <w:name w:val="caption"/>
    <w:basedOn w:val="Normal"/>
    <w:next w:val="Normal"/>
    <w:uiPriority w:val="35"/>
    <w:semiHidden w:val="1"/>
    <w:unhideWhenUsed w:val="1"/>
    <w:qFormat w:val="1"/>
    <w:rsid w:val="006D0A80"/>
    <w:pPr>
      <w:spacing w:line="240" w:lineRule="auto"/>
    </w:pPr>
    <w:rPr>
      <w:b w:val="1"/>
      <w:bCs w:val="1"/>
      <w:smallCaps w:val="1"/>
      <w:color w:val="595959" w:themeColor="text1" w:themeTint="0000A6"/>
    </w:rPr>
  </w:style>
  <w:style w:type="character" w:styleId="Heading9Char" w:customStyle="1">
    <w:name w:val="Heading 9 Char"/>
    <w:basedOn w:val="DefaultParagraphFont"/>
    <w:link w:val="Heading9"/>
    <w:uiPriority w:val="9"/>
    <w:semiHidden w:val="1"/>
    <w:rsid w:val="006D0A80"/>
    <w:rPr>
      <w:rFonts w:asciiTheme="majorHAnsi" w:cstheme="majorBidi" w:eastAsiaTheme="majorEastAsia" w:hAnsiTheme="majorHAnsi"/>
      <w:b w:val="1"/>
      <w:bCs w:val="1"/>
      <w:i w:val="1"/>
      <w:iCs w:val="1"/>
      <w:caps w:val="1"/>
      <w:color w:val="7f7f7f" w:themeColor="text1" w:themeTint="000080"/>
      <w:sz w:val="20"/>
      <w:szCs w:val="20"/>
    </w:rPr>
  </w:style>
  <w:style w:type="character" w:styleId="Heading8Char" w:customStyle="1">
    <w:name w:val="Heading 8 Char"/>
    <w:basedOn w:val="DefaultParagraphFont"/>
    <w:link w:val="Heading8"/>
    <w:uiPriority w:val="9"/>
    <w:semiHidden w:val="1"/>
    <w:rsid w:val="006D0A80"/>
    <w:rPr>
      <w:rFonts w:asciiTheme="majorHAnsi" w:cstheme="majorBidi" w:eastAsiaTheme="majorEastAsia" w:hAnsiTheme="majorHAnsi"/>
      <w:b w:val="1"/>
      <w:bCs w:val="1"/>
      <w:caps w:val="1"/>
      <w:color w:val="7f7f7f" w:themeColor="text1" w:themeTint="000080"/>
      <w:sz w:val="20"/>
      <w:szCs w:val="20"/>
    </w:rPr>
  </w:style>
  <w:style w:type="paragraph" w:styleId="TOCHeading">
    <w:name w:val="TOC Heading"/>
    <w:basedOn w:val="Heading1"/>
    <w:next w:val="Normal"/>
    <w:uiPriority w:val="39"/>
    <w:semiHidden w:val="1"/>
    <w:unhideWhenUsed w:val="1"/>
    <w:qFormat w:val="1"/>
    <w:rsid w:val="006D0A80"/>
    <w:pPr>
      <w:outlineLvl w:val="9"/>
    </w:pPr>
  </w:style>
  <w:style w:type="paragraph" w:styleId="Footer">
    <w:name w:val="footer"/>
    <w:basedOn w:val="Normal"/>
    <w:link w:val="FooterChar"/>
    <w:uiPriority w:val="99"/>
    <w:unhideWhenUsed w:val="1"/>
    <w:rsid w:val="003422FF"/>
    <w:pPr>
      <w:spacing w:after="0" w:line="240" w:lineRule="auto"/>
      <w:jc w:val="right"/>
    </w:pPr>
    <w:rPr>
      <w:szCs w:val="16"/>
    </w:rPr>
  </w:style>
  <w:style w:type="character" w:styleId="FooterChar" w:customStyle="1">
    <w:name w:val="Footer Char"/>
    <w:basedOn w:val="DefaultParagraphFont"/>
    <w:link w:val="Footer"/>
    <w:uiPriority w:val="99"/>
    <w:rsid w:val="003422FF"/>
    <w:rPr>
      <w:sz w:val="22"/>
      <w:szCs w:val="16"/>
    </w:rPr>
  </w:style>
  <w:style w:type="paragraph" w:styleId="TOC3">
    <w:name w:val="toc 3"/>
    <w:basedOn w:val="Normal"/>
    <w:next w:val="Normal"/>
    <w:autoRedefine w:val="1"/>
    <w:uiPriority w:val="39"/>
    <w:semiHidden w:val="1"/>
    <w:unhideWhenUsed w:val="1"/>
    <w:pPr>
      <w:spacing w:after="100"/>
      <w:ind w:left="400"/>
    </w:pPr>
    <w:rPr>
      <w:i w:val="1"/>
      <w:iCs w:val="1"/>
    </w:rPr>
  </w:style>
  <w:style w:type="paragraph" w:styleId="TOC1">
    <w:name w:val="toc 1"/>
    <w:basedOn w:val="Normal"/>
    <w:next w:val="Normal"/>
    <w:autoRedefine w:val="1"/>
    <w:uiPriority w:val="39"/>
    <w:semiHidden w:val="1"/>
    <w:unhideWhenUsed w:val="1"/>
    <w:pPr>
      <w:spacing w:after="100"/>
    </w:pPr>
  </w:style>
  <w:style w:type="paragraph" w:styleId="TOC2">
    <w:name w:val="toc 2"/>
    <w:basedOn w:val="Normal"/>
    <w:next w:val="Normal"/>
    <w:autoRedefine w:val="1"/>
    <w:uiPriority w:val="39"/>
    <w:semiHidden w:val="1"/>
    <w:unhideWhenUsed w:val="1"/>
    <w:pPr>
      <w:spacing w:after="100"/>
      <w:ind w:left="200"/>
    </w:pPr>
  </w:style>
  <w:style w:type="paragraph" w:styleId="BalloonText">
    <w:name w:val="Balloon Text"/>
    <w:basedOn w:val="Normal"/>
    <w:link w:val="BalloonTextChar"/>
    <w:uiPriority w:val="99"/>
    <w:semiHidden w:val="1"/>
    <w:unhideWhenUsed w:val="1"/>
    <w:rsid w:val="00A122DB"/>
    <w:pPr>
      <w:spacing w:after="0" w:line="240" w:lineRule="auto"/>
    </w:pPr>
    <w:rPr>
      <w:rFonts w:ascii="Tahoma" w:cs="Tahoma" w:hAnsi="Tahoma"/>
      <w:szCs w:val="16"/>
    </w:rPr>
  </w:style>
  <w:style w:type="character" w:styleId="BalloonTextChar" w:customStyle="1">
    <w:name w:val="Balloon Text Char"/>
    <w:basedOn w:val="DefaultParagraphFont"/>
    <w:link w:val="BalloonText"/>
    <w:uiPriority w:val="99"/>
    <w:semiHidden w:val="1"/>
    <w:rsid w:val="00A122DB"/>
    <w:rPr>
      <w:rFonts w:ascii="Tahoma" w:cs="Tahoma" w:hAnsi="Tahoma"/>
      <w:szCs w:val="16"/>
    </w:rPr>
  </w:style>
  <w:style w:type="paragraph" w:styleId="Bibliography">
    <w:name w:val="Bibliography"/>
    <w:basedOn w:val="Normal"/>
    <w:next w:val="Normal"/>
    <w:uiPriority w:val="39"/>
    <w:semiHidden w:val="1"/>
    <w:unhideWhenUsed w:val="1"/>
  </w:style>
  <w:style w:type="paragraph" w:styleId="BodyText3">
    <w:name w:val="Body Text 3"/>
    <w:basedOn w:val="Normal"/>
    <w:link w:val="BodyText3Char"/>
    <w:uiPriority w:val="99"/>
    <w:semiHidden w:val="1"/>
    <w:unhideWhenUsed w:val="1"/>
    <w:rsid w:val="00A122DB"/>
    <w:pPr>
      <w:spacing w:after="120"/>
    </w:pPr>
    <w:rPr>
      <w:szCs w:val="16"/>
    </w:rPr>
  </w:style>
  <w:style w:type="table" w:styleId="ReportTable" w:customStyle="1">
    <w:name w:val="Report Table"/>
    <w:basedOn w:val="TableNormal"/>
    <w:uiPriority w:val="99"/>
    <w:pPr>
      <w:spacing w:after="60" w:before="60" w:line="240" w:lineRule="auto"/>
      <w:jc w:val="center"/>
    </w:pPr>
    <w:tblPr>
      <w:tblBorders>
        <w:top w:color="3f251d" w:space="0" w:sz="4" w:themeColor="accent1" w:val="single"/>
        <w:left w:color="3f251d" w:space="0" w:sz="4" w:themeColor="accent1" w:val="single"/>
        <w:bottom w:color="3f251d" w:space="0" w:sz="4" w:themeColor="accent1" w:val="single"/>
        <w:right w:color="3f251d" w:space="0" w:sz="4" w:themeColor="accent1" w:val="single"/>
        <w:insideH w:color="3f251d" w:space="0" w:sz="4" w:themeColor="accent1" w:val="single"/>
        <w:insideV w:color="3f251d" w:space="0" w:sz="4" w:themeColor="accent1" w:val="single"/>
      </w:tblBorders>
    </w:tblPr>
    <w:tblStylePr w:type="firstRow">
      <w:rPr>
        <w:b w:val="1"/>
        <w:color w:val="000000" w:themeColor="text1"/>
      </w:rPr>
      <w:tblPr/>
      <w:tcPr>
        <w:tcBorders>
          <w:top w:space="0" w:sz="0" w:val="nil"/>
          <w:left w:space="0" w:sz="0" w:val="nil"/>
          <w:bottom w:space="0" w:sz="0" w:val="nil"/>
          <w:right w:space="0" w:sz="0" w:val="nil"/>
          <w:insideH w:space="0" w:sz="0" w:val="nil"/>
          <w:insideV w:space="0" w:sz="0" w:val="nil"/>
          <w:tl2br w:space="0" w:sz="0" w:val="nil"/>
          <w:tr2bl w:space="0" w:sz="0" w:val="nil"/>
        </w:tcBorders>
      </w:tcPr>
    </w:tblStylePr>
    <w:tblStylePr w:type="firstCol">
      <w:pPr>
        <w:wordWrap w:val="1"/>
        <w:jc w:val="left"/>
      </w:pPr>
    </w:tblStylePr>
  </w:style>
  <w:style w:type="table" w:styleId="TableGrid">
    <w:name w:val="Table Grid"/>
    <w:basedOn w:val="TableNormal"/>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1A2000"/>
    <w:pPr>
      <w:spacing w:after="0" w:line="240" w:lineRule="auto"/>
    </w:pPr>
  </w:style>
  <w:style w:type="character" w:styleId="HeaderChar" w:customStyle="1">
    <w:name w:val="Header Char"/>
    <w:basedOn w:val="DefaultParagraphFont"/>
    <w:link w:val="Header"/>
    <w:uiPriority w:val="99"/>
    <w:rsid w:val="001A2000"/>
  </w:style>
  <w:style w:type="character" w:styleId="BodyText3Char" w:customStyle="1">
    <w:name w:val="Body Text 3 Char"/>
    <w:basedOn w:val="DefaultParagraphFont"/>
    <w:link w:val="BodyText3"/>
    <w:uiPriority w:val="99"/>
    <w:semiHidden w:val="1"/>
    <w:rsid w:val="00A122DB"/>
    <w:rPr>
      <w:szCs w:val="16"/>
    </w:rPr>
  </w:style>
  <w:style w:type="character" w:styleId="CommentReference">
    <w:name w:val="annotation reference"/>
    <w:basedOn w:val="DefaultParagraphFont"/>
    <w:uiPriority w:val="99"/>
    <w:semiHidden w:val="1"/>
    <w:unhideWhenUsed w:val="1"/>
    <w:rsid w:val="00A122DB"/>
    <w:rPr>
      <w:sz w:val="22"/>
      <w:szCs w:val="16"/>
    </w:rPr>
  </w:style>
  <w:style w:type="paragraph" w:styleId="BodyTextIndent3">
    <w:name w:val="Body Text Indent 3"/>
    <w:basedOn w:val="Normal"/>
    <w:link w:val="BodyTextIndent3Char"/>
    <w:uiPriority w:val="99"/>
    <w:semiHidden w:val="1"/>
    <w:unhideWhenUsed w:val="1"/>
    <w:rsid w:val="00A122DB"/>
    <w:pPr>
      <w:spacing w:after="120"/>
      <w:ind w:left="360"/>
    </w:pPr>
    <w:rPr>
      <w:szCs w:val="16"/>
    </w:rPr>
  </w:style>
  <w:style w:type="character" w:styleId="BodyTextIndent3Char" w:customStyle="1">
    <w:name w:val="Body Text Indent 3 Char"/>
    <w:basedOn w:val="DefaultParagraphFont"/>
    <w:link w:val="BodyTextIndent3"/>
    <w:uiPriority w:val="99"/>
    <w:semiHidden w:val="1"/>
    <w:rsid w:val="00A122DB"/>
    <w:rPr>
      <w:szCs w:val="16"/>
    </w:rPr>
  </w:style>
  <w:style w:type="paragraph" w:styleId="CommentText">
    <w:name w:val="annotation text"/>
    <w:basedOn w:val="Normal"/>
    <w:link w:val="CommentTextChar"/>
    <w:uiPriority w:val="99"/>
    <w:semiHidden w:val="1"/>
    <w:unhideWhenUsed w:val="1"/>
    <w:rsid w:val="00A122DB"/>
    <w:pPr>
      <w:spacing w:line="240" w:lineRule="auto"/>
    </w:pPr>
    <w:rPr>
      <w:szCs w:val="20"/>
    </w:rPr>
  </w:style>
  <w:style w:type="character" w:styleId="CommentTextChar" w:customStyle="1">
    <w:name w:val="Comment Text Char"/>
    <w:basedOn w:val="DefaultParagraphFont"/>
    <w:link w:val="CommentText"/>
    <w:uiPriority w:val="99"/>
    <w:semiHidden w:val="1"/>
    <w:rsid w:val="00A122DB"/>
    <w:rPr>
      <w:szCs w:val="20"/>
    </w:rPr>
  </w:style>
  <w:style w:type="paragraph" w:styleId="CommentSubject">
    <w:name w:val="annotation subject"/>
    <w:basedOn w:val="CommentText"/>
    <w:next w:val="CommentText"/>
    <w:link w:val="CommentSubjectChar"/>
    <w:uiPriority w:val="99"/>
    <w:semiHidden w:val="1"/>
    <w:unhideWhenUsed w:val="1"/>
    <w:rsid w:val="00A122DB"/>
    <w:rPr>
      <w:b w:val="1"/>
      <w:bCs w:val="1"/>
    </w:rPr>
  </w:style>
  <w:style w:type="character" w:styleId="CommentSubjectChar" w:customStyle="1">
    <w:name w:val="Comment Subject Char"/>
    <w:basedOn w:val="CommentTextChar"/>
    <w:link w:val="CommentSubject"/>
    <w:uiPriority w:val="99"/>
    <w:semiHidden w:val="1"/>
    <w:rsid w:val="00A122DB"/>
    <w:rPr>
      <w:b w:val="1"/>
      <w:bCs w:val="1"/>
      <w:szCs w:val="20"/>
    </w:rPr>
  </w:style>
  <w:style w:type="paragraph" w:styleId="DocumentMap">
    <w:name w:val="Document Map"/>
    <w:basedOn w:val="Normal"/>
    <w:link w:val="DocumentMapChar"/>
    <w:uiPriority w:val="99"/>
    <w:semiHidden w:val="1"/>
    <w:unhideWhenUsed w:val="1"/>
    <w:rsid w:val="00A122DB"/>
    <w:pPr>
      <w:spacing w:after="0" w:line="240" w:lineRule="auto"/>
    </w:pPr>
    <w:rPr>
      <w:rFonts w:ascii="Segoe UI" w:cs="Segoe UI" w:hAnsi="Segoe UI"/>
      <w:szCs w:val="16"/>
    </w:rPr>
  </w:style>
  <w:style w:type="character" w:styleId="DocumentMapChar" w:customStyle="1">
    <w:name w:val="Document Map Char"/>
    <w:basedOn w:val="DefaultParagraphFont"/>
    <w:link w:val="DocumentMap"/>
    <w:uiPriority w:val="99"/>
    <w:semiHidden w:val="1"/>
    <w:rsid w:val="00A122DB"/>
    <w:rPr>
      <w:rFonts w:ascii="Segoe UI" w:cs="Segoe UI" w:hAnsi="Segoe UI"/>
      <w:szCs w:val="16"/>
    </w:rPr>
  </w:style>
  <w:style w:type="paragraph" w:styleId="EndnoteText">
    <w:name w:val="endnote text"/>
    <w:basedOn w:val="Normal"/>
    <w:link w:val="EndnoteTextChar"/>
    <w:uiPriority w:val="99"/>
    <w:semiHidden w:val="1"/>
    <w:unhideWhenUsed w:val="1"/>
    <w:rsid w:val="00A122DB"/>
    <w:pPr>
      <w:spacing w:after="0" w:line="240" w:lineRule="auto"/>
    </w:pPr>
    <w:rPr>
      <w:szCs w:val="20"/>
    </w:rPr>
  </w:style>
  <w:style w:type="character" w:styleId="EndnoteTextChar" w:customStyle="1">
    <w:name w:val="Endnote Text Char"/>
    <w:basedOn w:val="DefaultParagraphFont"/>
    <w:link w:val="EndnoteText"/>
    <w:uiPriority w:val="99"/>
    <w:semiHidden w:val="1"/>
    <w:rsid w:val="00A122DB"/>
    <w:rPr>
      <w:szCs w:val="20"/>
    </w:rPr>
  </w:style>
  <w:style w:type="paragraph" w:styleId="EnvelopeReturn">
    <w:name w:val="envelope return"/>
    <w:basedOn w:val="Normal"/>
    <w:uiPriority w:val="99"/>
    <w:semiHidden w:val="1"/>
    <w:unhideWhenUsed w:val="1"/>
    <w:rsid w:val="00A122DB"/>
    <w:pPr>
      <w:spacing w:after="0" w:line="240" w:lineRule="auto"/>
    </w:pPr>
    <w:rPr>
      <w:rFonts w:asciiTheme="majorHAnsi" w:cstheme="majorBidi" w:eastAsiaTheme="majorEastAsia" w:hAnsiTheme="majorHAnsi"/>
      <w:szCs w:val="20"/>
    </w:rPr>
  </w:style>
  <w:style w:type="paragraph" w:styleId="FootnoteText">
    <w:name w:val="footnote text"/>
    <w:basedOn w:val="Normal"/>
    <w:link w:val="FootnoteTextChar"/>
    <w:uiPriority w:val="99"/>
    <w:semiHidden w:val="1"/>
    <w:unhideWhenUsed w:val="1"/>
    <w:rsid w:val="00A122DB"/>
    <w:pPr>
      <w:spacing w:after="0" w:line="240" w:lineRule="auto"/>
    </w:pPr>
    <w:rPr>
      <w:szCs w:val="20"/>
    </w:rPr>
  </w:style>
  <w:style w:type="character" w:styleId="FootnoteTextChar" w:customStyle="1">
    <w:name w:val="Footnote Text Char"/>
    <w:basedOn w:val="DefaultParagraphFont"/>
    <w:link w:val="FootnoteText"/>
    <w:uiPriority w:val="99"/>
    <w:semiHidden w:val="1"/>
    <w:rsid w:val="00A122DB"/>
    <w:rPr>
      <w:szCs w:val="20"/>
    </w:rPr>
  </w:style>
  <w:style w:type="character" w:styleId="HTMLCode">
    <w:name w:val="HTML Code"/>
    <w:basedOn w:val="DefaultParagraphFont"/>
    <w:uiPriority w:val="99"/>
    <w:semiHidden w:val="1"/>
    <w:unhideWhenUsed w:val="1"/>
    <w:rsid w:val="00A122DB"/>
    <w:rPr>
      <w:rFonts w:ascii="Consolas" w:hAnsi="Consolas"/>
      <w:sz w:val="22"/>
      <w:szCs w:val="20"/>
    </w:rPr>
  </w:style>
  <w:style w:type="paragraph" w:styleId="HTMLPreformatted">
    <w:name w:val="HTML Preformatted"/>
    <w:basedOn w:val="Normal"/>
    <w:link w:val="HTMLPreformattedChar"/>
    <w:uiPriority w:val="99"/>
    <w:semiHidden w:val="1"/>
    <w:unhideWhenUsed w:val="1"/>
    <w:rsid w:val="00A122DB"/>
    <w:pPr>
      <w:spacing w:after="0" w:line="240" w:lineRule="auto"/>
    </w:pPr>
    <w:rPr>
      <w:rFonts w:ascii="Consolas" w:hAnsi="Consolas"/>
      <w:szCs w:val="20"/>
    </w:rPr>
  </w:style>
  <w:style w:type="character" w:styleId="HTMLPreformattedChar" w:customStyle="1">
    <w:name w:val="HTML Preformatted Char"/>
    <w:basedOn w:val="DefaultParagraphFont"/>
    <w:link w:val="HTMLPreformatted"/>
    <w:uiPriority w:val="99"/>
    <w:semiHidden w:val="1"/>
    <w:rsid w:val="00A122DB"/>
    <w:rPr>
      <w:rFonts w:ascii="Consolas" w:hAnsi="Consolas"/>
      <w:szCs w:val="20"/>
    </w:rPr>
  </w:style>
  <w:style w:type="character" w:styleId="HTMLKeyboard">
    <w:name w:val="HTML Keyboard"/>
    <w:basedOn w:val="DefaultParagraphFont"/>
    <w:uiPriority w:val="99"/>
    <w:semiHidden w:val="1"/>
    <w:unhideWhenUsed w:val="1"/>
    <w:rsid w:val="00A122DB"/>
    <w:rPr>
      <w:rFonts w:ascii="Consolas" w:hAnsi="Consolas"/>
      <w:sz w:val="22"/>
      <w:szCs w:val="20"/>
    </w:rPr>
  </w:style>
  <w:style w:type="character" w:styleId="HTMLTypewriter">
    <w:name w:val="HTML Typewriter"/>
    <w:basedOn w:val="DefaultParagraphFont"/>
    <w:uiPriority w:val="99"/>
    <w:semiHidden w:val="1"/>
    <w:unhideWhenUsed w:val="1"/>
    <w:rsid w:val="00A122DB"/>
    <w:rPr>
      <w:rFonts w:ascii="Consolas" w:hAnsi="Consolas"/>
      <w:sz w:val="22"/>
      <w:szCs w:val="20"/>
    </w:rPr>
  </w:style>
  <w:style w:type="paragraph" w:styleId="MacroText">
    <w:name w:val="macro"/>
    <w:link w:val="MacroTextChar"/>
    <w:uiPriority w:val="99"/>
    <w:semiHidden w:val="1"/>
    <w:unhideWhenUsed w:val="1"/>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val="1"/>
    <w:rsid w:val="00A122DB"/>
    <w:rPr>
      <w:rFonts w:ascii="Consolas" w:hAnsi="Consolas"/>
      <w:szCs w:val="20"/>
    </w:rPr>
  </w:style>
  <w:style w:type="paragraph" w:styleId="PlainText">
    <w:name w:val="Plain Text"/>
    <w:basedOn w:val="Normal"/>
    <w:link w:val="PlainTextChar"/>
    <w:uiPriority w:val="99"/>
    <w:semiHidden w:val="1"/>
    <w:unhideWhenUsed w:val="1"/>
    <w:rsid w:val="00A122DB"/>
    <w:pPr>
      <w:spacing w:after="0" w:line="240" w:lineRule="auto"/>
    </w:pPr>
    <w:rPr>
      <w:rFonts w:ascii="Consolas" w:hAnsi="Consolas"/>
      <w:szCs w:val="21"/>
    </w:rPr>
  </w:style>
  <w:style w:type="character" w:styleId="PlainTextChar" w:customStyle="1">
    <w:name w:val="Plain Text Char"/>
    <w:basedOn w:val="DefaultParagraphFont"/>
    <w:link w:val="PlainText"/>
    <w:uiPriority w:val="99"/>
    <w:semiHidden w:val="1"/>
    <w:rsid w:val="00A122DB"/>
    <w:rPr>
      <w:rFonts w:ascii="Consolas" w:hAnsi="Consolas"/>
      <w:szCs w:val="21"/>
    </w:rPr>
  </w:style>
  <w:style w:type="character" w:styleId="PlaceholderText">
    <w:name w:val="Placeholder Text"/>
    <w:basedOn w:val="DefaultParagraphFont"/>
    <w:uiPriority w:val="99"/>
    <w:semiHidden w:val="1"/>
    <w:rsid w:val="00A122DB"/>
    <w:rPr>
      <w:color w:val="595959" w:themeColor="text1" w:themeTint="0000A6"/>
    </w:rPr>
  </w:style>
  <w:style w:type="paragraph" w:styleId="ListParagraph">
    <w:name w:val="List Paragraph"/>
    <w:basedOn w:val="Normal"/>
    <w:uiPriority w:val="34"/>
    <w:qFormat w:val="1"/>
    <w:rsid w:val="00D215BB"/>
    <w:pPr>
      <w:ind w:left="720"/>
      <w:contextualSpacing w:val="1"/>
    </w:pPr>
  </w:style>
  <w:style w:type="character" w:styleId="Hyperlink">
    <w:name w:val="Hyperlink"/>
    <w:basedOn w:val="DefaultParagraphFont"/>
    <w:uiPriority w:val="99"/>
    <w:unhideWhenUsed w:val="1"/>
    <w:rsid w:val="007410BB"/>
    <w:rPr>
      <w:color w:val="993e21" w:themeColor="hyperlink"/>
      <w:u w:val="single"/>
    </w:rPr>
  </w:style>
  <w:style w:type="character" w:styleId="UnresolvedMention">
    <w:name w:val="Unresolved Mention"/>
    <w:basedOn w:val="DefaultParagraphFont"/>
    <w:uiPriority w:val="99"/>
    <w:semiHidden w:val="1"/>
    <w:unhideWhenUsed w:val="1"/>
    <w:rsid w:val="007410BB"/>
    <w:rPr>
      <w:color w:val="605e5c"/>
      <w:shd w:color="auto" w:fill="e1dfdd" w:val="clear"/>
    </w:rPr>
  </w:style>
  <w:style w:type="character" w:styleId="Heading4Char" w:customStyle="1">
    <w:name w:val="Heading 4 Char"/>
    <w:basedOn w:val="DefaultParagraphFont"/>
    <w:link w:val="Heading4"/>
    <w:uiPriority w:val="9"/>
    <w:semiHidden w:val="1"/>
    <w:rsid w:val="006D0A80"/>
    <w:rPr>
      <w:rFonts w:asciiTheme="majorHAnsi" w:cstheme="majorBidi" w:eastAsiaTheme="majorEastAsia" w:hAnsiTheme="majorHAnsi"/>
      <w:caps w:val="1"/>
    </w:rPr>
  </w:style>
  <w:style w:type="character" w:styleId="Heading7Char" w:customStyle="1">
    <w:name w:val="Heading 7 Char"/>
    <w:basedOn w:val="DefaultParagraphFont"/>
    <w:link w:val="Heading7"/>
    <w:uiPriority w:val="9"/>
    <w:semiHidden w:val="1"/>
    <w:rsid w:val="006D0A80"/>
    <w:rPr>
      <w:rFonts w:asciiTheme="majorHAnsi" w:cstheme="majorBidi" w:eastAsiaTheme="majorEastAsia" w:hAnsiTheme="majorHAnsi"/>
      <w:b w:val="1"/>
      <w:bCs w:val="1"/>
      <w:i w:val="1"/>
      <w:iCs w:val="1"/>
      <w:caps w:val="1"/>
      <w:color w:val="262626" w:themeColor="text1" w:themeTint="0000D9"/>
      <w:sz w:val="20"/>
      <w:szCs w:val="20"/>
    </w:rPr>
  </w:style>
  <w:style w:type="character" w:styleId="Strong">
    <w:name w:val="Strong"/>
    <w:basedOn w:val="DefaultParagraphFont"/>
    <w:uiPriority w:val="22"/>
    <w:qFormat w:val="1"/>
    <w:rsid w:val="006D0A80"/>
    <w:rPr>
      <w:b w:val="1"/>
      <w:bCs w:val="1"/>
    </w:rPr>
  </w:style>
  <w:style w:type="character" w:styleId="Emphasis">
    <w:name w:val="Emphasis"/>
    <w:basedOn w:val="DefaultParagraphFont"/>
    <w:uiPriority w:val="20"/>
    <w:qFormat w:val="1"/>
    <w:rsid w:val="006D0A80"/>
    <w:rPr>
      <w:i w:val="1"/>
      <w:iCs w:val="1"/>
    </w:rPr>
  </w:style>
  <w:style w:type="paragraph" w:styleId="NoSpacing">
    <w:name w:val="No Spacing"/>
    <w:uiPriority w:val="1"/>
    <w:qFormat w:val="1"/>
    <w:rsid w:val="006D0A80"/>
    <w:pPr>
      <w:spacing w:after="0" w:line="240" w:lineRule="auto"/>
    </w:pPr>
  </w:style>
  <w:style w:type="paragraph" w:styleId="Quote">
    <w:name w:val="Quote"/>
    <w:basedOn w:val="Normal"/>
    <w:next w:val="Normal"/>
    <w:link w:val="QuoteChar"/>
    <w:uiPriority w:val="29"/>
    <w:qFormat w:val="1"/>
    <w:rsid w:val="006D0A80"/>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6D0A80"/>
    <w:rPr>
      <w:rFont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val="1"/>
    <w:rsid w:val="006D0A80"/>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6D0A80"/>
    <w:rPr>
      <w:color w:val="404040" w:themeColor="text1" w:themeTint="0000BF"/>
      <w:sz w:val="32"/>
      <w:szCs w:val="32"/>
    </w:rPr>
  </w:style>
  <w:style w:type="character" w:styleId="SubtleEmphasis">
    <w:name w:val="Subtle Emphasis"/>
    <w:basedOn w:val="DefaultParagraphFont"/>
    <w:uiPriority w:val="19"/>
    <w:qFormat w:val="1"/>
    <w:rsid w:val="006D0A80"/>
    <w:rPr>
      <w:i w:val="1"/>
      <w:iCs w:val="1"/>
      <w:color w:val="595959" w:themeColor="text1" w:themeTint="0000A6"/>
    </w:rPr>
  </w:style>
  <w:style w:type="character" w:styleId="IntenseEmphasis">
    <w:name w:val="Intense Emphasis"/>
    <w:basedOn w:val="DefaultParagraphFont"/>
    <w:uiPriority w:val="21"/>
    <w:qFormat w:val="1"/>
    <w:rsid w:val="006D0A80"/>
    <w:rPr>
      <w:b w:val="1"/>
      <w:bCs w:val="1"/>
      <w:i w:val="1"/>
      <w:iCs w:val="1"/>
    </w:rPr>
  </w:style>
  <w:style w:type="character" w:styleId="SubtleReference">
    <w:name w:val="Subtle Reference"/>
    <w:basedOn w:val="DefaultParagraphFont"/>
    <w:uiPriority w:val="31"/>
    <w:qFormat w:val="1"/>
    <w:rsid w:val="006D0A80"/>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6D0A80"/>
    <w:rPr>
      <w:b w:val="1"/>
      <w:bCs w:val="1"/>
      <w:caps w:val="0"/>
      <w:smallCaps w:val="1"/>
      <w:color w:val="auto"/>
      <w:spacing w:val="3"/>
      <w:u w:val="single"/>
    </w:rPr>
  </w:style>
  <w:style w:type="character" w:styleId="BookTitle">
    <w:name w:val="Book Title"/>
    <w:basedOn w:val="DefaultParagraphFont"/>
    <w:uiPriority w:val="33"/>
    <w:qFormat w:val="1"/>
    <w:rsid w:val="006D0A80"/>
    <w:rPr>
      <w:b w:val="1"/>
      <w:bCs w:val="1"/>
      <w:smallCaps w:val="1"/>
      <w:spacing w:val="7"/>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onstantia-regular.ttf"/><Relationship Id="rId4" Type="http://schemas.openxmlformats.org/officeDocument/2006/relationships/font" Target="fonts/Constantia-bold.ttf"/><Relationship Id="rId5" Type="http://schemas.openxmlformats.org/officeDocument/2006/relationships/font" Target="fonts/Constantia-italic.ttf"/><Relationship Id="rId6" Type="http://schemas.openxmlformats.org/officeDocument/2006/relationships/font" Target="fonts/Constantia-boldItalic.ttf"/></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Figuo9+tt/lqgszW6sb6+JbCg==">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2021-11-06T09:20:00Z</dcterms:created>
  <dc:creator>harsh</dc:creator>
</cp:coreProperties>
</file>