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SYNCGUARD</w:t>
      </w:r>
    </w:p>
    <w:p>
      <w:pPr>
        <w:jc w:val="center"/>
      </w:pPr>
      <w:r>
        <w:rPr>
          <w:b/>
          <w:sz w:val="34"/>
        </w:rPr>
        <w:t>Finalized Project Specification</w:t>
      </w:r>
    </w:p>
    <w:p>
      <w:pPr>
        <w:jc w:val="center"/>
      </w:pPr>
      <w:r>
        <w:rPr>
          <w:i/>
          <w:sz w:val="21"/>
        </w:rPr>
        <w:t>Fault-tolerant financial synchronization between a legacy ERP and a modern project-management system</w:t>
      </w:r>
    </w:p>
    <w:tbl>
      <w:tblPr>
        <w:tblW w:type="auto" w:w="0"/>
        <w:jc w:val="center"/>
        <w:tblLook w:firstColumn="1" w:firstRow="1" w:lastColumn="0" w:lastRow="0" w:noHBand="0" w:noVBand="1" w:val="04A0"/>
      </w:tblPr>
      <w:tblGrid>
        <w:gridCol w:w="10282"/>
      </w:tblGrid>
      <w:tr>
        <w:tc>
          <w:tcPr>
            <w:tcW w:type="dxa" w:w="10282"/>
            <w:shd w:fill="EAF2F8"/>
          </w:tcPr>
          <w:p>
            <w:r>
              <w:rPr>
                <w:b/>
                <w:sz w:val="22"/>
              </w:rPr>
              <w:t>Project thesis</w:t>
              <w:br/>
            </w:r>
            <w:r>
              <w:t>SyncGuard proves that financial state can remain trustworthy when the source ERP has no webhooks or reliable change timestamps, workers crash, jobs are delivered more than once, external writes have uncertain outcomes, events arrive out of order, and users edit systems outside the normal sync path.</w:t>
            </w:r>
          </w:p>
        </w:tc>
      </w:tr>
    </w:tbl>
    <w:p>
      <w:pPr>
        <w:pStyle w:val="Heading1"/>
      </w:pPr>
      <w:r>
        <w:t>1. Executive Summary</w:t>
      </w:r>
    </w:p>
    <w:p>
      <w:r>
        <w:t>SyncGuard is a backend-first reliability project inspired by the integration problems found in construction software. It connects a deliberately awkward legacy ERP to a modern project-management (PM) system. The project is not a generic ETL pipeline, not a universal bidirectional sync platform, and not primarily an AI product. Its purpose is to demonstrate reliable financial synchronization under failure.</w:t>
      </w:r>
    </w:p>
    <w:p>
      <w:r>
        <w:t>Invoice is the deeply synchronized entity. Vendor is ERP-owned reference data. Job is PM reference/validation data and is not live-synchronized back into ERP. This deliberately avoids a second PM-side change detector and keeps the project focused on the harder legacy ERP-to-PM path.</w:t>
      </w:r>
    </w:p>
    <w:p>
      <w:pPr>
        <w:pStyle w:val="Heading1"/>
      </w:pPr>
      <w:r>
        <w:t>2. Problem Being Solved</w:t>
      </w:r>
    </w:p>
    <w:p>
      <w:pPr>
        <w:pStyle w:val="ListBullet"/>
        <w:spacing w:after="40"/>
      </w:pPr>
      <w:r>
        <w:t>Legacy ERPs may expose cryptic schemas, composite keys, database-style access, no webhooks, and no trustworthy updated_at field.</w:t>
      </w:r>
    </w:p>
    <w:p>
      <w:pPr>
        <w:pStyle w:val="ListBullet"/>
        <w:spacing w:after="40"/>
      </w:pPr>
      <w:r>
        <w:t>Modern PM systems use different IDs, field names, status vocabulary, pagination, and rate limits.</w:t>
      </w:r>
    </w:p>
    <w:p>
      <w:pPr>
        <w:pStyle w:val="ListBullet"/>
        <w:spacing w:after="40"/>
      </w:pPr>
      <w:r>
        <w:t>A timeout after an external write does not prove the write failed; the destination may already have committed it.</w:t>
      </w:r>
    </w:p>
    <w:p>
      <w:pPr>
        <w:pStyle w:val="ListBullet"/>
        <w:spacing w:after="40"/>
      </w:pPr>
      <w:r>
        <w:t>At-least-once job delivery and worker races can cause duplicate financial effects unless idempotency is enforced.</w:t>
      </w:r>
    </w:p>
    <w:p>
      <w:pPr>
        <w:pStyle w:val="ListBullet"/>
        <w:spacing w:after="40"/>
      </w:pPr>
      <w:r>
        <w:t>A worker can die after the destination commits but before SyncGuard records local completion.</w:t>
      </w:r>
    </w:p>
    <w:p>
      <w:pPr>
        <w:pStyle w:val="ListBullet"/>
        <w:spacing w:after="40"/>
      </w:pPr>
      <w:r>
        <w:t>A partial ERP poll must never be interpreted as mass deletion.</w:t>
      </w:r>
    </w:p>
    <w:p>
      <w:pPr>
        <w:pStyle w:val="ListBullet"/>
        <w:spacing w:after="40"/>
      </w:pPr>
      <w:r>
        <w:t>Out-of-order work must not overwrite newer state or resurrect a deleted record.</w:t>
      </w:r>
    </w:p>
    <w:p>
      <w:pPr>
        <w:pStyle w:val="ListBullet"/>
        <w:spacing w:after="40"/>
      </w:pPr>
      <w:r>
        <w:t>Reconciliation must distinguish real drift from temporary disagreement caused by an in-flight synchronization.</w:t>
      </w:r>
    </w:p>
    <w:p>
      <w:pPr>
        <w:pStyle w:val="ListBullet"/>
        <w:spacing w:after="40"/>
      </w:pPr>
      <w:r>
        <w:t>SyncGuard's own writes must not be reinterpreted as new business changes and create feedback loops.</w:t>
      </w:r>
    </w:p>
    <w:p>
      <w:pPr>
        <w:pStyle w:val="Heading1"/>
      </w:pPr>
      <w:r>
        <w:t>3. Final Scope and Entity Roles</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vAlign w:val="center"/>
            <w:shd w:fill="D9EAF7"/>
          </w:tcPr>
          <w:p>
            <w:pPr>
              <w:spacing w:after="0"/>
            </w:pPr>
            <w:r/>
            <w:r>
              <w:rPr>
                <w:rFonts w:ascii="Aptos" w:hAnsi="Aptos"/>
                <w:b/>
                <w:sz w:val="17"/>
              </w:rPr>
              <w:t>Entity</w:t>
            </w:r>
          </w:p>
        </w:tc>
        <w:tc>
          <w:tcPr>
            <w:tcW w:type="dxa" w:w="2570"/>
            <w:vAlign w:val="center"/>
            <w:shd w:fill="D9EAF7"/>
          </w:tcPr>
          <w:p>
            <w:pPr>
              <w:spacing w:after="0"/>
            </w:pPr>
            <w:r/>
            <w:r>
              <w:rPr>
                <w:rFonts w:ascii="Aptos" w:hAnsi="Aptos"/>
                <w:b/>
                <w:sz w:val="17"/>
              </w:rPr>
              <w:t>Role / authority</w:t>
            </w:r>
          </w:p>
        </w:tc>
        <w:tc>
          <w:tcPr>
            <w:tcW w:type="dxa" w:w="2570"/>
            <w:vAlign w:val="center"/>
            <w:shd w:fill="D9EAF7"/>
          </w:tcPr>
          <w:p>
            <w:pPr>
              <w:spacing w:after="0"/>
            </w:pPr>
            <w:r/>
            <w:r>
              <w:rPr>
                <w:rFonts w:ascii="Aptos" w:hAnsi="Aptos"/>
                <w:b/>
                <w:sz w:val="17"/>
              </w:rPr>
              <w:t>V1 flow</w:t>
            </w:r>
          </w:p>
        </w:tc>
        <w:tc>
          <w:tcPr>
            <w:tcW w:type="dxa" w:w="2570"/>
            <w:vAlign w:val="center"/>
            <w:shd w:fill="D9EAF7"/>
          </w:tcPr>
          <w:p>
            <w:pPr>
              <w:spacing w:after="0"/>
            </w:pPr>
            <w:r/>
            <w:r>
              <w:rPr>
                <w:rFonts w:ascii="Aptos" w:hAnsi="Aptos"/>
                <w:b/>
                <w:sz w:val="17"/>
              </w:rPr>
              <w:t>Purpose</w:t>
            </w:r>
          </w:p>
        </w:tc>
      </w:tr>
      <w:tr>
        <w:tc>
          <w:tcPr>
            <w:tcW w:type="dxa" w:w="2570"/>
            <w:vAlign w:val="center"/>
          </w:tcPr>
          <w:p>
            <w:pPr>
              <w:spacing w:after="0"/>
            </w:pPr>
            <w:r/>
            <w:r>
              <w:rPr>
                <w:rFonts w:ascii="Aptos" w:hAnsi="Aptos"/>
                <w:b/>
                <w:sz w:val="17"/>
              </w:rPr>
              <w:t>Invoice</w:t>
            </w:r>
          </w:p>
        </w:tc>
        <w:tc>
          <w:tcPr>
            <w:tcW w:type="dxa" w:w="2570"/>
            <w:vAlign w:val="center"/>
          </w:tcPr>
          <w:p>
            <w:pPr>
              <w:spacing w:after="0"/>
            </w:pPr>
            <w:r/>
            <w:r>
              <w:rPr>
                <w:rFonts w:ascii="Aptos" w:hAnsi="Aptos"/>
                <w:b w:val="0"/>
                <w:sz w:val="17"/>
              </w:rPr>
              <w:t>ERP authoritative after acceptance</w:t>
            </w:r>
          </w:p>
        </w:tc>
        <w:tc>
          <w:tcPr>
            <w:tcW w:type="dxa" w:w="2570"/>
            <w:vAlign w:val="center"/>
          </w:tcPr>
          <w:p>
            <w:pPr>
              <w:spacing w:after="0"/>
            </w:pPr>
            <w:r/>
            <w:r>
              <w:rPr>
                <w:rFonts w:ascii="Aptos" w:hAnsi="Aptos"/>
                <w:b w:val="0"/>
                <w:sz w:val="17"/>
              </w:rPr>
              <w:t>ERP -&gt; PM</w:t>
            </w:r>
          </w:p>
        </w:tc>
        <w:tc>
          <w:tcPr>
            <w:tcW w:type="dxa" w:w="2570"/>
            <w:vAlign w:val="center"/>
          </w:tcPr>
          <w:p>
            <w:pPr>
              <w:spacing w:after="0"/>
            </w:pPr>
            <w:r/>
            <w:r>
              <w:rPr>
                <w:rFonts w:ascii="Aptos" w:hAnsi="Aptos"/>
                <w:b w:val="0"/>
                <w:sz w:val="17"/>
              </w:rPr>
              <w:t>Primary synchronized financial entity; full create/update/delete lifecycle, idempotency, recovery, reconciliation, chaos testing.</w:t>
            </w:r>
          </w:p>
        </w:tc>
      </w:tr>
      <w:tr>
        <w:tc>
          <w:tcPr>
            <w:tcW w:type="dxa" w:w="2570"/>
            <w:vAlign w:val="center"/>
          </w:tcPr>
          <w:p>
            <w:pPr>
              <w:spacing w:after="0"/>
            </w:pPr>
            <w:r/>
            <w:r>
              <w:rPr>
                <w:rFonts w:ascii="Aptos" w:hAnsi="Aptos"/>
                <w:b/>
                <w:sz w:val="17"/>
              </w:rPr>
              <w:t>Vendor</w:t>
            </w:r>
          </w:p>
        </w:tc>
        <w:tc>
          <w:tcPr>
            <w:tcW w:type="dxa" w:w="2570"/>
            <w:vAlign w:val="center"/>
          </w:tcPr>
          <w:p>
            <w:pPr>
              <w:spacing w:after="0"/>
            </w:pPr>
            <w:r/>
            <w:r>
              <w:rPr>
                <w:rFonts w:ascii="Aptos" w:hAnsi="Aptos"/>
                <w:b w:val="0"/>
                <w:sz w:val="17"/>
              </w:rPr>
              <w:t>ERP authoritative reference data</w:t>
            </w:r>
          </w:p>
        </w:tc>
        <w:tc>
          <w:tcPr>
            <w:tcW w:type="dxa" w:w="2570"/>
            <w:vAlign w:val="center"/>
          </w:tcPr>
          <w:p>
            <w:pPr>
              <w:spacing w:after="0"/>
            </w:pPr>
            <w:r/>
            <w:r>
              <w:rPr>
                <w:rFonts w:ascii="Aptos" w:hAnsi="Aptos"/>
                <w:b w:val="0"/>
                <w:sz w:val="17"/>
              </w:rPr>
              <w:t>ERP -&gt; SyncGuard / PM as needed</w:t>
            </w:r>
          </w:p>
        </w:tc>
        <w:tc>
          <w:tcPr>
            <w:tcW w:type="dxa" w:w="2570"/>
            <w:vAlign w:val="center"/>
          </w:tcPr>
          <w:p>
            <w:pPr>
              <w:spacing w:after="0"/>
            </w:pPr>
            <w:r/>
            <w:r>
              <w:rPr>
                <w:rFonts w:ascii="Aptos" w:hAnsi="Aptos"/>
                <w:b w:val="0"/>
                <w:sz w:val="17"/>
              </w:rPr>
              <w:t>Proves normalization/reference handling and validates invoice vendor identity.</w:t>
            </w:r>
          </w:p>
        </w:tc>
      </w:tr>
      <w:tr>
        <w:tc>
          <w:tcPr>
            <w:tcW w:type="dxa" w:w="2570"/>
            <w:vAlign w:val="center"/>
          </w:tcPr>
          <w:p>
            <w:pPr>
              <w:spacing w:after="0"/>
            </w:pPr>
            <w:r/>
            <w:r>
              <w:rPr>
                <w:rFonts w:ascii="Aptos" w:hAnsi="Aptos"/>
                <w:b/>
                <w:sz w:val="17"/>
              </w:rPr>
              <w:t>Job / Project</w:t>
            </w:r>
          </w:p>
        </w:tc>
        <w:tc>
          <w:tcPr>
            <w:tcW w:type="dxa" w:w="2570"/>
            <w:vAlign w:val="center"/>
          </w:tcPr>
          <w:p>
            <w:pPr>
              <w:spacing w:after="0"/>
            </w:pPr>
            <w:r/>
            <w:r>
              <w:rPr>
                <w:rFonts w:ascii="Aptos" w:hAnsi="Aptos"/>
                <w:b w:val="0"/>
                <w:sz w:val="17"/>
              </w:rPr>
              <w:t>PM reference data</w:t>
            </w:r>
          </w:p>
        </w:tc>
        <w:tc>
          <w:tcPr>
            <w:tcW w:type="dxa" w:w="2570"/>
            <w:vAlign w:val="center"/>
          </w:tcPr>
          <w:p>
            <w:pPr>
              <w:spacing w:after="0"/>
            </w:pPr>
            <w:r/>
            <w:r>
              <w:rPr>
                <w:rFonts w:ascii="Aptos" w:hAnsi="Aptos"/>
                <w:b w:val="0"/>
                <w:sz w:val="17"/>
              </w:rPr>
              <w:t>PM -&gt; SyncGuard read/reference only</w:t>
            </w:r>
          </w:p>
        </w:tc>
        <w:tc>
          <w:tcPr>
            <w:tcW w:type="dxa" w:w="2570"/>
            <w:vAlign w:val="center"/>
          </w:tcPr>
          <w:p>
            <w:pPr>
              <w:spacing w:after="0"/>
            </w:pPr>
            <w:r/>
            <w:r>
              <w:rPr>
                <w:rFonts w:ascii="Aptos" w:hAnsi="Aptos"/>
                <w:b w:val="0"/>
                <w:sz w:val="17"/>
              </w:rPr>
              <w:t>Proves PM normalization and validates invoice job/project references; no live PM -&gt; ERP synchronization in V1.</w:t>
            </w:r>
          </w:p>
        </w:tc>
      </w:tr>
      <w:tr>
        <w:tc>
          <w:tcPr>
            <w:tcW w:type="dxa" w:w="2570"/>
            <w:vAlign w:val="center"/>
          </w:tcPr>
          <w:p>
            <w:pPr>
              <w:spacing w:after="0"/>
            </w:pPr>
            <w:r/>
            <w:r>
              <w:rPr>
                <w:rFonts w:ascii="Aptos" w:hAnsi="Aptos"/>
                <w:b/>
                <w:sz w:val="17"/>
              </w:rPr>
              <w:t>AI-created Invoice</w:t>
            </w:r>
          </w:p>
        </w:tc>
        <w:tc>
          <w:tcPr>
            <w:tcW w:type="dxa" w:w="2570"/>
            <w:vAlign w:val="center"/>
          </w:tcPr>
          <w:p>
            <w:pPr>
              <w:spacing w:after="0"/>
            </w:pPr>
            <w:r/>
            <w:r>
              <w:rPr>
                <w:rFonts w:ascii="Aptos" w:hAnsi="Aptos"/>
                <w:b w:val="0"/>
                <w:sz w:val="17"/>
              </w:rPr>
              <w:t>ERP authoritative once accepted</w:t>
            </w:r>
          </w:p>
        </w:tc>
        <w:tc>
          <w:tcPr>
            <w:tcW w:type="dxa" w:w="2570"/>
            <w:vAlign w:val="center"/>
          </w:tcPr>
          <w:p>
            <w:pPr>
              <w:spacing w:after="0"/>
            </w:pPr>
            <w:r/>
            <w:r>
              <w:rPr>
                <w:rFonts w:ascii="Aptos" w:hAnsi="Aptos"/>
                <w:b w:val="0"/>
                <w:sz w:val="17"/>
              </w:rPr>
              <w:t>AI extraction -&gt; deterministic validation -&gt; SyncGuard -&gt; ERP -&gt; normal ERP -&gt; PM</w:t>
            </w:r>
          </w:p>
        </w:tc>
        <w:tc>
          <w:tcPr>
            <w:tcW w:type="dxa" w:w="2570"/>
            <w:vAlign w:val="center"/>
          </w:tcPr>
          <w:p>
            <w:pPr>
              <w:spacing w:after="0"/>
            </w:pPr>
            <w:r/>
            <w:r>
              <w:rPr>
                <w:rFonts w:ascii="Aptos" w:hAnsi="Aptos"/>
                <w:b w:val="0"/>
                <w:sz w:val="17"/>
              </w:rPr>
              <w:t>Controlled ingress path demonstrating that unsafe AI output cannot bypass financial write rules.</w:t>
            </w:r>
          </w:p>
        </w:tc>
      </w:tr>
      <w:tr>
        <w:tc>
          <w:tcPr>
            <w:tcW w:type="dxa" w:w="2570"/>
            <w:vAlign w:val="center"/>
          </w:tcPr>
          <w:p>
            <w:pPr>
              <w:spacing w:after="0"/>
            </w:pPr>
            <w:r/>
            <w:r>
              <w:rPr>
                <w:rFonts w:ascii="Aptos" w:hAnsi="Aptos"/>
                <w:b/>
                <w:sz w:val="17"/>
              </w:rPr>
              <w:t>Purchase Order</w:t>
            </w:r>
          </w:p>
        </w:tc>
        <w:tc>
          <w:tcPr>
            <w:tcW w:type="dxa" w:w="2570"/>
            <w:vAlign w:val="center"/>
          </w:tcPr>
          <w:p>
            <w:pPr>
              <w:spacing w:after="0"/>
            </w:pPr>
            <w:r/>
            <w:r>
              <w:rPr>
                <w:rFonts w:ascii="Aptos" w:hAnsi="Aptos"/>
                <w:b w:val="0"/>
                <w:sz w:val="17"/>
              </w:rPr>
              <w:t>Stretch only; ERP-owned if added</w:t>
            </w:r>
          </w:p>
        </w:tc>
        <w:tc>
          <w:tcPr>
            <w:tcW w:type="dxa" w:w="2570"/>
            <w:vAlign w:val="center"/>
          </w:tcPr>
          <w:p>
            <w:pPr>
              <w:spacing w:after="0"/>
            </w:pPr>
            <w:r/>
            <w:r>
              <w:rPr>
                <w:rFonts w:ascii="Aptos" w:hAnsi="Aptos"/>
                <w:b w:val="0"/>
                <w:sz w:val="17"/>
              </w:rPr>
              <w:t>ERP reference / optional ERP -&gt; PM</w:t>
            </w:r>
          </w:p>
        </w:tc>
        <w:tc>
          <w:tcPr>
            <w:tcW w:type="dxa" w:w="2570"/>
            <w:vAlign w:val="center"/>
          </w:tcPr>
          <w:p>
            <w:pPr>
              <w:spacing w:after="0"/>
            </w:pPr>
            <w:r/>
            <w:r>
              <w:rPr>
                <w:rFonts w:ascii="Aptos" w:hAnsi="Aptos"/>
                <w:b w:val="0"/>
                <w:sz w:val="17"/>
              </w:rPr>
              <w:t>Optional invoice-validation depth; never allowed to delay the core system.</w:t>
            </w:r>
          </w:p>
        </w:tc>
      </w:tr>
    </w:tbl>
    <w:p>
      <w:r>
        <w:t>V1 is therefore a robust legacy-financial replication pipeline with a controlled invoice-ingress path, not a generic multi-master synchronization engine.</w:t>
      </w:r>
    </w:p>
    <w:p>
      <w:pPr>
        <w:pStyle w:val="Heading1"/>
      </w:pPr>
      <w:r>
        <w:t>4. External System Simulators</w:t>
      </w:r>
    </w:p>
    <w:p>
      <w:pPr>
        <w:pStyle w:val="Heading2"/>
      </w:pPr>
      <w:r>
        <w:t>4.1 Legacy ERP simulator</w:t>
      </w:r>
    </w:p>
    <w:p>
      <w:pPr>
        <w:pStyle w:val="ListBullet"/>
        <w:spacing w:after="40"/>
      </w:pPr>
      <w:r>
        <w:t>SQLite or PostgreSQL-based legacy database with intentionally cryptic tables/columns and composite source identifiers.</w:t>
      </w:r>
    </w:p>
    <w:p>
      <w:pPr>
        <w:pStyle w:val="ListBullet"/>
        <w:spacing w:after="40"/>
      </w:pPr>
      <w:r>
        <w:t>No webhooks and no dependable created_at/updated_at timestamps.</w:t>
      </w:r>
    </w:p>
    <w:p>
      <w:pPr>
        <w:pStyle w:val="ListBullet"/>
        <w:spacing w:after="40"/>
      </w:pPr>
      <w:r>
        <w:t>Supports a database-consistent read boundary for full snapshots.</w:t>
      </w:r>
    </w:p>
    <w:p>
      <w:pPr>
        <w:pStyle w:val="ListBullet"/>
        <w:spacing w:after="40"/>
      </w:pPr>
      <w:r>
        <w:t>Invoice has a realistic database-level business uniqueness constraint such as company + vendor + invoice number.</w:t>
      </w:r>
    </w:p>
    <w:p>
      <w:pPr>
        <w:pStyle w:val="ListBullet"/>
        <w:spacing w:after="40"/>
      </w:pPr>
      <w:r>
        <w:t>Supports controlled latency, partial-read failures, dropped responses, and other test faults.</w:t>
      </w:r>
    </w:p>
    <w:p>
      <w:pPr>
        <w:pStyle w:val="ListBullet"/>
        <w:spacing w:after="40"/>
      </w:pPr>
      <w:r>
        <w:t>Does not require a custom SyncGuard operation-ID column, because a real legacy ERP may not be modifiable.</w:t>
      </w:r>
    </w:p>
    <w:p>
      <w:pPr>
        <w:pStyle w:val="Heading2"/>
      </w:pPr>
      <w:r>
        <w:t>4.2 Modern PM simulator</w:t>
      </w:r>
    </w:p>
    <w:p>
      <w:pPr>
        <w:pStyle w:val="ListBullet"/>
        <w:spacing w:after="40"/>
      </w:pPr>
      <w:r>
        <w:t>REST-style API with modern IDs, descriptive fields, cursor pagination, timestamps, and rate limiting.</w:t>
      </w:r>
    </w:p>
    <w:p>
      <w:pPr>
        <w:pStyle w:val="ListBullet"/>
        <w:spacing w:after="40"/>
      </w:pPr>
      <w:r>
        <w:t>Different shapes/status vocabulary from the ERP.</w:t>
      </w:r>
    </w:p>
    <w:p>
      <w:pPr>
        <w:pStyle w:val="ListBullet"/>
        <w:spacing w:after="40"/>
      </w:pPr>
      <w:r>
        <w:t>Can store and query a SyncGuard operation_id/external reference on destination records.</w:t>
      </w:r>
    </w:p>
    <w:p>
      <w:pPr>
        <w:pStyle w:val="ListBullet"/>
        <w:spacing w:after="40"/>
      </w:pPr>
      <w:r>
        <w:t>Provides Job reference data for invoice validation.</w:t>
      </w:r>
    </w:p>
    <w:p>
      <w:pPr>
        <w:pStyle w:val="ListBullet"/>
        <w:spacing w:after="40"/>
      </w:pPr>
      <w:r>
        <w:t>Supports controlled timeouts, response loss, transient failures, and direct edits for drift tests.</w:t>
      </w:r>
    </w:p>
    <w:p>
      <w:pPr>
        <w:pStyle w:val="Heading1"/>
      </w:pPr>
      <w:r>
        <w:t>5. Unified Model and Adapters</w:t>
      </w:r>
    </w:p>
    <w:p>
      <w:r>
        <w:t>Each external system has a thin adapter that converts native representations into a small normalized model. The synchronization engine operates on normalized Vendor, Job, and Invoice records rather than ERP column names or PM-specific JSON.</w:t>
      </w:r>
    </w:p>
    <w:p>
      <w:pPr>
        <w:pStyle w:val="ListBullet"/>
        <w:spacing w:after="40"/>
      </w:pPr>
      <w:r>
        <w:t>Equivalent logical reads from both systems should normalize to equivalent state.</w:t>
      </w:r>
    </w:p>
    <w:p>
      <w:pPr>
        <w:pStyle w:val="ListBullet"/>
        <w:spacing w:after="40"/>
      </w:pPr>
      <w:r>
        <w:t>Invoice synchronization jobs carry the full desired normalized record, not only a field-level diff.</w:t>
      </w:r>
    </w:p>
    <w:p>
      <w:pPr>
        <w:pStyle w:val="ListBullet"/>
        <w:spacing w:after="40"/>
      </w:pPr>
      <w:r>
        <w:t>Full-state jobs make stale-version rejection safe: accepting version 43 does not depend on later applying a delayed version 42.</w:t>
      </w:r>
    </w:p>
    <w:p>
      <w:pPr>
        <w:pStyle w:val="ListBullet"/>
        <w:spacing w:after="40"/>
      </w:pPr>
      <w:r>
        <w:t>No universal query language is required.</w:t>
      </w:r>
    </w:p>
    <w:p>
      <w:pPr>
        <w:pStyle w:val="Heading1"/>
      </w:pPr>
      <w:r>
        <w:t>6. Durable Sync State Store</w:t>
      </w:r>
    </w:p>
    <w:p>
      <w:r>
        <w:t>Postgres is the durable control plane for the project. It stores the state required to reason about correctness across failures.</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pPr>
              <w:spacing w:after="0"/>
            </w:pPr>
            <w:r/>
            <w:r>
              <w:rPr>
                <w:rFonts w:ascii="Aptos" w:hAnsi="Aptos"/>
                <w:b/>
                <w:sz w:val="17"/>
              </w:rPr>
              <w:t>State category</w:t>
            </w:r>
          </w:p>
        </w:tc>
        <w:tc>
          <w:tcPr>
            <w:tcW w:type="dxa" w:w="5141"/>
            <w:vAlign w:val="center"/>
            <w:shd w:fill="D9EAF7"/>
          </w:tcPr>
          <w:p>
            <w:pPr>
              <w:spacing w:after="0"/>
            </w:pPr>
            <w:r/>
            <w:r>
              <w:rPr>
                <w:rFonts w:ascii="Aptos" w:hAnsi="Aptos"/>
                <w:b/>
                <w:sz w:val="17"/>
              </w:rPr>
              <w:t>Required information</w:t>
            </w:r>
          </w:p>
        </w:tc>
      </w:tr>
      <w:tr>
        <w:tc>
          <w:tcPr>
            <w:tcW w:type="dxa" w:w="5141"/>
            <w:vAlign w:val="center"/>
          </w:tcPr>
          <w:p>
            <w:pPr>
              <w:spacing w:after="0"/>
            </w:pPr>
            <w:r/>
            <w:r>
              <w:rPr>
                <w:rFonts w:ascii="Aptos" w:hAnsi="Aptos"/>
                <w:b/>
                <w:sz w:val="17"/>
              </w:rPr>
              <w:t>Identity mapping</w:t>
            </w:r>
          </w:p>
        </w:tc>
        <w:tc>
          <w:tcPr>
            <w:tcW w:type="dxa" w:w="5141"/>
            <w:vAlign w:val="center"/>
          </w:tcPr>
          <w:p>
            <w:pPr>
              <w:spacing w:after="0"/>
            </w:pPr>
            <w:r/>
            <w:r>
              <w:rPr>
                <w:rFonts w:ascii="Aptos" w:hAnsi="Aptos"/>
                <w:b w:val="0"/>
                <w:sz w:val="17"/>
              </w:rPr>
              <w:t>Logical normalized record ID, ERP composite identity, PM identity, and relevant business key.</w:t>
            </w:r>
          </w:p>
        </w:tc>
      </w:tr>
      <w:tr>
        <w:tc>
          <w:tcPr>
            <w:tcW w:type="dxa" w:w="5141"/>
            <w:vAlign w:val="center"/>
          </w:tcPr>
          <w:p>
            <w:pPr>
              <w:spacing w:after="0"/>
            </w:pPr>
            <w:r/>
            <w:r>
              <w:rPr>
                <w:rFonts w:ascii="Aptos" w:hAnsi="Aptos"/>
                <w:b/>
                <w:sz w:val="17"/>
              </w:rPr>
              <w:t>Observed state</w:t>
            </w:r>
          </w:p>
        </w:tc>
        <w:tc>
          <w:tcPr>
            <w:tcW w:type="dxa" w:w="5141"/>
            <w:vAlign w:val="center"/>
          </w:tcPr>
          <w:p>
            <w:pPr>
              <w:spacing w:after="0"/>
            </w:pPr>
            <w:r/>
            <w:r>
              <w:rPr>
                <w:rFonts w:ascii="Aptos" w:hAnsi="Aptos"/>
                <w:b w:val="0"/>
                <w:sz w:val="17"/>
              </w:rPr>
              <w:t>Last-seen canonical fingerprint/hash, latest observed full normalized state, and SyncGuard observation version.</w:t>
            </w:r>
          </w:p>
        </w:tc>
      </w:tr>
      <w:tr>
        <w:tc>
          <w:tcPr>
            <w:tcW w:type="dxa" w:w="5141"/>
            <w:vAlign w:val="center"/>
          </w:tcPr>
          <w:p>
            <w:pPr>
              <w:spacing w:after="0"/>
            </w:pPr>
            <w:r/>
            <w:r>
              <w:rPr>
                <w:rFonts w:ascii="Aptos" w:hAnsi="Aptos"/>
                <w:b/>
                <w:sz w:val="17"/>
              </w:rPr>
              <w:t>Applied state</w:t>
            </w:r>
          </w:p>
        </w:tc>
        <w:tc>
          <w:tcPr>
            <w:tcW w:type="dxa" w:w="5141"/>
            <w:vAlign w:val="center"/>
          </w:tcPr>
          <w:p>
            <w:pPr>
              <w:spacing w:after="0"/>
            </w:pPr>
            <w:r/>
            <w:r>
              <w:rPr>
                <w:rFonts w:ascii="Aptos" w:hAnsi="Aptos"/>
                <w:b w:val="0"/>
                <w:sz w:val="17"/>
              </w:rPr>
              <w:t>Last successfully applied version/fingerprint at the replica.</w:t>
            </w:r>
          </w:p>
        </w:tc>
      </w:tr>
      <w:tr>
        <w:tc>
          <w:tcPr>
            <w:tcW w:type="dxa" w:w="5141"/>
            <w:vAlign w:val="center"/>
          </w:tcPr>
          <w:p>
            <w:pPr>
              <w:spacing w:after="0"/>
            </w:pPr>
            <w:r/>
            <w:r>
              <w:rPr>
                <w:rFonts w:ascii="Aptos" w:hAnsi="Aptos"/>
                <w:b/>
                <w:sz w:val="17"/>
              </w:rPr>
              <w:t>Tombstone</w:t>
            </w:r>
          </w:p>
        </w:tc>
        <w:tc>
          <w:tcPr>
            <w:tcW w:type="dxa" w:w="5141"/>
            <w:vAlign w:val="center"/>
          </w:tcPr>
          <w:p>
            <w:pPr>
              <w:spacing w:after="0"/>
            </w:pPr>
            <w:r/>
            <w:r>
              <w:rPr>
                <w:rFonts w:ascii="Aptos" w:hAnsi="Aptos"/>
                <w:b w:val="0"/>
                <w:sz w:val="17"/>
              </w:rPr>
              <w:t>Latest delete version for a record so delayed older updates cannot resurrect it.</w:t>
            </w:r>
          </w:p>
        </w:tc>
      </w:tr>
      <w:tr>
        <w:tc>
          <w:tcPr>
            <w:tcW w:type="dxa" w:w="5141"/>
            <w:vAlign w:val="center"/>
          </w:tcPr>
          <w:p>
            <w:pPr>
              <w:spacing w:after="0"/>
            </w:pPr>
            <w:r/>
            <w:r>
              <w:rPr>
                <w:rFonts w:ascii="Aptos" w:hAnsi="Aptos"/>
                <w:b/>
                <w:sz w:val="17"/>
              </w:rPr>
              <w:t>Operation ledger</w:t>
            </w:r>
          </w:p>
        </w:tc>
        <w:tc>
          <w:tcPr>
            <w:tcW w:type="dxa" w:w="5141"/>
            <w:vAlign w:val="center"/>
          </w:tcPr>
          <w:p>
            <w:pPr>
              <w:spacing w:after="0"/>
            </w:pPr>
            <w:r/>
            <w:r>
              <w:rPr>
                <w:rFonts w:ascii="Aptos" w:hAnsi="Aptos"/>
                <w:b w:val="0"/>
                <w:sz w:val="17"/>
              </w:rPr>
              <w:t>Stable operation_id, logical entity/action, source/destination, expected fingerprint/state, status, attempts, destination reference, verification outcome, timestamps.</w:t>
            </w:r>
          </w:p>
        </w:tc>
      </w:tr>
      <w:tr>
        <w:tc>
          <w:tcPr>
            <w:tcW w:type="dxa" w:w="5141"/>
            <w:vAlign w:val="center"/>
          </w:tcPr>
          <w:p>
            <w:pPr>
              <w:spacing w:after="0"/>
            </w:pPr>
            <w:r/>
            <w:r>
              <w:rPr>
                <w:rFonts w:ascii="Aptos" w:hAnsi="Aptos"/>
                <w:b/>
                <w:sz w:val="17"/>
              </w:rPr>
              <w:t>Snapshot state</w:t>
            </w:r>
          </w:p>
        </w:tc>
        <w:tc>
          <w:tcPr>
            <w:tcW w:type="dxa" w:w="5141"/>
            <w:vAlign w:val="center"/>
          </w:tcPr>
          <w:p>
            <w:pPr>
              <w:spacing w:after="0"/>
            </w:pPr>
            <w:r/>
            <w:r>
              <w:rPr>
                <w:rFonts w:ascii="Aptos" w:hAnsi="Aptos"/>
                <w:b w:val="0"/>
                <w:sz w:val="17"/>
              </w:rPr>
              <w:t>Snapshot ID, IN_PROGRESS/COMPLETE/FAILED status, membership/fingerprints, start/completion information, previous complete snapshot reference.</w:t>
            </w:r>
          </w:p>
        </w:tc>
      </w:tr>
      <w:tr>
        <w:tc>
          <w:tcPr>
            <w:tcW w:type="dxa" w:w="5141"/>
            <w:vAlign w:val="center"/>
          </w:tcPr>
          <w:p>
            <w:pPr>
              <w:spacing w:after="0"/>
            </w:pPr>
            <w:r/>
            <w:r>
              <w:rPr>
                <w:rFonts w:ascii="Aptos" w:hAnsi="Aptos"/>
                <w:b/>
                <w:sz w:val="17"/>
              </w:rPr>
              <w:t>Jobs</w:t>
            </w:r>
          </w:p>
        </w:tc>
        <w:tc>
          <w:tcPr>
            <w:tcW w:type="dxa" w:w="5141"/>
            <w:vAlign w:val="center"/>
          </w:tcPr>
          <w:p>
            <w:pPr>
              <w:spacing w:after="0"/>
            </w:pPr>
            <w:r/>
            <w:r>
              <w:rPr>
                <w:rFonts w:ascii="Aptos" w:hAnsi="Aptos"/>
                <w:b w:val="0"/>
                <w:sz w:val="17"/>
              </w:rPr>
              <w:t>Pending/claimed/retrying/succeeded/failed work, claim/lease information, payload version and full normalized desired state.</w:t>
            </w:r>
          </w:p>
        </w:tc>
      </w:tr>
      <w:tr>
        <w:tc>
          <w:tcPr>
            <w:tcW w:type="dxa" w:w="5141"/>
            <w:vAlign w:val="center"/>
          </w:tcPr>
          <w:p>
            <w:pPr>
              <w:spacing w:after="0"/>
            </w:pPr>
            <w:r/>
            <w:r>
              <w:rPr>
                <w:rFonts w:ascii="Aptos" w:hAnsi="Aptos"/>
                <w:b/>
                <w:sz w:val="17"/>
              </w:rPr>
              <w:t>Audit events</w:t>
            </w:r>
          </w:p>
        </w:tc>
        <w:tc>
          <w:tcPr>
            <w:tcW w:type="dxa" w:w="5141"/>
            <w:vAlign w:val="center"/>
          </w:tcPr>
          <w:p>
            <w:pPr>
              <w:spacing w:after="0"/>
            </w:pPr>
            <w:r/>
            <w:r>
              <w:rPr>
                <w:rFonts w:ascii="Aptos" w:hAnsi="Aptos"/>
                <w:b w:val="0"/>
                <w:sz w:val="17"/>
              </w:rPr>
              <w:t>Human-readable lifecycle events for detection, write, retry, verification, suppression, drift, repair, and failure.</w:t>
            </w:r>
          </w:p>
        </w:tc>
      </w:tr>
    </w:tbl>
    <w:p>
      <w:pPr>
        <w:pStyle w:val="Heading1"/>
      </w:pPr>
      <w:r>
        <w:t>7. Queue, Concurrency, and Database Backstops</w:t>
      </w:r>
    </w:p>
    <w:p>
      <w:r>
        <w:t>V1 uses a Postgres-backed job queue. Workers claim available rows transactionally using row-level locking with skip-locked semantics or an equivalent Postgres pattern.</w:t>
      </w:r>
    </w:p>
    <w:p>
      <w:pPr>
        <w:pStyle w:val="Heading2"/>
      </w:pPr>
      <w:r>
        <w:t>7.1 Logical operation uniqueness</w:t>
      </w:r>
    </w:p>
    <w:p>
      <w:r>
        <w:t>The operation ledger enforces UNIQUE(operation_id). Workers processing duplicate deliveries resolve the same logical operation rather than creating independent write attempts.</w:t>
      </w:r>
    </w:p>
    <w:p>
      <w:pPr>
        <w:pStyle w:val="Heading2"/>
      </w:pPr>
      <w:r>
        <w:t>7.2 Queue ownership</w:t>
      </w:r>
    </w:p>
    <w:p>
      <w:r>
        <w:t>The queue row claim prevents ordinary simultaneous ownership of one queued item. A short configurable claim/lease timeout makes crash-recovery tests complete in seconds rather than minutes.</w:t>
      </w:r>
    </w:p>
    <w:p>
      <w:pPr>
        <w:pStyle w:val="Heading2"/>
      </w:pPr>
      <w:r>
        <w:t>7.3 Financial/business uniqueness</w:t>
      </w:r>
    </w:p>
    <w:p>
      <w:r>
        <w:t>The ERP simulator also enforces a unique invoice business key, such as company + vendor + invoice number. This is a second line of defense when the legacy destination cannot store SyncGuard's operation_id.</w:t>
      </w:r>
    </w:p>
    <w:p>
      <w:r>
        <w:t>The operation constraint protects SyncGuard's logical operation identity; the ERP business constraint protects the financial identity. They are intentionally separate safeguards.</w:t>
      </w:r>
    </w:p>
    <w:p>
      <w:pPr>
        <w:pStyle w:val="Heading1"/>
      </w:pPr>
      <w:r>
        <w:t>8. Legacy ERP Change Detection</w:t>
      </w:r>
    </w:p>
    <w:p>
      <w:pPr>
        <w:pStyle w:val="Heading2"/>
      </w:pPr>
      <w:r>
        <w:t>8.1 Concrete definition of a COMPLETE snapshot</w:t>
      </w:r>
    </w:p>
    <w:p>
      <w:pPr>
        <w:pStyle w:val="ListNumber"/>
        <w:spacing w:after="40"/>
      </w:pPr>
      <w:r>
        <w:t>Create a snapshot row with status IN_PROGRESS.</w:t>
      </w:r>
    </w:p>
    <w:p>
      <w:pPr>
        <w:pStyle w:val="ListNumber"/>
        <w:spacing w:after="40"/>
      </w:pPr>
      <w:r>
        <w:t>Open a database-consistent view of the eligible ERP dataset.</w:t>
      </w:r>
    </w:p>
    <w:p>
      <w:pPr>
        <w:pStyle w:val="ListNumber"/>
        <w:spacing w:after="40"/>
      </w:pPr>
      <w:r>
        <w:t>Read and normalize every eligible record from that same consistent view.</w:t>
      </w:r>
    </w:p>
    <w:p>
      <w:pPr>
        <w:pStyle w:val="ListNumber"/>
        <w:spacing w:after="40"/>
      </w:pPr>
      <w:r>
        <w:t>Record snapshot membership and canonical fingerprints.</w:t>
      </w:r>
    </w:p>
    <w:p>
      <w:pPr>
        <w:pStyle w:val="ListNumber"/>
        <w:spacing w:after="40"/>
      </w:pPr>
      <w:r>
        <w:t>If the entire required read succeeds, atomically mark the snapshot COMPLETE.</w:t>
      </w:r>
    </w:p>
    <w:p>
      <w:pPr>
        <w:pStyle w:val="ListNumber"/>
        <w:spacing w:after="40"/>
      </w:pPr>
      <w:r>
        <w:t>Only a COMPLETE snapshot may be compared with the previous COMPLETE snapshot to derive create/update/delete observations.</w:t>
      </w:r>
    </w:p>
    <w:p>
      <w:pPr>
        <w:pStyle w:val="ListNumber"/>
        <w:spacing w:after="40"/>
      </w:pPr>
      <w:r>
        <w:t>If any required read step fails, mark the snapshot FAILED. A FAILED or IN_PROGRESS snapshot is never eligible to infer deletion.</w:t>
      </w:r>
    </w:p>
    <w:p>
      <w:pPr>
        <w:pStyle w:val="Heading2"/>
      </w:pPr>
      <w:r>
        <w:t>8.2 Derived changes</w:t>
      </w:r>
    </w:p>
    <w:p>
      <w:pPr>
        <w:pStyle w:val="ListBullet"/>
        <w:spacing w:after="40"/>
      </w:pPr>
      <w:r>
        <w:t>Create: record exists in the new COMPLETE snapshot but not the previous COMPLETE snapshot.</w:t>
      </w:r>
    </w:p>
    <w:p>
      <w:pPr>
        <w:pStyle w:val="ListBullet"/>
        <w:spacing w:after="40"/>
      </w:pPr>
      <w:r>
        <w:t>Update: record exists in both but its canonical normalized fingerprint changed.</w:t>
      </w:r>
    </w:p>
    <w:p>
      <w:pPr>
        <w:pStyle w:val="ListBullet"/>
        <w:spacing w:after="40"/>
      </w:pPr>
      <w:r>
        <w:t>Delete: record existed in the previous COMPLETE snapshot but is absent from the new COMPLETE snapshot.</w:t>
      </w:r>
    </w:p>
    <w:p>
      <w:pPr>
        <w:pStyle w:val="ListBullet"/>
        <w:spacing w:after="40"/>
      </w:pPr>
      <w:r>
        <w:t>Unchanged: normalized fingerprint is identical.</w:t>
      </w:r>
    </w:p>
    <w:p>
      <w:pPr>
        <w:pStyle w:val="Heading2"/>
      </w:pPr>
      <w:r>
        <w:t>8.3 Snapshot retention and scale boundary</w:t>
      </w:r>
    </w:p>
    <w:p>
      <w:r>
        <w:t>V1 retains the most recent 5 COMPLETE snapshots plus any snapshot explicitly retained for an active test/debug run. Older snapshot membership can be purged according to retention policy.</w:t>
      </w:r>
    </w:p>
    <w:p>
      <w:r>
        <w:t>A full snapshot is intentionally O(n) per poll. This is acceptable for the bounded simulator because the project is proving correctness against a source with no change metadata. At production scale, likely evolution paths include database CDC/change tables where available, trustworthy incremental keys/timestamps, partition or hash-range fingerprints, hierarchical hashing, and targeted reconciliation.</w:t>
      </w:r>
    </w:p>
    <w:p>
      <w:pPr>
        <w:pStyle w:val="Heading1"/>
      </w:pPr>
      <w:r>
        <w:t>9. Full-State Versions, Stale Work, and Tombstones</w:t>
      </w:r>
    </w:p>
    <w:p>
      <w:r>
        <w:t>SyncGuard assigns a monotonically increasing observation version/sequence to normalized Invoice changes. Each job contains the complete desired normalized state for that version.</w:t>
      </w:r>
    </w:p>
    <w:p>
      <w:pPr>
        <w:pStyle w:val="ListBullet"/>
        <w:spacing w:after="40"/>
      </w:pPr>
      <w:r>
        <w:t>If v43 is applied and delayed v41/v42 later arrive, they are rejected as stale.</w:t>
      </w:r>
    </w:p>
    <w:p>
      <w:pPr>
        <w:pStyle w:val="ListBullet"/>
        <w:spacing w:after="40"/>
      </w:pPr>
      <w:r>
        <w:t>A delete creates a tombstone carrying its version instead of simply forgetting the record.</w:t>
      </w:r>
    </w:p>
    <w:p>
      <w:pPr>
        <w:pStyle w:val="ListBullet"/>
        <w:spacing w:after="40"/>
      </w:pPr>
      <w:r>
        <w:t>If delete v44 is applied and delayed update v43 later arrives, the tombstone's version causes v43 to be rejected; the invoice is not resurrected.</w:t>
      </w:r>
    </w:p>
    <w:p>
      <w:pPr>
        <w:pStyle w:val="ListBullet"/>
        <w:spacing w:after="40"/>
      </w:pPr>
      <w:r>
        <w:t>This is deliberately simpler than vector clocks or generalized distributed conflict resolution.</w:t>
      </w:r>
    </w:p>
    <w:p>
      <w:pPr>
        <w:pStyle w:val="Heading1"/>
      </w:pPr>
      <w:r>
        <w:t>10. Idempotent Safe Writes and Uncertain-Write Verification</w:t>
      </w:r>
    </w:p>
    <w:p>
      <w:r>
        <w:t>The queue provides at-least-once processing. SyncGuard does not claim exactly-once message delivery. The guarantee is an idempotent financial effect: repeated or concurrent processing of one logical operation produces the same intended financial outcome as processing it once.</w:t>
      </w:r>
    </w:p>
    <w:p>
      <w:pPr>
        <w:pStyle w:val="ListNumber"/>
        <w:spacing w:after="40"/>
      </w:pPr>
      <w:r>
        <w:t>Create or resolve the stable operation_id before the external side effect.</w:t>
      </w:r>
    </w:p>
    <w:p>
      <w:pPr>
        <w:pStyle w:val="ListNumber"/>
        <w:spacing w:after="40"/>
      </w:pPr>
      <w:r>
        <w:t>Record the expected normalized state/fingerprint and destination in the operation ledger.</w:t>
      </w:r>
    </w:p>
    <w:p>
      <w:pPr>
        <w:pStyle w:val="ListNumber"/>
        <w:spacing w:after="40"/>
      </w:pPr>
      <w:r>
        <w:t>Attempt the destination write.</w:t>
      </w:r>
    </w:p>
    <w:p>
      <w:pPr>
        <w:pStyle w:val="ListNumber"/>
        <w:spacing w:after="40"/>
      </w:pPr>
      <w:r>
        <w:t>When supported, persist operation_id as an external reference on the destination record.</w:t>
      </w:r>
    </w:p>
    <w:p>
      <w:pPr>
        <w:pStyle w:val="ListNumber"/>
        <w:spacing w:after="40"/>
      </w:pPr>
      <w:r>
        <w:t>If the response is successful, verify/record destination identity and mark local completion.</w:t>
      </w:r>
    </w:p>
    <w:p>
      <w:pPr>
        <w:pStyle w:val="ListNumber"/>
        <w:spacing w:after="40"/>
      </w:pPr>
      <w:r>
        <w:t>If the outcome is uncertain because of timeout, response loss, or worker death, do not blindly repeat the create.</w:t>
      </w:r>
    </w:p>
    <w:p>
      <w:pPr>
        <w:pStyle w:val="ListNumber"/>
        <w:spacing w:after="40"/>
      </w:pPr>
      <w:r>
        <w:t>On recovery, first query the destination by operation_id/external reference. For a legacy system that cannot store it, use the durable identity mapping/business key plus expected fingerprint.</w:t>
      </w:r>
    </w:p>
    <w:p>
      <w:pPr>
        <w:pStyle w:val="ListNumber"/>
        <w:spacing w:after="40"/>
      </w:pPr>
      <w:r>
        <w:t>If the intended state already exists, complete the existing operation without another financial effect. If it does not, retry according to policy.</w:t>
      </w:r>
    </w:p>
    <w:p>
      <w:pPr>
        <w:pStyle w:val="Heading1"/>
      </w:pPr>
      <w:r>
        <w:t>11. Echo-Loop Prevention</w:t>
      </w:r>
    </w:p>
    <w:p>
      <w:r>
        <w:t>Because V1 does not live-sync Job back to ERP, broad bidirectional loop risk is intentionally reduced. SyncGuard still needs to recognize observations caused by its own writes, especially the controlled AI -&gt; ERP ingress and subsequent normal ERP -&gt; PM propagation.</w:t>
      </w:r>
    </w:p>
    <w:p>
      <w:pPr>
        <w:pStyle w:val="ListBullet"/>
        <w:spacing w:after="40"/>
      </w:pPr>
      <w:r>
        <w:t>Every SyncGuard-originated write is associated with operation_id, destination identity, and expected normalized fingerprint.</w:t>
      </w:r>
    </w:p>
    <w:p>
      <w:pPr>
        <w:pStyle w:val="ListBullet"/>
        <w:spacing w:after="40"/>
      </w:pPr>
      <w:r>
        <w:t>An observed destination state is correlated against the operation ledger and known expected state.</w:t>
      </w:r>
    </w:p>
    <w:p>
      <w:pPr>
        <w:pStyle w:val="ListBullet"/>
        <w:spacing w:after="40"/>
      </w:pPr>
      <w:r>
        <w:t>A state that exactly matches a known SyncGuard operation is treated as acknowledgement/confirmation, not a new reverse business change.</w:t>
      </w:r>
    </w:p>
    <w:p>
      <w:pPr>
        <w:pStyle w:val="ListBullet"/>
        <w:spacing w:after="40"/>
      </w:pPr>
      <w:r>
        <w:t>A later state that differs from what SyncGuard wrote is treated as a genuine external edit and can be surfaced through reconciliation or the applicable authoritative flow.</w:t>
      </w:r>
    </w:p>
    <w:p>
      <w:pPr>
        <w:pStyle w:val="ListBullet"/>
        <w:spacing w:after="40"/>
      </w:pPr>
      <w:r>
        <w:t>The AI-created invoice is not accidentally suppressed: once accepted into ERP, ERP becomes authoritative and the normal ERP -&gt; PM invoice path is allowed to propagate it once.</w:t>
      </w:r>
    </w:p>
    <w:p>
      <w:pPr>
        <w:pStyle w:val="Heading1"/>
      </w:pPr>
      <w:r>
        <w:t>12. Failure Recovery and Deterministic Fault Hooks</w:t>
      </w:r>
    </w:p>
    <w:p>
      <w:pPr>
        <w:pStyle w:val="ListBullet"/>
        <w:spacing w:after="40"/>
      </w:pPr>
      <w:r>
        <w:t>Transient failures receive bounded retries/backoff.</w:t>
      </w:r>
    </w:p>
    <w:p>
      <w:pPr>
        <w:pStyle w:val="ListBullet"/>
        <w:spacing w:after="40"/>
      </w:pPr>
      <w:r>
        <w:t>Failed work remains durable and visible rather than disappearing.</w:t>
      </w:r>
    </w:p>
    <w:p>
      <w:pPr>
        <w:pStyle w:val="ListBullet"/>
        <w:spacing w:after="40"/>
      </w:pPr>
      <w:r>
        <w:t>A crashed worker's claimed job becomes reclaimable after the short configurable lease/claim timeout.</w:t>
      </w:r>
    </w:p>
    <w:p>
      <w:pPr>
        <w:pStyle w:val="ListBullet"/>
        <w:spacing w:after="40"/>
      </w:pPr>
      <w:r>
        <w:t>Recovery verifies uncertain external side effects before attempting them again.</w:t>
      </w:r>
    </w:p>
    <w:p>
      <w:pPr>
        <w:pStyle w:val="ListBullet"/>
        <w:spacing w:after="40"/>
      </w:pPr>
      <w:r>
        <w:t>Terminal failures remain visible/replayable.</w:t>
      </w:r>
    </w:p>
    <w:p>
      <w:pPr>
        <w:pStyle w:val="Heading2"/>
      </w:pPr>
      <w:r>
        <w:t>12.1 Named deterministic fault points</w:t>
      </w:r>
    </w:p>
    <w:p>
      <w:pPr>
        <w:pStyle w:val="ListBullet"/>
        <w:spacing w:after="40"/>
      </w:pPr>
      <w:r>
        <w:t>BEFORE_EXTERNAL_WRITE.</w:t>
      </w:r>
    </w:p>
    <w:p>
      <w:pPr>
        <w:pStyle w:val="ListBullet"/>
        <w:spacing w:after="40"/>
      </w:pPr>
      <w:r>
        <w:t>AFTER_EXTERNAL_WRITE_BEFORE_LOCAL_COMPLETION - the highest-priority failure window.</w:t>
      </w:r>
    </w:p>
    <w:p>
      <w:pPr>
        <w:pStyle w:val="ListBullet"/>
        <w:spacing w:after="40"/>
      </w:pPr>
      <w:r>
        <w:t>DURING_SNAPSHOT.</w:t>
      </w:r>
    </w:p>
    <w:p>
      <w:pPr>
        <w:pStyle w:val="ListBullet"/>
        <w:spacing w:after="40"/>
      </w:pPr>
      <w:r>
        <w:t>AFTER_SNAPSHOT_BEFORE_DERIVED_CHANGE_COMMIT.</w:t>
      </w:r>
    </w:p>
    <w:p>
      <w:pPr>
        <w:pStyle w:val="ListBullet"/>
        <w:spacing w:after="40"/>
      </w:pPr>
      <w:r>
        <w:t>DURING_RECONCILIATION.</w:t>
      </w:r>
    </w:p>
    <w:p>
      <w:r>
        <w:t>For local testing, the worker runs as a separately restartable process/container. The harness activates a named fault hook; when the worker reaches that boundary it terminates abruptly. The harness restarts the worker after the configured claim timeout and verifies recovery. The exact implementation can use a hard process exit in the test environment, but the product requirement is the named, reproducible failure boundary.</w:t>
      </w:r>
    </w:p>
    <w:p>
      <w:pPr>
        <w:pStyle w:val="Heading1"/>
      </w:pPr>
      <w:r>
        <w:t>13. Reconciliation and Drift</w:t>
      </w:r>
    </w:p>
    <w:p>
      <w:r>
        <w:t>Normal synchronization proves that known work was processed. Reconciliation independently checks whether actual normalized state is consistent.</w:t>
      </w:r>
    </w:p>
    <w:p>
      <w:pPr>
        <w:pStyle w:val="ListNumber"/>
        <w:spacing w:after="40"/>
      </w:pPr>
      <w:r>
        <w:t>Read authoritative ERP Invoice state and PM replica state through their adapters.</w:t>
      </w:r>
    </w:p>
    <w:p>
      <w:pPr>
        <w:pStyle w:val="ListNumber"/>
        <w:spacing w:after="40"/>
      </w:pPr>
      <w:r>
        <w:t>Normalize and match records through identity mapping.</w:t>
      </w:r>
    </w:p>
    <w:p>
      <w:pPr>
        <w:pStyle w:val="ListNumber"/>
        <w:spacing w:after="40"/>
      </w:pPr>
      <w:r>
        <w:t>Before declaring drift, check for a pending or retrying operation for that logical record.</w:t>
      </w:r>
    </w:p>
    <w:p>
      <w:pPr>
        <w:pStyle w:val="ListNumber"/>
        <w:spacing w:after="40"/>
      </w:pPr>
      <w:r>
        <w:t>If an operation is actively converging the record, skip/defer drift classification for that run.</w:t>
      </w:r>
    </w:p>
    <w:p>
      <w:pPr>
        <w:pStyle w:val="ListNumber"/>
        <w:spacing w:after="40"/>
      </w:pPr>
      <w:r>
        <w:t>If no active operation exists and normalized state differs, report drift.</w:t>
      </w:r>
    </w:p>
    <w:p>
      <w:pPr>
        <w:pStyle w:val="ListNumber"/>
        <w:spacing w:after="40"/>
      </w:pPr>
      <w:r>
        <w:t>Optionally allow one controlled V1 repair: repair the PM Invoice from authoritative ERP state.</w:t>
      </w:r>
    </w:p>
    <w:p>
      <w:r>
        <w:t>This prevents false drift during legitimate in-flight synchronization while still detecting a direct PM edit made behind SyncGuard's back.</w:t>
      </w:r>
    </w:p>
    <w:p>
      <w:pPr>
        <w:pStyle w:val="Heading1"/>
      </w:pPr>
      <w:r>
        <w:t>14. Seeded Chaos Harness</w:t>
      </w:r>
    </w:p>
    <w:p>
      <w:r>
        <w:t>Random chaos runs are reproducible. Every run records a seed, configuration, failure sequence, operation counts, and final invariant results. Re-running the same seed should reproduce the same injected failure pattern.</w:t>
      </w:r>
    </w:p>
    <w:p>
      <w:pPr>
        <w:pStyle w:val="ListBullet"/>
        <w:spacing w:after="40"/>
      </w:pPr>
      <w:r>
        <w:t>Network timeout or dropped response.</w:t>
      </w:r>
    </w:p>
    <w:p>
      <w:pPr>
        <w:pStyle w:val="ListBullet"/>
        <w:spacing w:after="40"/>
      </w:pPr>
      <w:r>
        <w:t>Transient upstream failure.</w:t>
      </w:r>
    </w:p>
    <w:p>
      <w:pPr>
        <w:pStyle w:val="ListBullet"/>
        <w:spacing w:after="40"/>
      </w:pPr>
      <w:r>
        <w:t>Duplicate job delivery.</w:t>
      </w:r>
    </w:p>
    <w:p>
      <w:pPr>
        <w:pStyle w:val="ListBullet"/>
        <w:spacing w:after="40"/>
      </w:pPr>
      <w:r>
        <w:t>Concurrent duplicate processing attempt.</w:t>
      </w:r>
    </w:p>
    <w:p>
      <w:pPr>
        <w:pStyle w:val="ListBullet"/>
        <w:spacing w:after="40"/>
      </w:pPr>
      <w:r>
        <w:t>Out-of-order delivery.</w:t>
      </w:r>
    </w:p>
    <w:p>
      <w:pPr>
        <w:pStyle w:val="ListBullet"/>
        <w:spacing w:after="40"/>
      </w:pPr>
      <w:r>
        <w:t>Worker crash at named deterministic hooks.</w:t>
      </w:r>
    </w:p>
    <w:p>
      <w:pPr>
        <w:pStyle w:val="ListBullet"/>
        <w:spacing w:after="40"/>
      </w:pPr>
      <w:r>
        <w:t>Incomplete legacy snapshot.</w:t>
      </w:r>
    </w:p>
    <w:p>
      <w:pPr>
        <w:pStyle w:val="ListBullet"/>
        <w:spacing w:after="40"/>
      </w:pPr>
      <w:r>
        <w:t>Optional PM rate limiting.</w:t>
      </w:r>
    </w:p>
    <w:p>
      <w:r>
        <w:t>Randomized chaos complements rather than replaces deterministic fault tests. Critical windows, especially external commit followed by local worker death, are always tested directly.</w:t>
      </w:r>
    </w:p>
    <w:p>
      <w:pPr>
        <w:pStyle w:val="Heading1"/>
      </w:pPr>
      <w:r>
        <w:t>15. Final Correctness Invariants</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pPr>
              <w:spacing w:after="0"/>
            </w:pPr>
            <w:r/>
            <w:r>
              <w:rPr>
                <w:rFonts w:ascii="Aptos" w:hAnsi="Aptos"/>
                <w:b/>
                <w:sz w:val="17"/>
              </w:rPr>
              <w:t>Invariant</w:t>
            </w:r>
          </w:p>
        </w:tc>
        <w:tc>
          <w:tcPr>
            <w:tcW w:type="dxa" w:w="5141"/>
            <w:vAlign w:val="center"/>
            <w:shd w:fill="D9EAF7"/>
          </w:tcPr>
          <w:p>
            <w:pPr>
              <w:spacing w:after="0"/>
            </w:pPr>
            <w:r/>
            <w:r>
              <w:rPr>
                <w:rFonts w:ascii="Aptos" w:hAnsi="Aptos"/>
                <w:b/>
                <w:sz w:val="17"/>
              </w:rPr>
              <w:t>Required behavior</w:t>
            </w:r>
          </w:p>
        </w:tc>
      </w:tr>
      <w:tr>
        <w:tc>
          <w:tcPr>
            <w:tcW w:type="dxa" w:w="5141"/>
            <w:vAlign w:val="center"/>
          </w:tcPr>
          <w:p>
            <w:pPr>
              <w:spacing w:after="0"/>
            </w:pPr>
            <w:r/>
            <w:r>
              <w:rPr>
                <w:rFonts w:ascii="Aptos" w:hAnsi="Aptos"/>
                <w:b/>
                <w:sz w:val="17"/>
              </w:rPr>
              <w:t>1. Idempotent financial effect</w:t>
            </w:r>
          </w:p>
        </w:tc>
        <w:tc>
          <w:tcPr>
            <w:tcW w:type="dxa" w:w="5141"/>
            <w:vAlign w:val="center"/>
          </w:tcPr>
          <w:p>
            <w:pPr>
              <w:spacing w:after="0"/>
            </w:pPr>
            <w:r/>
            <w:r>
              <w:rPr>
                <w:rFonts w:ascii="Aptos" w:hAnsi="Aptos"/>
                <w:b w:val="0"/>
                <w:sz w:val="17"/>
              </w:rPr>
              <w:t>Repeated or concurrent processing of one logical operation results in one intended financial outcome.</w:t>
            </w:r>
          </w:p>
        </w:tc>
      </w:tr>
      <w:tr>
        <w:tc>
          <w:tcPr>
            <w:tcW w:type="dxa" w:w="5141"/>
            <w:vAlign w:val="center"/>
          </w:tcPr>
          <w:p>
            <w:pPr>
              <w:spacing w:after="0"/>
            </w:pPr>
            <w:r/>
            <w:r>
              <w:rPr>
                <w:rFonts w:ascii="Aptos" w:hAnsi="Aptos"/>
                <w:b/>
                <w:sz w:val="17"/>
              </w:rPr>
              <w:t>2. No silent loss</w:t>
            </w:r>
          </w:p>
        </w:tc>
        <w:tc>
          <w:tcPr>
            <w:tcW w:type="dxa" w:w="5141"/>
            <w:vAlign w:val="center"/>
          </w:tcPr>
          <w:p>
            <w:pPr>
              <w:spacing w:after="0"/>
            </w:pPr>
            <w:r/>
            <w:r>
              <w:rPr>
                <w:rFonts w:ascii="Aptos" w:hAnsi="Aptos"/>
                <w:b w:val="0"/>
                <w:sz w:val="17"/>
              </w:rPr>
              <w:t>Every accepted operation ends in success or remains visibly failed/retriable; accepted work never silently disappears.</w:t>
            </w:r>
          </w:p>
        </w:tc>
      </w:tr>
      <w:tr>
        <w:tc>
          <w:tcPr>
            <w:tcW w:type="dxa" w:w="5141"/>
            <w:vAlign w:val="center"/>
          </w:tcPr>
          <w:p>
            <w:pPr>
              <w:spacing w:after="0"/>
            </w:pPr>
            <w:r/>
            <w:r>
              <w:rPr>
                <w:rFonts w:ascii="Aptos" w:hAnsi="Aptos"/>
                <w:b/>
                <w:sz w:val="17"/>
              </w:rPr>
              <w:t>3. Monotonic record state</w:t>
            </w:r>
          </w:p>
        </w:tc>
        <w:tc>
          <w:tcPr>
            <w:tcW w:type="dxa" w:w="5141"/>
            <w:vAlign w:val="center"/>
          </w:tcPr>
          <w:p>
            <w:pPr>
              <w:spacing w:after="0"/>
            </w:pPr>
            <w:r/>
            <w:r>
              <w:rPr>
                <w:rFonts w:ascii="Aptos" w:hAnsi="Aptos"/>
                <w:b w:val="0"/>
                <w:sz w:val="17"/>
              </w:rPr>
              <w:t>An older version cannot overwrite or resurrect state established by a newer version; delete tombstones participate in version ordering.</w:t>
            </w:r>
          </w:p>
        </w:tc>
      </w:tr>
      <w:tr>
        <w:tc>
          <w:tcPr>
            <w:tcW w:type="dxa" w:w="5141"/>
            <w:vAlign w:val="center"/>
          </w:tcPr>
          <w:p>
            <w:pPr>
              <w:spacing w:after="0"/>
            </w:pPr>
            <w:r/>
            <w:r>
              <w:rPr>
                <w:rFonts w:ascii="Aptos" w:hAnsi="Aptos"/>
                <w:b/>
                <w:sz w:val="17"/>
              </w:rPr>
              <w:t>4. Safe observation</w:t>
            </w:r>
          </w:p>
        </w:tc>
        <w:tc>
          <w:tcPr>
            <w:tcW w:type="dxa" w:w="5141"/>
            <w:vAlign w:val="center"/>
          </w:tcPr>
          <w:p>
            <w:pPr>
              <w:spacing w:after="0"/>
            </w:pPr>
            <w:r/>
            <w:r>
              <w:rPr>
                <w:rFonts w:ascii="Aptos" w:hAnsi="Aptos"/>
                <w:b w:val="0"/>
                <w:sz w:val="17"/>
              </w:rPr>
              <w:t>Incomplete ERP observations cannot create destructive conclusions such as false deletes.</w:t>
            </w:r>
          </w:p>
        </w:tc>
      </w:tr>
      <w:tr>
        <w:tc>
          <w:tcPr>
            <w:tcW w:type="dxa" w:w="5141"/>
            <w:vAlign w:val="center"/>
          </w:tcPr>
          <w:p>
            <w:pPr>
              <w:spacing w:after="0"/>
            </w:pPr>
            <w:r/>
            <w:r>
              <w:rPr>
                <w:rFonts w:ascii="Aptos" w:hAnsi="Aptos"/>
                <w:b/>
                <w:sz w:val="17"/>
              </w:rPr>
              <w:t>5. Observable convergence</w:t>
            </w:r>
          </w:p>
        </w:tc>
        <w:tc>
          <w:tcPr>
            <w:tcW w:type="dxa" w:w="5141"/>
            <w:vAlign w:val="center"/>
          </w:tcPr>
          <w:p>
            <w:pPr>
              <w:spacing w:after="0"/>
            </w:pPr>
            <w:r/>
            <w:r>
              <w:rPr>
                <w:rFonts w:ascii="Aptos" w:hAnsi="Aptos"/>
                <w:b w:val="0"/>
                <w:sz w:val="17"/>
              </w:rPr>
              <w:t>When no operation is actively converging a record, reconciliation detects disagreement between authoritative ERP state and PM replica state; recoverable work or explicit repair can restore convergence.</w:t>
            </w:r>
          </w:p>
        </w:tc>
      </w:tr>
    </w:tbl>
    <w:p>
      <w:pPr>
        <w:pStyle w:val="Heading1"/>
      </w:pPr>
      <w:r>
        <w:t>16. Final Acceptance Test Matrix</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pPr>
              <w:spacing w:after="0"/>
            </w:pPr>
            <w:r/>
            <w:r>
              <w:rPr>
                <w:rFonts w:ascii="Aptos" w:hAnsi="Aptos"/>
                <w:b/>
                <w:sz w:val="17"/>
              </w:rPr>
              <w:t>Scenario</w:t>
            </w:r>
          </w:p>
        </w:tc>
        <w:tc>
          <w:tcPr>
            <w:tcW w:type="dxa" w:w="5141"/>
            <w:vAlign w:val="center"/>
            <w:shd w:fill="D9EAF7"/>
          </w:tcPr>
          <w:p>
            <w:pPr>
              <w:spacing w:after="0"/>
            </w:pPr>
            <w:r/>
            <w:r>
              <w:rPr>
                <w:rFonts w:ascii="Aptos" w:hAnsi="Aptos"/>
                <w:b/>
                <w:sz w:val="17"/>
              </w:rPr>
              <w:t>Pass condition</w:t>
            </w:r>
          </w:p>
        </w:tc>
      </w:tr>
      <w:tr>
        <w:tc>
          <w:tcPr>
            <w:tcW w:type="dxa" w:w="5141"/>
            <w:vAlign w:val="center"/>
          </w:tcPr>
          <w:p>
            <w:pPr>
              <w:spacing w:after="0"/>
            </w:pPr>
            <w:r/>
            <w:r>
              <w:rPr>
                <w:rFonts w:ascii="Aptos" w:hAnsi="Aptos"/>
                <w:b/>
                <w:sz w:val="17"/>
              </w:rPr>
              <w:t>Unified normalization</w:t>
            </w:r>
          </w:p>
        </w:tc>
        <w:tc>
          <w:tcPr>
            <w:tcW w:type="dxa" w:w="5141"/>
            <w:vAlign w:val="center"/>
          </w:tcPr>
          <w:p>
            <w:pPr>
              <w:spacing w:after="0"/>
            </w:pPr>
            <w:r/>
            <w:r>
              <w:rPr>
                <w:rFonts w:ascii="Aptos" w:hAnsi="Aptos"/>
                <w:b w:val="0"/>
                <w:sz w:val="17"/>
              </w:rPr>
              <w:t>Equivalent logical records from ERP/PM normalize to equivalent supported state.</w:t>
            </w:r>
          </w:p>
        </w:tc>
      </w:tr>
      <w:tr>
        <w:tc>
          <w:tcPr>
            <w:tcW w:type="dxa" w:w="5141"/>
            <w:vAlign w:val="center"/>
          </w:tcPr>
          <w:p>
            <w:pPr>
              <w:spacing w:after="0"/>
            </w:pPr>
            <w:r/>
            <w:r>
              <w:rPr>
                <w:rFonts w:ascii="Aptos" w:hAnsi="Aptos"/>
                <w:b/>
                <w:sz w:val="17"/>
              </w:rPr>
              <w:t>ERP create</w:t>
            </w:r>
          </w:p>
        </w:tc>
        <w:tc>
          <w:tcPr>
            <w:tcW w:type="dxa" w:w="5141"/>
            <w:vAlign w:val="center"/>
          </w:tcPr>
          <w:p>
            <w:pPr>
              <w:spacing w:after="0"/>
            </w:pPr>
            <w:r/>
            <w:r>
              <w:rPr>
                <w:rFonts w:ascii="Aptos" w:hAnsi="Aptos"/>
                <w:b w:val="0"/>
                <w:sz w:val="17"/>
              </w:rPr>
              <w:t>New ERP invoice is detected from a COMPLETE snapshot and appears in PM.</w:t>
            </w:r>
          </w:p>
        </w:tc>
      </w:tr>
      <w:tr>
        <w:tc>
          <w:tcPr>
            <w:tcW w:type="dxa" w:w="5141"/>
            <w:vAlign w:val="center"/>
          </w:tcPr>
          <w:p>
            <w:pPr>
              <w:spacing w:after="0"/>
            </w:pPr>
            <w:r/>
            <w:r>
              <w:rPr>
                <w:rFonts w:ascii="Aptos" w:hAnsi="Aptos"/>
                <w:b/>
                <w:sz w:val="17"/>
              </w:rPr>
              <w:t>ERP update</w:t>
            </w:r>
          </w:p>
        </w:tc>
        <w:tc>
          <w:tcPr>
            <w:tcW w:type="dxa" w:w="5141"/>
            <w:vAlign w:val="center"/>
          </w:tcPr>
          <w:p>
            <w:pPr>
              <w:spacing w:after="0"/>
            </w:pPr>
            <w:r/>
            <w:r>
              <w:rPr>
                <w:rFonts w:ascii="Aptos" w:hAnsi="Aptos"/>
                <w:b w:val="0"/>
                <w:sz w:val="17"/>
              </w:rPr>
              <w:t>Changed ERP invoice produces the latest full-state version and PM converges.</w:t>
            </w:r>
          </w:p>
        </w:tc>
      </w:tr>
      <w:tr>
        <w:tc>
          <w:tcPr>
            <w:tcW w:type="dxa" w:w="5141"/>
            <w:vAlign w:val="center"/>
          </w:tcPr>
          <w:p>
            <w:pPr>
              <w:spacing w:after="0"/>
            </w:pPr>
            <w:r/>
            <w:r>
              <w:rPr>
                <w:rFonts w:ascii="Aptos" w:hAnsi="Aptos"/>
                <w:b/>
                <w:sz w:val="17"/>
              </w:rPr>
              <w:t>ERP delete</w:t>
            </w:r>
          </w:p>
        </w:tc>
        <w:tc>
          <w:tcPr>
            <w:tcW w:type="dxa" w:w="5141"/>
            <w:vAlign w:val="center"/>
          </w:tcPr>
          <w:p>
            <w:pPr>
              <w:spacing w:after="0"/>
            </w:pPr>
            <w:r/>
            <w:r>
              <w:rPr>
                <w:rFonts w:ascii="Aptos" w:hAnsi="Aptos"/>
                <w:b w:val="0"/>
                <w:sz w:val="17"/>
              </w:rPr>
              <w:t>Absence from a new COMPLETE snapshot creates a delete/tombstone and PM converges.</w:t>
            </w:r>
          </w:p>
        </w:tc>
      </w:tr>
      <w:tr>
        <w:tc>
          <w:tcPr>
            <w:tcW w:type="dxa" w:w="5141"/>
            <w:vAlign w:val="center"/>
          </w:tcPr>
          <w:p>
            <w:pPr>
              <w:spacing w:after="0"/>
            </w:pPr>
            <w:r/>
            <w:r>
              <w:rPr>
                <w:rFonts w:ascii="Aptos" w:hAnsi="Aptos"/>
                <w:b/>
                <w:sz w:val="17"/>
              </w:rPr>
              <w:t>Partial snapshot</w:t>
            </w:r>
          </w:p>
        </w:tc>
        <w:tc>
          <w:tcPr>
            <w:tcW w:type="dxa" w:w="5141"/>
            <w:vAlign w:val="center"/>
          </w:tcPr>
          <w:p>
            <w:pPr>
              <w:spacing w:after="0"/>
            </w:pPr>
            <w:r/>
            <w:r>
              <w:rPr>
                <w:rFonts w:ascii="Aptos" w:hAnsi="Aptos"/>
                <w:b w:val="0"/>
                <w:sz w:val="17"/>
              </w:rPr>
              <w:t>Interrupt poll halfway; zero delete events are derived from that failed snapshot.</w:t>
            </w:r>
          </w:p>
        </w:tc>
      </w:tr>
      <w:tr>
        <w:tc>
          <w:tcPr>
            <w:tcW w:type="dxa" w:w="5141"/>
            <w:vAlign w:val="center"/>
          </w:tcPr>
          <w:p>
            <w:pPr>
              <w:spacing w:after="0"/>
            </w:pPr>
            <w:r/>
            <w:r>
              <w:rPr>
                <w:rFonts w:ascii="Aptos" w:hAnsi="Aptos"/>
                <w:b/>
                <w:sz w:val="17"/>
              </w:rPr>
              <w:t>Same operation x10</w:t>
            </w:r>
          </w:p>
        </w:tc>
        <w:tc>
          <w:tcPr>
            <w:tcW w:type="dxa" w:w="5141"/>
            <w:vAlign w:val="center"/>
          </w:tcPr>
          <w:p>
            <w:pPr>
              <w:spacing w:after="0"/>
            </w:pPr>
            <w:r/>
            <w:r>
              <w:rPr>
                <w:rFonts w:ascii="Aptos" w:hAnsi="Aptos"/>
                <w:b w:val="0"/>
                <w:sz w:val="17"/>
              </w:rPr>
              <w:t>Repeated deliveries result in one intended financial effect.</w:t>
            </w:r>
          </w:p>
        </w:tc>
      </w:tr>
      <w:tr>
        <w:tc>
          <w:tcPr>
            <w:tcW w:type="dxa" w:w="5141"/>
            <w:vAlign w:val="center"/>
          </w:tcPr>
          <w:p>
            <w:pPr>
              <w:spacing w:after="0"/>
            </w:pPr>
            <w:r/>
            <w:r>
              <w:rPr>
                <w:rFonts w:ascii="Aptos" w:hAnsi="Aptos"/>
                <w:b/>
                <w:sz w:val="17"/>
              </w:rPr>
              <w:t>Concurrent workers</w:t>
            </w:r>
          </w:p>
        </w:tc>
        <w:tc>
          <w:tcPr>
            <w:tcW w:type="dxa" w:w="5141"/>
            <w:vAlign w:val="center"/>
          </w:tcPr>
          <w:p>
            <w:pPr>
              <w:spacing w:after="0"/>
            </w:pPr>
            <w:r/>
            <w:r>
              <w:rPr>
                <w:rFonts w:ascii="Aptos" w:hAnsi="Aptos"/>
                <w:b w:val="0"/>
                <w:sz w:val="17"/>
              </w:rPr>
              <w:t>Two workers racing the same logical operation cannot create independent financial effects.</w:t>
            </w:r>
          </w:p>
        </w:tc>
      </w:tr>
      <w:tr>
        <w:tc>
          <w:tcPr>
            <w:tcW w:type="dxa" w:w="5141"/>
            <w:vAlign w:val="center"/>
          </w:tcPr>
          <w:p>
            <w:pPr>
              <w:spacing w:after="0"/>
            </w:pPr>
            <w:r/>
            <w:r>
              <w:rPr>
                <w:rFonts w:ascii="Aptos" w:hAnsi="Aptos"/>
                <w:b/>
                <w:sz w:val="17"/>
              </w:rPr>
              <w:t>Different operation, same business invoice</w:t>
            </w:r>
          </w:p>
        </w:tc>
        <w:tc>
          <w:tcPr>
            <w:tcW w:type="dxa" w:w="5141"/>
            <w:vAlign w:val="center"/>
          </w:tcPr>
          <w:p>
            <w:pPr>
              <w:spacing w:after="0"/>
            </w:pPr>
            <w:r/>
            <w:r>
              <w:rPr>
                <w:rFonts w:ascii="Aptos" w:hAnsi="Aptos"/>
                <w:b w:val="0"/>
                <w:sz w:val="17"/>
              </w:rPr>
              <w:t>ERP business uniqueness rejects/prevents a duplicate financial invoice.</w:t>
            </w:r>
          </w:p>
        </w:tc>
      </w:tr>
      <w:tr>
        <w:tc>
          <w:tcPr>
            <w:tcW w:type="dxa" w:w="5141"/>
            <w:vAlign w:val="center"/>
          </w:tcPr>
          <w:p>
            <w:pPr>
              <w:spacing w:after="0"/>
            </w:pPr>
            <w:r/>
            <w:r>
              <w:rPr>
                <w:rFonts w:ascii="Aptos" w:hAnsi="Aptos"/>
                <w:b/>
                <w:sz w:val="17"/>
              </w:rPr>
              <w:t>Lost response</w:t>
            </w:r>
          </w:p>
        </w:tc>
        <w:tc>
          <w:tcPr>
            <w:tcW w:type="dxa" w:w="5141"/>
            <w:vAlign w:val="center"/>
          </w:tcPr>
          <w:p>
            <w:pPr>
              <w:spacing w:after="0"/>
            </w:pPr>
            <w:r/>
            <w:r>
              <w:rPr>
                <w:rFonts w:ascii="Aptos" w:hAnsi="Aptos"/>
                <w:b w:val="0"/>
                <w:sz w:val="17"/>
              </w:rPr>
              <w:t>Destination commits but response is lost; recovery verifies the existing destination record.</w:t>
            </w:r>
          </w:p>
        </w:tc>
      </w:tr>
      <w:tr>
        <w:tc>
          <w:tcPr>
            <w:tcW w:type="dxa" w:w="5141"/>
            <w:vAlign w:val="center"/>
          </w:tcPr>
          <w:p>
            <w:pPr>
              <w:spacing w:after="0"/>
            </w:pPr>
            <w:r/>
            <w:r>
              <w:rPr>
                <w:rFonts w:ascii="Aptos" w:hAnsi="Aptos"/>
                <w:b/>
                <w:sz w:val="17"/>
              </w:rPr>
              <w:t>Crash after external commit</w:t>
            </w:r>
          </w:p>
        </w:tc>
        <w:tc>
          <w:tcPr>
            <w:tcW w:type="dxa" w:w="5141"/>
            <w:vAlign w:val="center"/>
          </w:tcPr>
          <w:p>
            <w:pPr>
              <w:spacing w:after="0"/>
            </w:pPr>
            <w:r/>
            <w:r>
              <w:rPr>
                <w:rFonts w:ascii="Aptos" w:hAnsi="Aptos"/>
                <w:b w:val="0"/>
                <w:sz w:val="17"/>
              </w:rPr>
              <w:t>Worker dies after destination commit and before local completion; restart verifies existing state and completes without duplicate.</w:t>
            </w:r>
          </w:p>
        </w:tc>
      </w:tr>
      <w:tr>
        <w:tc>
          <w:tcPr>
            <w:tcW w:type="dxa" w:w="5141"/>
            <w:vAlign w:val="center"/>
          </w:tcPr>
          <w:p>
            <w:pPr>
              <w:spacing w:after="0"/>
            </w:pPr>
            <w:r/>
            <w:r>
              <w:rPr>
                <w:rFonts w:ascii="Aptos" w:hAnsi="Aptos"/>
                <w:b/>
                <w:sz w:val="17"/>
              </w:rPr>
              <w:t>Out-of-order full-state versions</w:t>
            </w:r>
          </w:p>
        </w:tc>
        <w:tc>
          <w:tcPr>
            <w:tcW w:type="dxa" w:w="5141"/>
            <w:vAlign w:val="center"/>
          </w:tcPr>
          <w:p>
            <w:pPr>
              <w:spacing w:after="0"/>
            </w:pPr>
            <w:r/>
            <w:r>
              <w:rPr>
                <w:rFonts w:ascii="Aptos" w:hAnsi="Aptos"/>
                <w:b w:val="0"/>
                <w:sz w:val="17"/>
              </w:rPr>
              <w:t>v43 followed by delayed v41/v42 leaves v43 as the applied state.</w:t>
            </w:r>
          </w:p>
        </w:tc>
      </w:tr>
      <w:tr>
        <w:tc>
          <w:tcPr>
            <w:tcW w:type="dxa" w:w="5141"/>
            <w:vAlign w:val="center"/>
          </w:tcPr>
          <w:p>
            <w:pPr>
              <w:spacing w:after="0"/>
            </w:pPr>
            <w:r/>
            <w:r>
              <w:rPr>
                <w:rFonts w:ascii="Aptos" w:hAnsi="Aptos"/>
                <w:b/>
                <w:sz w:val="17"/>
              </w:rPr>
              <w:t>Delete tombstone</w:t>
            </w:r>
          </w:p>
        </w:tc>
        <w:tc>
          <w:tcPr>
            <w:tcW w:type="dxa" w:w="5141"/>
            <w:vAlign w:val="center"/>
          </w:tcPr>
          <w:p>
            <w:pPr>
              <w:spacing w:after="0"/>
            </w:pPr>
            <w:r/>
            <w:r>
              <w:rPr>
                <w:rFonts w:ascii="Aptos" w:hAnsi="Aptos"/>
                <w:b w:val="0"/>
                <w:sz w:val="17"/>
              </w:rPr>
              <w:t>Delete v44 followed by delayed update v43 leaves the record deleted.</w:t>
            </w:r>
          </w:p>
        </w:tc>
      </w:tr>
      <w:tr>
        <w:tc>
          <w:tcPr>
            <w:tcW w:type="dxa" w:w="5141"/>
            <w:vAlign w:val="center"/>
          </w:tcPr>
          <w:p>
            <w:pPr>
              <w:spacing w:after="0"/>
            </w:pPr>
            <w:r/>
            <w:r>
              <w:rPr>
                <w:rFonts w:ascii="Aptos" w:hAnsi="Aptos"/>
                <w:b/>
                <w:sz w:val="17"/>
              </w:rPr>
              <w:t>Reconciliation during active sync</w:t>
            </w:r>
          </w:p>
        </w:tc>
        <w:tc>
          <w:tcPr>
            <w:tcW w:type="dxa" w:w="5141"/>
            <w:vAlign w:val="center"/>
          </w:tcPr>
          <w:p>
            <w:pPr>
              <w:spacing w:after="0"/>
            </w:pPr>
            <w:r/>
            <w:r>
              <w:rPr>
                <w:rFonts w:ascii="Aptos" w:hAnsi="Aptos"/>
                <w:b w:val="0"/>
                <w:sz w:val="17"/>
              </w:rPr>
              <w:t>Pending/retrying operation causes reconciliation to defer the record rather than report false drift.</w:t>
            </w:r>
          </w:p>
        </w:tc>
      </w:tr>
      <w:tr>
        <w:tc>
          <w:tcPr>
            <w:tcW w:type="dxa" w:w="5141"/>
            <w:vAlign w:val="center"/>
          </w:tcPr>
          <w:p>
            <w:pPr>
              <w:spacing w:after="0"/>
            </w:pPr>
            <w:r/>
            <w:r>
              <w:rPr>
                <w:rFonts w:ascii="Aptos" w:hAnsi="Aptos"/>
                <w:b/>
                <w:sz w:val="17"/>
              </w:rPr>
              <w:t>Manual replica edit</w:t>
            </w:r>
          </w:p>
        </w:tc>
        <w:tc>
          <w:tcPr>
            <w:tcW w:type="dxa" w:w="5141"/>
            <w:vAlign w:val="center"/>
          </w:tcPr>
          <w:p>
            <w:pPr>
              <w:spacing w:after="0"/>
            </w:pPr>
            <w:r/>
            <w:r>
              <w:rPr>
                <w:rFonts w:ascii="Aptos" w:hAnsi="Aptos"/>
                <w:b w:val="0"/>
                <w:sz w:val="17"/>
              </w:rPr>
              <w:t>Direct PM edit with no active operation is reported as drift.</w:t>
            </w:r>
          </w:p>
        </w:tc>
      </w:tr>
      <w:tr>
        <w:tc>
          <w:tcPr>
            <w:tcW w:type="dxa" w:w="5141"/>
            <w:vAlign w:val="center"/>
          </w:tcPr>
          <w:p>
            <w:pPr>
              <w:spacing w:after="0"/>
            </w:pPr>
            <w:r/>
            <w:r>
              <w:rPr>
                <w:rFonts w:ascii="Aptos" w:hAnsi="Aptos"/>
                <w:b/>
                <w:sz w:val="17"/>
              </w:rPr>
              <w:t>Echo prevention</w:t>
            </w:r>
          </w:p>
        </w:tc>
        <w:tc>
          <w:tcPr>
            <w:tcW w:type="dxa" w:w="5141"/>
            <w:vAlign w:val="center"/>
          </w:tcPr>
          <w:p>
            <w:pPr>
              <w:spacing w:after="0"/>
            </w:pPr>
            <w:r/>
            <w:r>
              <w:rPr>
                <w:rFonts w:ascii="Aptos" w:hAnsi="Aptos"/>
                <w:b w:val="0"/>
                <w:sz w:val="17"/>
              </w:rPr>
              <w:t>A SyncGuard-produced state is correlated to its operation and does not trigger an unintended reverse loop.</w:t>
            </w:r>
          </w:p>
        </w:tc>
      </w:tr>
      <w:tr>
        <w:tc>
          <w:tcPr>
            <w:tcW w:type="dxa" w:w="5141"/>
            <w:vAlign w:val="center"/>
          </w:tcPr>
          <w:p>
            <w:pPr>
              <w:spacing w:after="0"/>
            </w:pPr>
            <w:r/>
            <w:r>
              <w:rPr>
                <w:rFonts w:ascii="Aptos" w:hAnsi="Aptos"/>
                <w:b/>
                <w:sz w:val="17"/>
              </w:rPr>
              <w:t>Seed reproducibility</w:t>
            </w:r>
          </w:p>
        </w:tc>
        <w:tc>
          <w:tcPr>
            <w:tcW w:type="dxa" w:w="5141"/>
            <w:vAlign w:val="center"/>
          </w:tcPr>
          <w:p>
            <w:pPr>
              <w:spacing w:after="0"/>
            </w:pPr>
            <w:r/>
            <w:r>
              <w:rPr>
                <w:rFonts w:ascii="Aptos" w:hAnsi="Aptos"/>
                <w:b w:val="0"/>
                <w:sz w:val="17"/>
              </w:rPr>
              <w:t>Repeating the same chaos seed reproduces the same injected failure sequence.</w:t>
            </w:r>
          </w:p>
        </w:tc>
      </w:tr>
      <w:tr>
        <w:tc>
          <w:tcPr>
            <w:tcW w:type="dxa" w:w="5141"/>
            <w:vAlign w:val="center"/>
          </w:tcPr>
          <w:p>
            <w:pPr>
              <w:spacing w:after="0"/>
            </w:pPr>
            <w:r/>
            <w:r>
              <w:rPr>
                <w:rFonts w:ascii="Aptos" w:hAnsi="Aptos"/>
                <w:b/>
                <w:sz w:val="17"/>
              </w:rPr>
              <w:t>Final chaos invariants</w:t>
            </w:r>
          </w:p>
        </w:tc>
        <w:tc>
          <w:tcPr>
            <w:tcW w:type="dxa" w:w="5141"/>
            <w:vAlign w:val="center"/>
          </w:tcPr>
          <w:p>
            <w:pPr>
              <w:spacing w:after="0"/>
            </w:pPr>
            <w:r/>
            <w:r>
              <w:rPr>
                <w:rFonts w:ascii="Aptos" w:hAnsi="Aptos"/>
                <w:b w:val="0"/>
                <w:sz w:val="17"/>
              </w:rPr>
              <w:t>A recorded chaos run completes with all applicable invariants satisfied; any public numeric claim is backed by actual results.</w:t>
            </w:r>
          </w:p>
        </w:tc>
      </w:tr>
    </w:tbl>
    <w:p>
      <w:pPr>
        <w:pStyle w:val="Heading1"/>
      </w:pPr>
      <w:r>
        <w:t>17. Auditability and Minimal Observability</w:t>
      </w:r>
    </w:p>
    <w:p>
      <w:pPr>
        <w:pStyle w:val="ListBullet"/>
        <w:spacing w:after="40"/>
      </w:pPr>
      <w:r>
        <w:t>Snapshot started/completed/failed.</w:t>
      </w:r>
    </w:p>
    <w:p>
      <w:pPr>
        <w:pStyle w:val="ListBullet"/>
        <w:spacing w:after="40"/>
      </w:pPr>
      <w:r>
        <w:t>Create/update/delete detected.</w:t>
      </w:r>
    </w:p>
    <w:p>
      <w:pPr>
        <w:pStyle w:val="ListBullet"/>
        <w:spacing w:after="40"/>
      </w:pPr>
      <w:r>
        <w:t>Job queued/claimed/retried/reclaimed.</w:t>
      </w:r>
    </w:p>
    <w:p>
      <w:pPr>
        <w:pStyle w:val="ListBullet"/>
        <w:spacing w:after="40"/>
      </w:pPr>
      <w:r>
        <w:t>Write requested/attempted.</w:t>
      </w:r>
    </w:p>
    <w:p>
      <w:pPr>
        <w:pStyle w:val="ListBullet"/>
        <w:spacing w:after="40"/>
      </w:pPr>
      <w:r>
        <w:t>Duplicate/stale work suppressed.</w:t>
      </w:r>
    </w:p>
    <w:p>
      <w:pPr>
        <w:pStyle w:val="ListBullet"/>
        <w:spacing w:after="40"/>
      </w:pPr>
      <w:r>
        <w:t>External timeout or uncertain outcome.</w:t>
      </w:r>
    </w:p>
    <w:p>
      <w:pPr>
        <w:pStyle w:val="ListBullet"/>
        <w:spacing w:after="40"/>
      </w:pPr>
      <w:r>
        <w:t>Destination verification result.</w:t>
      </w:r>
    </w:p>
    <w:p>
      <w:pPr>
        <w:pStyle w:val="ListBullet"/>
        <w:spacing w:after="40"/>
      </w:pPr>
      <w:r>
        <w:t>Write succeeded or terminally failed.</w:t>
      </w:r>
    </w:p>
    <w:p>
      <w:pPr>
        <w:pStyle w:val="ListBullet"/>
        <w:spacing w:after="40"/>
      </w:pPr>
      <w:r>
        <w:t>Tombstone created/stale resurrection prevented.</w:t>
      </w:r>
    </w:p>
    <w:p>
      <w:pPr>
        <w:pStyle w:val="ListBullet"/>
        <w:spacing w:after="40"/>
      </w:pPr>
      <w:r>
        <w:t>Known SyncGuard-originated observation correlated/suppressed.</w:t>
      </w:r>
    </w:p>
    <w:p>
      <w:pPr>
        <w:pStyle w:val="ListBullet"/>
        <w:spacing w:after="40"/>
      </w:pPr>
      <w:r>
        <w:t>Reconciliation deferred because operation is in flight.</w:t>
      </w:r>
    </w:p>
    <w:p>
      <w:pPr>
        <w:pStyle w:val="ListBullet"/>
        <w:spacing w:after="40"/>
      </w:pPr>
      <w:r>
        <w:t>Drift detected and optional repair performed.</w:t>
      </w:r>
    </w:p>
    <w:p>
      <w:pPr>
        <w:pStyle w:val="ListBullet"/>
        <w:spacing w:after="40"/>
      </w:pPr>
      <w:r>
        <w:t>AI invoice refused with deterministic reason.</w:t>
      </w:r>
    </w:p>
    <w:p>
      <w:r>
        <w:t>Minimal metrics are sufficient: pending jobs, visible failures, retries, sync lag, drift count, and last successful snapshot/sync. A separate Prometheus/Grafana/ELK/OpenTelemetry stack is not required.</w:t>
      </w:r>
    </w:p>
    <w:p>
      <w:pPr>
        <w:pStyle w:val="Heading1"/>
      </w:pPr>
      <w:r>
        <w:t>18. Dashboard - Two Pages Only</w:t>
      </w:r>
    </w:p>
    <w:p>
      <w:pPr>
        <w:pStyle w:val="Heading2"/>
      </w:pPr>
      <w:r>
        <w:t>18.1 System Health</w:t>
      </w:r>
    </w:p>
    <w:p>
      <w:pPr>
        <w:pStyle w:val="ListBullet"/>
        <w:spacing w:after="40"/>
      </w:pPr>
      <w:r>
        <w:t>ERP and PM health.</w:t>
      </w:r>
    </w:p>
    <w:p>
      <w:pPr>
        <w:pStyle w:val="ListBullet"/>
        <w:spacing w:after="40"/>
      </w:pPr>
      <w:r>
        <w:t>Last COMPLETE ERP snapshot and last successful sync.</w:t>
      </w:r>
    </w:p>
    <w:p>
      <w:pPr>
        <w:pStyle w:val="ListBullet"/>
        <w:spacing w:after="40"/>
      </w:pPr>
      <w:r>
        <w:t>Pending/retrying/failed jobs, sync lag, and drift count.</w:t>
      </w:r>
    </w:p>
    <w:p>
      <w:pPr>
        <w:pStyle w:val="ListBullet"/>
        <w:spacing w:after="40"/>
      </w:pPr>
      <w:r>
        <w:t>Recent operations and statuses.</w:t>
      </w:r>
    </w:p>
    <w:p>
      <w:pPr>
        <w:pStyle w:val="Heading2"/>
      </w:pPr>
      <w:r>
        <w:t>18.2 Operation Timeline / Failure Lab</w:t>
      </w:r>
    </w:p>
    <w:p>
      <w:pPr>
        <w:pStyle w:val="ListBullet"/>
        <w:spacing w:after="40"/>
      </w:pPr>
      <w:r>
        <w:t>Audit timeline for one operation.</w:t>
      </w:r>
    </w:p>
    <w:p>
      <w:pPr>
        <w:pStyle w:val="ListBullet"/>
        <w:spacing w:after="40"/>
      </w:pPr>
      <w:r>
        <w:t>Operation ID, versions, attempts, verification outcome, and failure reason.</w:t>
      </w:r>
    </w:p>
    <w:p>
      <w:pPr>
        <w:pStyle w:val="ListBullet"/>
        <w:spacing w:after="40"/>
      </w:pPr>
      <w:r>
        <w:t>Seed input/display and chaos-run results.</w:t>
      </w:r>
    </w:p>
    <w:p>
      <w:pPr>
        <w:pStyle w:val="ListBullet"/>
        <w:spacing w:after="40"/>
      </w:pPr>
      <w:r>
        <w:t>Named deterministic fault-hook controls.</w:t>
      </w:r>
    </w:p>
    <w:p>
      <w:pPr>
        <w:pStyle w:val="ListBullet"/>
        <w:spacing w:after="40"/>
      </w:pPr>
      <w:r>
        <w:t>Drift injector.</w:t>
      </w:r>
    </w:p>
    <w:p>
      <w:pPr>
        <w:pStyle w:val="ListBullet"/>
        <w:spacing w:after="40"/>
      </w:pPr>
      <w:r>
        <w:t>Final invariant checks.</w:t>
      </w:r>
    </w:p>
    <w:p>
      <w:pPr>
        <w:pStyle w:val="Heading1"/>
      </w:pPr>
      <w:r>
        <w:t>19. Thin AI Invoice Workload</w:t>
      </w:r>
    </w:p>
    <w:p>
      <w:r>
        <w:t>AI is added only after the synchronization engine is proven. It is an untrusted input producer, not the authority for financial writes.</w:t>
      </w:r>
    </w:p>
    <w:p>
      <w:pPr>
        <w:pStyle w:val="ListNumber"/>
        <w:spacing w:after="40"/>
      </w:pPr>
      <w:r>
        <w:t>Provide a small synthetic invoice input.</w:t>
      </w:r>
    </w:p>
    <w:p>
      <w:pPr>
        <w:pStyle w:val="ListNumber"/>
        <w:spacing w:after="40"/>
      </w:pPr>
      <w:r>
        <w:t>Use an LLM to extract structured invoice fields.</w:t>
      </w:r>
    </w:p>
    <w:p>
      <w:pPr>
        <w:pStyle w:val="ListNumber"/>
        <w:spacing w:after="40"/>
      </w:pPr>
      <w:r>
        <w:t>Normalize the extracted data.</w:t>
      </w:r>
    </w:p>
    <w:p>
      <w:pPr>
        <w:pStyle w:val="ListNumber"/>
        <w:spacing w:after="40"/>
      </w:pPr>
      <w:r>
        <w:t>Deterministically validate Vendor, Job reference, required fields, duplicates, and any optional PO rule if PO was implemented.</w:t>
      </w:r>
    </w:p>
    <w:p>
      <w:pPr>
        <w:pStyle w:val="ListNumber"/>
        <w:spacing w:after="40"/>
      </w:pPr>
      <w:r>
        <w:t>If validation fails, refuse the write and audit the reason.</w:t>
      </w:r>
    </w:p>
    <w:p>
      <w:pPr>
        <w:pStyle w:val="ListNumber"/>
        <w:spacing w:after="40"/>
      </w:pPr>
      <w:r>
        <w:t>If validation succeeds, send the logical invoice through SyncGuard's safe-write path into ERP.</w:t>
      </w:r>
    </w:p>
    <w:p>
      <w:pPr>
        <w:pStyle w:val="ListNumber"/>
        <w:spacing w:after="40"/>
      </w:pPr>
      <w:r>
        <w:t>Once ERP accepts it, ERP becomes authoritative and the normal ERP -&gt; PM path propagates it.</w:t>
      </w:r>
    </w:p>
    <w:p>
      <w:r>
        <w:t>Design rule: AI interprets. Deterministic rules validate. SyncGuard writes.</w:t>
      </w:r>
    </w:p>
    <w:p>
      <w:pPr>
        <w:pStyle w:val="Heading1"/>
      </w:pPr>
      <w:r>
        <w:t>20. Final Component Set</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9EAF7"/>
          </w:tcPr>
          <w:p>
            <w:pPr>
              <w:spacing w:after="0"/>
            </w:pPr>
            <w:r/>
            <w:r>
              <w:rPr>
                <w:rFonts w:ascii="Aptos" w:hAnsi="Aptos"/>
                <w:b/>
                <w:sz w:val="17"/>
              </w:rPr>
              <w:t>Component</w:t>
            </w:r>
          </w:p>
        </w:tc>
        <w:tc>
          <w:tcPr>
            <w:tcW w:type="dxa" w:w="5141"/>
            <w:vAlign w:val="center"/>
            <w:shd w:fill="D9EAF7"/>
          </w:tcPr>
          <w:p>
            <w:pPr>
              <w:spacing w:after="0"/>
            </w:pPr>
            <w:r/>
            <w:r>
              <w:rPr>
                <w:rFonts w:ascii="Aptos" w:hAnsi="Aptos"/>
                <w:b/>
                <w:sz w:val="17"/>
              </w:rPr>
              <w:t>Responsibility</w:t>
            </w:r>
          </w:p>
        </w:tc>
      </w:tr>
      <w:tr>
        <w:tc>
          <w:tcPr>
            <w:tcW w:type="dxa" w:w="5141"/>
            <w:vAlign w:val="center"/>
          </w:tcPr>
          <w:p>
            <w:pPr>
              <w:spacing w:after="0"/>
            </w:pPr>
            <w:r/>
            <w:r>
              <w:rPr>
                <w:rFonts w:ascii="Aptos" w:hAnsi="Aptos"/>
                <w:b/>
                <w:sz w:val="17"/>
              </w:rPr>
              <w:t>Legacy ERP simulator</w:t>
            </w:r>
          </w:p>
        </w:tc>
        <w:tc>
          <w:tcPr>
            <w:tcW w:type="dxa" w:w="5141"/>
            <w:vAlign w:val="center"/>
          </w:tcPr>
          <w:p>
            <w:pPr>
              <w:spacing w:after="0"/>
            </w:pPr>
            <w:r/>
            <w:r>
              <w:rPr>
                <w:rFonts w:ascii="Aptos" w:hAnsi="Aptos"/>
                <w:b w:val="0"/>
                <w:sz w:val="17"/>
              </w:rPr>
              <w:t>Hard source system, business uniqueness, snapshot source, fault injection.</w:t>
            </w:r>
          </w:p>
        </w:tc>
      </w:tr>
      <w:tr>
        <w:tc>
          <w:tcPr>
            <w:tcW w:type="dxa" w:w="5141"/>
            <w:vAlign w:val="center"/>
          </w:tcPr>
          <w:p>
            <w:pPr>
              <w:spacing w:after="0"/>
            </w:pPr>
            <w:r/>
            <w:r>
              <w:rPr>
                <w:rFonts w:ascii="Aptos" w:hAnsi="Aptos"/>
                <w:b/>
                <w:sz w:val="17"/>
              </w:rPr>
              <w:t>Modern PM simulator</w:t>
            </w:r>
          </w:p>
        </w:tc>
        <w:tc>
          <w:tcPr>
            <w:tcW w:type="dxa" w:w="5141"/>
            <w:vAlign w:val="center"/>
          </w:tcPr>
          <w:p>
            <w:pPr>
              <w:spacing w:after="0"/>
            </w:pPr>
            <w:r/>
            <w:r>
              <w:rPr>
                <w:rFonts w:ascii="Aptos" w:hAnsi="Aptos"/>
                <w:b w:val="0"/>
                <w:sz w:val="17"/>
              </w:rPr>
              <w:t>Replica API, Job reference source, operation-reference lookup, rate limiting/fault injection.</w:t>
            </w:r>
          </w:p>
        </w:tc>
      </w:tr>
      <w:tr>
        <w:tc>
          <w:tcPr>
            <w:tcW w:type="dxa" w:w="5141"/>
            <w:vAlign w:val="center"/>
          </w:tcPr>
          <w:p>
            <w:pPr>
              <w:spacing w:after="0"/>
            </w:pPr>
            <w:r/>
            <w:r>
              <w:rPr>
                <w:rFonts w:ascii="Aptos" w:hAnsi="Aptos"/>
                <w:b/>
                <w:sz w:val="17"/>
              </w:rPr>
              <w:t>ERP adapter</w:t>
            </w:r>
          </w:p>
        </w:tc>
        <w:tc>
          <w:tcPr>
            <w:tcW w:type="dxa" w:w="5141"/>
            <w:vAlign w:val="center"/>
          </w:tcPr>
          <w:p>
            <w:pPr>
              <w:spacing w:after="0"/>
            </w:pPr>
            <w:r/>
            <w:r>
              <w:rPr>
                <w:rFonts w:ascii="Aptos" w:hAnsi="Aptos"/>
                <w:b w:val="0"/>
                <w:sz w:val="17"/>
              </w:rPr>
              <w:t>ERP native &lt;-&gt; normalized model translation.</w:t>
            </w:r>
          </w:p>
        </w:tc>
      </w:tr>
      <w:tr>
        <w:tc>
          <w:tcPr>
            <w:tcW w:type="dxa" w:w="5141"/>
            <w:vAlign w:val="center"/>
          </w:tcPr>
          <w:p>
            <w:pPr>
              <w:spacing w:after="0"/>
            </w:pPr>
            <w:r/>
            <w:r>
              <w:rPr>
                <w:rFonts w:ascii="Aptos" w:hAnsi="Aptos"/>
                <w:b/>
                <w:sz w:val="17"/>
              </w:rPr>
              <w:t>PM adapter</w:t>
            </w:r>
          </w:p>
        </w:tc>
        <w:tc>
          <w:tcPr>
            <w:tcW w:type="dxa" w:w="5141"/>
            <w:vAlign w:val="center"/>
          </w:tcPr>
          <w:p>
            <w:pPr>
              <w:spacing w:after="0"/>
            </w:pPr>
            <w:r/>
            <w:r>
              <w:rPr>
                <w:rFonts w:ascii="Aptos" w:hAnsi="Aptos"/>
                <w:b w:val="0"/>
                <w:sz w:val="17"/>
              </w:rPr>
              <w:t>PM native &lt;-&gt; normalized model translation.</w:t>
            </w:r>
          </w:p>
        </w:tc>
      </w:tr>
      <w:tr>
        <w:tc>
          <w:tcPr>
            <w:tcW w:type="dxa" w:w="5141"/>
            <w:vAlign w:val="center"/>
          </w:tcPr>
          <w:p>
            <w:pPr>
              <w:spacing w:after="0"/>
            </w:pPr>
            <w:r/>
            <w:r>
              <w:rPr>
                <w:rFonts w:ascii="Aptos" w:hAnsi="Aptos"/>
                <w:b/>
                <w:sz w:val="17"/>
              </w:rPr>
              <w:t>Sync State Store</w:t>
            </w:r>
          </w:p>
        </w:tc>
        <w:tc>
          <w:tcPr>
            <w:tcW w:type="dxa" w:w="5141"/>
            <w:vAlign w:val="center"/>
          </w:tcPr>
          <w:p>
            <w:pPr>
              <w:spacing w:after="0"/>
            </w:pPr>
            <w:r/>
            <w:r>
              <w:rPr>
                <w:rFonts w:ascii="Aptos" w:hAnsi="Aptos"/>
                <w:b w:val="0"/>
                <w:sz w:val="17"/>
              </w:rPr>
              <w:t>Identity, fingerprints, versions, tombstones, snapshots, operations, jobs, audit.</w:t>
            </w:r>
          </w:p>
        </w:tc>
      </w:tr>
      <w:tr>
        <w:tc>
          <w:tcPr>
            <w:tcW w:type="dxa" w:w="5141"/>
            <w:vAlign w:val="center"/>
          </w:tcPr>
          <w:p>
            <w:pPr>
              <w:spacing w:after="0"/>
            </w:pPr>
            <w:r/>
            <w:r>
              <w:rPr>
                <w:rFonts w:ascii="Aptos" w:hAnsi="Aptos"/>
                <w:b/>
                <w:sz w:val="17"/>
              </w:rPr>
              <w:t>Postgres queue</w:t>
            </w:r>
          </w:p>
        </w:tc>
        <w:tc>
          <w:tcPr>
            <w:tcW w:type="dxa" w:w="5141"/>
            <w:vAlign w:val="center"/>
          </w:tcPr>
          <w:p>
            <w:pPr>
              <w:spacing w:after="0"/>
            </w:pPr>
            <w:r/>
            <w:r>
              <w:rPr>
                <w:rFonts w:ascii="Aptos" w:hAnsi="Aptos"/>
                <w:b w:val="0"/>
                <w:sz w:val="17"/>
              </w:rPr>
              <w:t>At-least-once durable job transport and worker claims.</w:t>
            </w:r>
          </w:p>
        </w:tc>
      </w:tr>
      <w:tr>
        <w:tc>
          <w:tcPr>
            <w:tcW w:type="dxa" w:w="5141"/>
            <w:vAlign w:val="center"/>
          </w:tcPr>
          <w:p>
            <w:pPr>
              <w:spacing w:after="0"/>
            </w:pPr>
            <w:r/>
            <w:r>
              <w:rPr>
                <w:rFonts w:ascii="Aptos" w:hAnsi="Aptos"/>
                <w:b/>
                <w:sz w:val="17"/>
              </w:rPr>
              <w:t>Snapshot detector</w:t>
            </w:r>
          </w:p>
        </w:tc>
        <w:tc>
          <w:tcPr>
            <w:tcW w:type="dxa" w:w="5141"/>
            <w:vAlign w:val="center"/>
          </w:tcPr>
          <w:p>
            <w:pPr>
              <w:spacing w:after="0"/>
            </w:pPr>
            <w:r/>
            <w:r>
              <w:rPr>
                <w:rFonts w:ascii="Aptos" w:hAnsi="Aptos"/>
                <w:b w:val="0"/>
                <w:sz w:val="17"/>
              </w:rPr>
              <w:t>Complete snapshots and ERP create/update/delete observation.</w:t>
            </w:r>
          </w:p>
        </w:tc>
      </w:tr>
      <w:tr>
        <w:tc>
          <w:tcPr>
            <w:tcW w:type="dxa" w:w="5141"/>
            <w:vAlign w:val="center"/>
          </w:tcPr>
          <w:p>
            <w:pPr>
              <w:spacing w:after="0"/>
            </w:pPr>
            <w:r/>
            <w:r>
              <w:rPr>
                <w:rFonts w:ascii="Aptos" w:hAnsi="Aptos"/>
                <w:b/>
                <w:sz w:val="17"/>
              </w:rPr>
              <w:t>Sync worker</w:t>
            </w:r>
          </w:p>
        </w:tc>
        <w:tc>
          <w:tcPr>
            <w:tcW w:type="dxa" w:w="5141"/>
            <w:vAlign w:val="center"/>
          </w:tcPr>
          <w:p>
            <w:pPr>
              <w:spacing w:after="0"/>
            </w:pPr>
            <w:r/>
            <w:r>
              <w:rPr>
                <w:rFonts w:ascii="Aptos" w:hAnsi="Aptos"/>
                <w:b w:val="0"/>
                <w:sz w:val="17"/>
              </w:rPr>
              <w:t>Version checks, idempotency, writes, verification, retries, recovery.</w:t>
            </w:r>
          </w:p>
        </w:tc>
      </w:tr>
      <w:tr>
        <w:tc>
          <w:tcPr>
            <w:tcW w:type="dxa" w:w="5141"/>
            <w:vAlign w:val="center"/>
          </w:tcPr>
          <w:p>
            <w:pPr>
              <w:spacing w:after="0"/>
            </w:pPr>
            <w:r/>
            <w:r>
              <w:rPr>
                <w:rFonts w:ascii="Aptos" w:hAnsi="Aptos"/>
                <w:b/>
                <w:sz w:val="17"/>
              </w:rPr>
              <w:t>Reconciler</w:t>
            </w:r>
          </w:p>
        </w:tc>
        <w:tc>
          <w:tcPr>
            <w:tcW w:type="dxa" w:w="5141"/>
            <w:vAlign w:val="center"/>
          </w:tcPr>
          <w:p>
            <w:pPr>
              <w:spacing w:after="0"/>
            </w:pPr>
            <w:r/>
            <w:r>
              <w:rPr>
                <w:rFonts w:ascii="Aptos" w:hAnsi="Aptos"/>
                <w:b w:val="0"/>
                <w:sz w:val="17"/>
              </w:rPr>
              <w:t>In-flight-aware ERP-vs-PM comparison and optional Invoice repair.</w:t>
            </w:r>
          </w:p>
        </w:tc>
      </w:tr>
      <w:tr>
        <w:tc>
          <w:tcPr>
            <w:tcW w:type="dxa" w:w="5141"/>
            <w:vAlign w:val="center"/>
          </w:tcPr>
          <w:p>
            <w:pPr>
              <w:spacing w:after="0"/>
            </w:pPr>
            <w:r/>
            <w:r>
              <w:rPr>
                <w:rFonts w:ascii="Aptos" w:hAnsi="Aptos"/>
                <w:b/>
                <w:sz w:val="17"/>
              </w:rPr>
              <w:t>Chaos harness</w:t>
            </w:r>
          </w:p>
        </w:tc>
        <w:tc>
          <w:tcPr>
            <w:tcW w:type="dxa" w:w="5141"/>
            <w:vAlign w:val="center"/>
          </w:tcPr>
          <w:p>
            <w:pPr>
              <w:spacing w:after="0"/>
            </w:pPr>
            <w:r/>
            <w:r>
              <w:rPr>
                <w:rFonts w:ascii="Aptos" w:hAnsi="Aptos"/>
                <w:b w:val="0"/>
                <w:sz w:val="17"/>
              </w:rPr>
              <w:t>Seeded random faults, deterministic fault hooks, invariant checks.</w:t>
            </w:r>
          </w:p>
        </w:tc>
      </w:tr>
      <w:tr>
        <w:tc>
          <w:tcPr>
            <w:tcW w:type="dxa" w:w="5141"/>
            <w:vAlign w:val="center"/>
          </w:tcPr>
          <w:p>
            <w:pPr>
              <w:spacing w:after="0"/>
            </w:pPr>
            <w:r/>
            <w:r>
              <w:rPr>
                <w:rFonts w:ascii="Aptos" w:hAnsi="Aptos"/>
                <w:b/>
                <w:sz w:val="17"/>
              </w:rPr>
              <w:t>Dashboard</w:t>
            </w:r>
          </w:p>
        </w:tc>
        <w:tc>
          <w:tcPr>
            <w:tcW w:type="dxa" w:w="5141"/>
            <w:vAlign w:val="center"/>
          </w:tcPr>
          <w:p>
            <w:pPr>
              <w:spacing w:after="0"/>
            </w:pPr>
            <w:r/>
            <w:r>
              <w:rPr>
                <w:rFonts w:ascii="Aptos" w:hAnsi="Aptos"/>
                <w:b w:val="0"/>
                <w:sz w:val="17"/>
              </w:rPr>
              <w:t>Health, operations, audit, failure lab, drift visibility.</w:t>
            </w:r>
          </w:p>
        </w:tc>
      </w:tr>
      <w:tr>
        <w:tc>
          <w:tcPr>
            <w:tcW w:type="dxa" w:w="5141"/>
            <w:vAlign w:val="center"/>
          </w:tcPr>
          <w:p>
            <w:pPr>
              <w:spacing w:after="0"/>
            </w:pPr>
            <w:r/>
            <w:r>
              <w:rPr>
                <w:rFonts w:ascii="Aptos" w:hAnsi="Aptos"/>
                <w:b/>
                <w:sz w:val="17"/>
              </w:rPr>
              <w:t>Thin AI workload</w:t>
            </w:r>
          </w:p>
        </w:tc>
        <w:tc>
          <w:tcPr>
            <w:tcW w:type="dxa" w:w="5141"/>
            <w:vAlign w:val="center"/>
          </w:tcPr>
          <w:p>
            <w:pPr>
              <w:spacing w:after="0"/>
            </w:pPr>
            <w:r/>
            <w:r>
              <w:rPr>
                <w:rFonts w:ascii="Aptos" w:hAnsi="Aptos"/>
                <w:b w:val="0"/>
                <w:sz w:val="17"/>
              </w:rPr>
              <w:t>Optional business-facing demonstration of the safe write boundary.</w:t>
            </w:r>
          </w:p>
        </w:tc>
      </w:tr>
    </w:tbl>
    <w:p>
      <w:pPr>
        <w:pStyle w:val="Heading1"/>
      </w:pPr>
      <w:r>
        <w:t>21. Final Build Plan - Vertical Milestones</w:t>
      </w:r>
    </w:p>
    <w:p>
      <w:r>
        <w:t>The build is organized so a working end-to-end system exists early. Each milestone leaves a demonstrable, committed state rather than waiting until the final UI to prove value.</w:t>
      </w:r>
    </w:p>
    <w:p>
      <w:r>
        <w:rPr>
          <w:b/>
        </w:rPr>
        <w:t xml:space="preserve">Milestone 1 - Walking skeleton: </w:t>
      </w:r>
      <w:r>
        <w:t>Build both simulators, minimal adapters/unified Invoice, and a naive path where an ERP invoice appears in PM. Commit/tag a working end-to-end slice before hardening.</w:t>
      </w:r>
    </w:p>
    <w:p>
      <w:r>
        <w:rPr>
          <w:b/>
        </w:rPr>
        <w:t xml:space="preserve">Milestone 2 - Safe write foundation: </w:t>
      </w:r>
      <w:r>
        <w:t>Add Postgres Sync State Store, operation ledger, Postgres queue, UNIQUE(operation_id), ERP invoice business uniqueness, stable operation IDs, and destination verification. Prove duplicate/concurrent processing has one intended effect.</w:t>
      </w:r>
    </w:p>
    <w:p>
      <w:r>
        <w:rPr>
          <w:b/>
        </w:rPr>
        <w:t xml:space="preserve">Milestone 3 - Correct legacy observation: </w:t>
      </w:r>
      <w:r>
        <w:t>Add consistent COMPLETE snapshots, fingerprints, create/update/delete detection, full-state versioned jobs, stale rejection, tombstones, and snapshot retention. Prove partial snapshot safety and no resurrection.</w:t>
      </w:r>
    </w:p>
    <w:p>
      <w:r>
        <w:rPr>
          <w:b/>
        </w:rPr>
        <w:t xml:space="preserve">Milestone 4 - Failure survival: </w:t>
      </w:r>
      <w:r>
        <w:t>Add retries, short claim/lease recovery, named deterministic fault hooks, uncertain-write recovery, and the crash-after-external-write-before-local-completion test.</w:t>
      </w:r>
    </w:p>
    <w:p>
      <w:r>
        <w:rPr>
          <w:b/>
        </w:rPr>
        <w:t xml:space="preserve">Milestone 5 - Proof: </w:t>
      </w:r>
      <w:r>
        <w:t>Add seeded chaos, invariant reporting, in-flight-aware reconciliation, and drift injection. Run reproducible acceptance tests.</w:t>
      </w:r>
    </w:p>
    <w:p>
      <w:r>
        <w:rPr>
          <w:b/>
        </w:rPr>
        <w:t xml:space="preserve">Milestone 6 - Visibility: </w:t>
      </w:r>
      <w:r>
        <w:t>Build the two-page dashboard and minimal operational metrics.</w:t>
      </w:r>
    </w:p>
    <w:p>
      <w:r>
        <w:rPr>
          <w:b/>
        </w:rPr>
        <w:t xml:space="preserve">Milestone 7 - Business-facing workload: </w:t>
      </w:r>
      <w:r>
        <w:t>Add the thin AI invoice extraction/validation example without expanding AI scope.</w:t>
      </w:r>
    </w:p>
    <w:p>
      <w:r>
        <w:rPr>
          <w:b/>
        </w:rPr>
        <w:t xml:space="preserve">Milestone 8 - Deployment: </w:t>
      </w:r>
      <w:r>
        <w:t>Deploy the proven system with a small timeboxed AWS CDK stack.</w:t>
      </w:r>
    </w:p>
    <w:p>
      <w:r>
        <w:rPr>
          <w:b/>
        </w:rPr>
        <w:t xml:space="preserve">Stretch only: </w:t>
      </w:r>
      <w:r>
        <w:t>Add PO/reference validation or other extras only after every core milestone is complete.</w:t>
      </w:r>
    </w:p>
    <w:p>
      <w:pPr>
        <w:pStyle w:val="Heading1"/>
      </w:pPr>
      <w:r>
        <w:t>22. Local and AWS Deployment</w:t>
      </w:r>
    </w:p>
    <w:p>
      <w:r>
        <w:t>Local development uses Docker-based services for the application/worker, Postgres, ERP simulator, PM simulator, and dashboard. AWS is deliberately the final milestone.</w:t>
      </w:r>
    </w:p>
    <w:p>
      <w:pPr>
        <w:pStyle w:val="ListBullet"/>
        <w:spacing w:after="40"/>
      </w:pPr>
      <w:r>
        <w:t>Use one small AWS CDK stack.</w:t>
      </w:r>
    </w:p>
    <w:p>
      <w:pPr>
        <w:pStyle w:val="ListBullet"/>
        <w:spacing w:after="40"/>
      </w:pPr>
      <w:r>
        <w:t>Deploy application/worker compute, durable Postgres/RDS, and only the networking/configuration needed for the demo.</w:t>
      </w:r>
    </w:p>
    <w:p>
      <w:pPr>
        <w:pStyle w:val="ListBullet"/>
        <w:spacing w:after="40"/>
      </w:pPr>
      <w:r>
        <w:t>Do not turn the project into a Kubernetes, multi-region, or infrastructure-complexity exercise.</w:t>
      </w:r>
    </w:p>
    <w:p>
      <w:pPr>
        <w:pStyle w:val="ListBullet"/>
        <w:spacing w:after="40"/>
      </w:pPr>
      <w:r>
        <w:t>Timebox AWS work; if it threatens chaos/recovery proof, correctness wins.</w:t>
      </w:r>
    </w:p>
    <w:p>
      <w:pPr>
        <w:pStyle w:val="Heading1"/>
      </w:pPr>
      <w:r>
        <w:t>23. Final Demo Story</w:t>
      </w:r>
    </w:p>
    <w:p>
      <w:pPr>
        <w:pStyle w:val="ListNumber"/>
        <w:spacing w:after="40"/>
      </w:pPr>
      <w:r>
        <w:t>Show the incompatible ERP and PM models and explain that Invoice is ERP-authoritative while Job is PM reference data only.</w:t>
      </w:r>
    </w:p>
    <w:p>
      <w:pPr>
        <w:pStyle w:val="ListNumber"/>
        <w:spacing w:after="40"/>
      </w:pPr>
      <w:r>
        <w:t>Create an ERP invoice and show snapshot detection -&gt; normalized full-state job -&gt; safe PM write.</w:t>
      </w:r>
    </w:p>
    <w:p>
      <w:pPr>
        <w:pStyle w:val="ListNumber"/>
        <w:spacing w:after="40"/>
      </w:pPr>
      <w:r>
        <w:t>Update the ERP invoice and show PM converge to the latest version.</w:t>
      </w:r>
    </w:p>
    <w:p>
      <w:pPr>
        <w:pStyle w:val="ListNumber"/>
        <w:spacing w:after="40"/>
      </w:pPr>
      <w:r>
        <w:t>Replay/deliver the same operation concurrently and show one financial effect.</w:t>
      </w:r>
    </w:p>
    <w:p>
      <w:pPr>
        <w:pStyle w:val="ListNumber"/>
        <w:spacing w:after="40"/>
      </w:pPr>
      <w:r>
        <w:t>Trigger AFTER_EXTERNAL_WRITE_BEFORE_LOCAL_COMPLETION, kill the worker, restart it, and show verification instead of duplication.</w:t>
      </w:r>
    </w:p>
    <w:p>
      <w:pPr>
        <w:pStyle w:val="ListNumber"/>
        <w:spacing w:after="40"/>
      </w:pPr>
      <w:r>
        <w:t>Interrupt an ERP snapshot and show zero false deletes.</w:t>
      </w:r>
    </w:p>
    <w:p>
      <w:pPr>
        <w:pStyle w:val="ListNumber"/>
        <w:spacing w:after="40"/>
      </w:pPr>
      <w:r>
        <w:t>Demonstrate delete v44 followed by delayed update v43 and show the tombstone prevents resurrection.</w:t>
      </w:r>
    </w:p>
    <w:p>
      <w:pPr>
        <w:pStyle w:val="ListNumber"/>
        <w:spacing w:after="40"/>
      </w:pPr>
      <w:r>
        <w:t>Pause an operation and run reconciliation; show no false drift. Then directly edit PM with no active operation and show real drift.</w:t>
      </w:r>
    </w:p>
    <w:p>
      <w:pPr>
        <w:pStyle w:val="ListNumber"/>
        <w:spacing w:after="40"/>
      </w:pPr>
      <w:r>
        <w:t>Run a seeded chaos scenario and show the seed plus invariant report.</w:t>
      </w:r>
    </w:p>
    <w:p>
      <w:pPr>
        <w:pStyle w:val="ListNumber"/>
        <w:spacing w:after="40"/>
      </w:pPr>
      <w:r>
        <w:t>Finish with the thin AI invoice example: unsafe extracted data is blocked before ERP write.</w:t>
      </w:r>
    </w:p>
    <w:p>
      <w:pPr>
        <w:pStyle w:val="Heading1"/>
      </w:pPr>
      <w:r>
        <w:t>24. Definition of Done</w:t>
      </w:r>
    </w:p>
    <w:p>
      <w:pPr>
        <w:pStyle w:val="ListBullet"/>
        <w:spacing w:after="40"/>
      </w:pPr>
      <w:r>
        <w:t>A working ERP -&gt; PM Invoice slice exists and remains working throughout hardening.</w:t>
      </w:r>
    </w:p>
    <w:p>
      <w:pPr>
        <w:pStyle w:val="ListBullet"/>
        <w:spacing w:after="40"/>
      </w:pPr>
      <w:r>
        <w:t>Vendor and Job reference data normalize correctly; Job is not live-synchronized to ERP.</w:t>
      </w:r>
    </w:p>
    <w:p>
      <w:pPr>
        <w:pStyle w:val="ListBullet"/>
        <w:spacing w:after="40"/>
      </w:pPr>
      <w:r>
        <w:t>Postgres durably stores identity mapping, fingerprints, versions, tombstones, snapshots, operations, jobs, and audit events.</w:t>
      </w:r>
    </w:p>
    <w:p>
      <w:pPr>
        <w:pStyle w:val="ListBullet"/>
        <w:spacing w:after="40"/>
      </w:pPr>
      <w:r>
        <w:t>UNIQUE(operation_id), queue claims, and ERP invoice business uniqueness are implemented/tested.</w:t>
      </w:r>
    </w:p>
    <w:p>
      <w:pPr>
        <w:pStyle w:val="ListBullet"/>
        <w:spacing w:after="40"/>
      </w:pPr>
      <w:r>
        <w:t>Only COMPLETE snapshots can derive deletes; partial snapshots cannot.</w:t>
      </w:r>
    </w:p>
    <w:p>
      <w:pPr>
        <w:pStyle w:val="ListBullet"/>
        <w:spacing w:after="40"/>
      </w:pPr>
      <w:r>
        <w:t>Invoice create/update/delete detection works.</w:t>
      </w:r>
    </w:p>
    <w:p>
      <w:pPr>
        <w:pStyle w:val="ListBullet"/>
        <w:spacing w:after="40"/>
      </w:pPr>
      <w:r>
        <w:t>Jobs carry full normalized desired state.</w:t>
      </w:r>
    </w:p>
    <w:p>
      <w:pPr>
        <w:pStyle w:val="ListBullet"/>
        <w:spacing w:after="40"/>
      </w:pPr>
      <w:r>
        <w:t>Older versions cannot overwrite newer versions; older updates cannot resurrect a tombstoned delete.</w:t>
      </w:r>
    </w:p>
    <w:p>
      <w:pPr>
        <w:pStyle w:val="ListBullet"/>
        <w:spacing w:after="40"/>
      </w:pPr>
      <w:r>
        <w:t>Uncertain external writes are verified before retry.</w:t>
      </w:r>
    </w:p>
    <w:p>
      <w:pPr>
        <w:pStyle w:val="ListBullet"/>
        <w:spacing w:after="40"/>
      </w:pPr>
      <w:r>
        <w:t>Crash-after-external-write-before-local-completion passes.</w:t>
      </w:r>
    </w:p>
    <w:p>
      <w:pPr>
        <w:pStyle w:val="ListBullet"/>
        <w:spacing w:after="40"/>
      </w:pPr>
      <w:r>
        <w:t>Reconciliation defers in-flight records and detects real behind-the-back drift.</w:t>
      </w:r>
    </w:p>
    <w:p>
      <w:pPr>
        <w:pStyle w:val="ListBullet"/>
        <w:spacing w:after="40"/>
      </w:pPr>
      <w:r>
        <w:t>Seeded chaos is reproducible and deterministic critical fault hooks are tested.</w:t>
      </w:r>
    </w:p>
    <w:p>
      <w:pPr>
        <w:pStyle w:val="ListBullet"/>
        <w:spacing w:after="40"/>
      </w:pPr>
      <w:r>
        <w:t>The two-page dashboard exposes operations, failures, drift, and invariant outcomes.</w:t>
      </w:r>
    </w:p>
    <w:p>
      <w:pPr>
        <w:pStyle w:val="ListBullet"/>
        <w:spacing w:after="40"/>
      </w:pPr>
      <w:r>
        <w:t>The AI workload cannot bypass deterministic validation/safe write.</w:t>
      </w:r>
    </w:p>
    <w:p>
      <w:pPr>
        <w:pStyle w:val="ListBullet"/>
        <w:spacing w:after="40"/>
      </w:pPr>
      <w:r>
        <w:t>The system runs locally and has a minimal CDK-defined AWS deployment.</w:t>
      </w:r>
    </w:p>
    <w:p>
      <w:pPr>
        <w:pStyle w:val="ListBullet"/>
        <w:spacing w:after="40"/>
      </w:pPr>
      <w:r>
        <w:t>Any numeric reliability claim shown publicly comes from actual recorded test runs.</w:t>
      </w:r>
    </w:p>
    <w:p>
      <w:pPr>
        <w:pStyle w:val="Heading1"/>
      </w:pPr>
      <w:r>
        <w:t>25. Explicit Non-Goals</w:t>
      </w:r>
    </w:p>
    <w:p>
      <w:pPr>
        <w:pStyle w:val="ListBullet"/>
        <w:spacing w:after="40"/>
      </w:pPr>
      <w:r>
        <w:t>Live PM -&gt; ERP Job synchronization.</w:t>
      </w:r>
    </w:p>
    <w:p>
      <w:pPr>
        <w:pStyle w:val="ListBullet"/>
        <w:spacing w:after="40"/>
      </w:pPr>
      <w:r>
        <w:t>Generic bidirectional or multi-master synchronization.</w:t>
      </w:r>
    </w:p>
    <w:p>
      <w:pPr>
        <w:pStyle w:val="ListBullet"/>
        <w:spacing w:after="40"/>
      </w:pPr>
      <w:r>
        <w:t>Universal conflict resolution.</w:t>
      </w:r>
    </w:p>
    <w:p>
      <w:pPr>
        <w:pStyle w:val="ListBullet"/>
        <w:spacing w:after="40"/>
      </w:pPr>
      <w:r>
        <w:t>Dozens of entities/connectors.</w:t>
      </w:r>
    </w:p>
    <w:p>
      <w:pPr>
        <w:pStyle w:val="ListBullet"/>
        <w:spacing w:after="40"/>
      </w:pPr>
      <w:r>
        <w:t>Sophisticated automatic reconciliation repair.</w:t>
      </w:r>
    </w:p>
    <w:p>
      <w:pPr>
        <w:pStyle w:val="ListBullet"/>
        <w:spacing w:after="40"/>
      </w:pPr>
      <w:r>
        <w:t>Production OCR or large-document splitting.</w:t>
      </w:r>
    </w:p>
    <w:p>
      <w:pPr>
        <w:pStyle w:val="ListBullet"/>
        <w:spacing w:after="40"/>
      </w:pPr>
      <w:r>
        <w:t>Autonomous AI financial decisions.</w:t>
      </w:r>
    </w:p>
    <w:p>
      <w:pPr>
        <w:pStyle w:val="ListBullet"/>
        <w:spacing w:after="40"/>
      </w:pPr>
      <w:r>
        <w:t>Kafka, Kubernetes, microservices-everywhere, or Redis added only for architectural appearance.</w:t>
      </w:r>
    </w:p>
    <w:p>
      <w:pPr>
        <w:pStyle w:val="ListBullet"/>
        <w:spacing w:after="40"/>
      </w:pPr>
      <w:r>
        <w:t>A full enterprise observability stack.</w:t>
      </w:r>
    </w:p>
    <w:p>
      <w:pPr>
        <w:pStyle w:val="ListBullet"/>
        <w:spacing w:after="40"/>
      </w:pPr>
      <w:r>
        <w:t>Advanced RBAC, billing, multi-region infrastructure, or unrelated SaaS features.</w:t>
      </w:r>
    </w:p>
    <w:p>
      <w:pPr>
        <w:pStyle w:val="Heading1"/>
      </w:pPr>
      <w:r>
        <w:t>26. Scope-Cut Order</w:t>
      </w:r>
    </w:p>
    <w:p>
      <w:pPr>
        <w:pStyle w:val="ListNumber"/>
        <w:spacing w:after="40"/>
      </w:pPr>
      <w:r>
        <w:t>Cut advanced AI behavior; retain at most one small trust-boundary example.</w:t>
      </w:r>
    </w:p>
    <w:p>
      <w:pPr>
        <w:pStyle w:val="ListNumber"/>
        <w:spacing w:after="40"/>
      </w:pPr>
      <w:r>
        <w:t>Cut automatic reconciliation repair; keep detection/reporting.</w:t>
      </w:r>
    </w:p>
    <w:p>
      <w:pPr>
        <w:pStyle w:val="ListNumber"/>
        <w:spacing w:after="40"/>
      </w:pPr>
      <w:r>
        <w:t>Reduce dashboard polish; preserve operation/failure/invariant visibility.</w:t>
      </w:r>
    </w:p>
    <w:p>
      <w:pPr>
        <w:pStyle w:val="ListNumber"/>
        <w:spacing w:after="40"/>
      </w:pPr>
      <w:r>
        <w:t>Reduce optional metrics.</w:t>
      </w:r>
    </w:p>
    <w:p>
      <w:pPr>
        <w:pStyle w:val="ListNumber"/>
        <w:spacing w:after="40"/>
      </w:pPr>
      <w:r>
        <w:t>Drop PO entirely.</w:t>
      </w:r>
    </w:p>
    <w:p>
      <w:pPr>
        <w:pStyle w:val="ListNumber"/>
        <w:spacing w:after="40"/>
      </w:pPr>
      <w:r>
        <w:t>Never cut the working ERP -&gt; PM slice, durable state/operation identity, database uniqueness, complete-snapshot safety, full-state versions/tombstones, uncertain-write verification, crash recovery, seeded chaos, or basic reconciliation.</w:t>
      </w:r>
    </w:p>
    <w:p>
      <w:pPr>
        <w:pStyle w:val="Heading1"/>
      </w:pPr>
      <w:r>
        <w:t>27. Practical Delivery Expectation</w:t>
      </w:r>
    </w:p>
    <w:p>
      <w:r>
        <w:t>A polished implementation is likely a multi-week effort, roughly five to six focused weeks depending on available time. The project should be managed by completed milestones rather than calendar alone: Milestone 1 is already demoable, Milestone 2 is a credible reliability project, Milestones 3-5 make it technically differentiated, and Milestones 6-8 make it polished and presentation-ready.</w:t>
      </w:r>
    </w:p>
    <w:p>
      <w:pPr>
        <w:pStyle w:val="Heading1"/>
      </w:pPr>
      <w:r>
        <w:t>28. Final Positioning</w:t>
      </w:r>
    </w:p>
    <w:p>
      <w:r>
        <w:t>Recommended description: SyncGuard is a fault-tolerant financial synchronization engine that replicates invoices from a legacy ERP into a modern project-management system. It discovers ERP changes without webhooks or reliable timestamps, processes work at least once while producing idempotent financial effects, verifies uncertain writes, rejects stale state, preserves delete tombstones, recovers from worker crashes, detects drift without flagging in-flight convergence, and proves its behavior through deterministic failure tests and reproducible seeded chaos runs.</w:t>
      </w:r>
    </w:p>
    <w:p>
      <w:r>
        <w:t>The strongest interview story is not that failures never happen. It is that the design assumes they will happen, makes the dangerous windows explicit, and provides objective tests showing that financial state remains trustworthy.</w:t>
      </w:r>
    </w:p>
    <w:p>
      <w:pPr>
        <w:pStyle w:val="Heading1"/>
      </w:pPr>
      <w:r>
        <w:t>29. Final Project Rule</w:t>
      </w:r>
    </w:p>
    <w:tbl>
      <w:tblPr>
        <w:tblW w:type="auto" w:w="0"/>
        <w:tblLook w:firstColumn="1" w:firstRow="1" w:lastColumn="0" w:lastRow="0" w:noHBand="0" w:noVBand="1" w:val="04A0"/>
      </w:tblPr>
      <w:tblGrid>
        <w:gridCol w:w="10282"/>
      </w:tblGrid>
      <w:tr>
        <w:tc>
          <w:tcPr>
            <w:tcW w:type="dxa" w:w="10282"/>
            <w:shd w:fill="FFF2CC"/>
          </w:tcPr>
          <w:p>
            <w:r>
              <w:rPr>
                <w:b/>
              </w:rPr>
              <w:t>No new feature is added unless it directly proves a correctness invariant, makes that proof visible, or is necessary for the final business-facing demonstration.</w:t>
            </w:r>
            <w:r>
              <w:br/>
              <w:t>The architecture is now considered finalized. Further design changes should be driven by concrete implementation evidence, not speculative complexity.</w:t>
            </w:r>
          </w:p>
        </w:tc>
      </w:tr>
    </w:tbl>
    <w:sectPr w:rsidR="00FC693F" w:rsidRPr="0006063C" w:rsidSect="00034616">
      <w:footerReference w:type="default" r:id="rId9"/>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SyncGuard - Finalized Project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