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b/>
          <w:color w:val="0F2C59"/>
          <w:sz w:val="40"/>
        </w:rPr>
        <w:t>SMART INDIA HACKATHON — MOIL LIMITED</w:t>
        <w:br/>
        <w:t>COMPREHENSIVE SYSTEM OPERATIONAL MANUAL &amp; ARCHITECTURE REPORT</w:t>
      </w:r>
    </w:p>
    <w:p>
      <w:pPr>
        <w:spacing w:before="0" w:after="360"/>
      </w:pPr>
      <w:r>
        <w:rPr>
          <w:i/>
          <w:color w:val="1A56A0"/>
          <w:sz w:val="24"/>
        </w:rPr>
        <w:t>AI &amp; Space Technology Driven Manganese Ore Reserve Identification, Operational Shortfall Mitigation &amp; Closed-Loop Smelter Logistics Optimization</w:t>
      </w:r>
    </w:p>
    <w:tbl>
      <w:tblPr>
        <w:tblW w:type="auto" w:w="0"/>
        <w:jc w:val="center"/>
        <w:tblLayout w:type="fixed"/>
        <w:tblLook w:firstColumn="1" w:firstRow="1" w:lastColumn="0" w:lastRow="0" w:noHBand="0" w:noVBand="1" w:val="04A0"/>
      </w:tblPr>
      <w:tblGrid>
        <w:gridCol w:w="5040"/>
        <w:gridCol w:w="5040"/>
      </w:tblGrid>
      <w:tr>
        <w:tc>
          <w:tcPr>
            <w:tcW w:type="dxa" w:w="3600"/>
            <w:shd w:fill="0F2C59"/>
            <w:tcMar>
              <w:top w:w="100" w:type="dxa"/>
              <w:bottom w:w="100" w:type="dxa"/>
              <w:left w:w="100" w:type="dxa"/>
              <w:right w:w="100" w:type="dxa"/>
            </w:tcMar>
          </w:tcPr>
          <w:p>
            <w:pPr>
              <w:spacing w:before="0" w:after="0"/>
            </w:pPr>
            <w:r>
              <w:rPr>
                <w:b/>
                <w:color w:val="FFFFFF"/>
                <w:sz w:val="18"/>
              </w:rPr>
              <w:t>PROJECT SPECIFICATION</w:t>
            </w:r>
          </w:p>
        </w:tc>
        <w:tc>
          <w:tcPr>
            <w:tcW w:type="dxa" w:w="6480"/>
            <w:shd w:fill="0F2C59"/>
            <w:tcMar>
              <w:top w:w="100" w:type="dxa"/>
              <w:bottom w:w="100" w:type="dxa"/>
              <w:left w:w="100" w:type="dxa"/>
              <w:right w:w="100" w:type="dxa"/>
            </w:tcMar>
          </w:tcPr>
          <w:p>
            <w:pPr>
              <w:spacing w:before="0" w:after="0"/>
            </w:pPr>
            <w:r>
              <w:rPr>
                <w:b/>
                <w:color w:val="FFFFFF"/>
                <w:sz w:val="18"/>
              </w:rPr>
              <w:t>DETAILS &amp; CONTEXT</w:t>
            </w:r>
          </w:p>
        </w:tc>
      </w:tr>
      <w:tr>
        <w:tc>
          <w:tcPr>
            <w:tcW w:type="dxa" w:w="360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Nodal Ministry</w:t>
            </w:r>
          </w:p>
        </w:tc>
        <w:tc>
          <w:tcPr>
            <w:tcW w:type="dxa" w:w="64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Ministry of Steel, Government of India</w:t>
            </w:r>
          </w:p>
        </w:tc>
      </w:tr>
      <w:tr>
        <w:tc>
          <w:tcPr>
            <w:tcW w:type="dxa" w:w="360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Organization / PSUs</w:t>
            </w:r>
          </w:p>
        </w:tc>
        <w:tc>
          <w:tcPr>
            <w:tcW w:type="dxa" w:w="648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MOIL Limited (Formerly Manganese Ore India Limited)</w:t>
            </w:r>
          </w:p>
        </w:tc>
      </w:tr>
      <w:tr>
        <w:tc>
          <w:tcPr>
            <w:tcW w:type="dxa" w:w="360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Challenge Domain</w:t>
            </w:r>
          </w:p>
        </w:tc>
        <w:tc>
          <w:tcPr>
            <w:tcW w:type="dxa" w:w="64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Space Technology, Earth Observation, AI/ML, Logistics Optimization</w:t>
            </w:r>
          </w:p>
        </w:tc>
      </w:tr>
      <w:tr>
        <w:tc>
          <w:tcPr>
            <w:tcW w:type="dxa" w:w="360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Core Technologies</w:t>
            </w:r>
          </w:p>
        </w:tc>
        <w:tc>
          <w:tcPr>
            <w:tcW w:type="dxa" w:w="648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Copernicus Sentinel-2, FastAPI, React 18, LightGBM, HistGradientBoosting, UNFC Standard</w:t>
            </w:r>
          </w:p>
        </w:tc>
      </w:tr>
      <w:tr>
        <w:tc>
          <w:tcPr>
            <w:tcW w:type="dxa" w:w="360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Git Repository</w:t>
            </w:r>
          </w:p>
        </w:tc>
        <w:tc>
          <w:tcPr>
            <w:tcW w:type="dxa" w:w="64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https://github.com/Harsh2005-a111/moil-project (Branch: main)</w:t>
            </w:r>
          </w:p>
        </w:tc>
      </w:tr>
      <w:tr>
        <w:tc>
          <w:tcPr>
            <w:tcW w:type="dxa" w:w="360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Production Build Status</w:t>
            </w:r>
          </w:p>
        </w:tc>
        <w:tc>
          <w:tcPr>
            <w:tcW w:type="dxa" w:w="648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Compiled with Zero Errors (Optimized Webpack Production Bundle)</w:t>
            </w:r>
          </w:p>
        </w:tc>
      </w:tr>
      <w:tr>
        <w:tc>
          <w:tcPr>
            <w:tcW w:type="dxa" w:w="360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Target Minerals</w:t>
            </w:r>
          </w:p>
        </w:tc>
        <w:tc>
          <w:tcPr>
            <w:tcW w:type="dxa" w:w="64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Pyrolusite (MnO2), Psilomelane, Braunite, Bixbyite in Gondite Formation</w:t>
            </w:r>
          </w:p>
        </w:tc>
      </w:tr>
    </w:tbl>
    <w:p>
      <w:pPr>
        <w:spacing w:before="0" w:after="80"/>
      </w:pPr>
    </w:p>
    <w:p>
      <w:r>
        <w:br w:type="page"/>
      </w:r>
    </w:p>
    <w:p>
      <w:pPr>
        <w:keepNext/>
        <w:spacing w:before="440" w:after="120"/>
        <w:pBdr>
          <w:bottom w:val="single" w:sz="14" w:space="4" w:color="0F2C59"/>
        </w:pBdr>
      </w:pPr>
      <w:r>
        <w:rPr>
          <w:b/>
          <w:color w:val="0F2C59"/>
          <w:sz w:val="32"/>
        </w:rPr>
        <w:t>1. Executive Summary &amp; Problem Context</w:t>
      </w:r>
    </w:p>
    <w:p>
      <w:pPr>
        <w:spacing w:before="0" w:after="80" w:line="276" w:lineRule="auto"/>
      </w:pPr>
      <w:r>
        <w:rPr>
          <w:color w:val="1E293B"/>
          <w:sz w:val="20"/>
        </w:rPr>
        <w:t>Manganese (Mn) is a non-substitutable strategic raw material for India's domestic steel industry. Every metric tonne of steel produced requires approximately 8 to 10 kilograms of manganese as a deoxidizing and desulfurizing alloy agent (principally in the form of Silico-Manganese and High Carbon Ferro-Manganese). MOIL Limited operates deep underground and open-cast mines across the Central Indian Manganese Belt (Nagpur-Bhandara districts of Maharashtra and Balaghat district of Madhya Pradesh), producing over 45% of India's domestic supply.</w:t>
      </w:r>
    </w:p>
    <w:p>
      <w:pPr>
        <w:spacing w:before="0" w:after="80" w:line="276" w:lineRule="auto"/>
      </w:pPr>
      <w:r>
        <w:rPr>
          <w:b/>
          <w:color w:val="1E293B"/>
          <w:sz w:val="20"/>
        </w:rPr>
        <w:t xml:space="preserve">The Core Challenge: </w:t>
      </w:r>
      <w:r>
        <w:rPr>
          <w:color w:val="1E293B"/>
          <w:sz w:val="20"/>
        </w:rPr>
        <w:t xml:space="preserve">However, MOIL faces two profound operational and geological bottlenecks: </w:t>
      </w:r>
    </w:p>
    <w:p>
      <w:pPr>
        <w:pStyle w:val="ListBullet"/>
        <w:spacing w:before="0" w:after="60" w:line="276" w:lineRule="auto"/>
      </w:pPr>
      <w:r>
        <w:rPr>
          <w:b/>
          <w:color w:val="1E293B"/>
          <w:sz w:val="19"/>
        </w:rPr>
        <w:t xml:space="preserve">1. Exploration Latency: </w:t>
      </w:r>
      <w:r>
        <w:rPr>
          <w:color w:val="1E293B"/>
          <w:sz w:val="19"/>
        </w:rPr>
        <w:t>Surface geological exploration is slow, capital intensive, and constrained by heavy vegetation cover and thick regolith, leading to delays in greenfield and brownfield reserve delineation.</w:t>
      </w:r>
    </w:p>
    <w:p>
      <w:pPr>
        <w:pStyle w:val="ListBullet"/>
        <w:spacing w:before="0" w:after="60" w:line="276" w:lineRule="auto"/>
      </w:pPr>
      <w:r>
        <w:rPr>
          <w:b/>
          <w:color w:val="1E293B"/>
          <w:sz w:val="19"/>
        </w:rPr>
        <w:t xml:space="preserve">2. Operational &amp; Supply Chain Deficits: </w:t>
      </w:r>
      <w:r>
        <w:rPr>
          <w:color w:val="1E293B"/>
          <w:sz w:val="19"/>
        </w:rPr>
        <w:t>Production shortfalls occur seasonally due to extreme monsoon inundation, heavy earthmoving equipment (HEMM) fleet breakdowns, high stripping ratios (waste-to-ore lag), and rail rake bottlenecks to central Indian smelters.</w:t>
      </w:r>
    </w:p>
    <w:p>
      <w:pPr>
        <w:spacing w:before="0" w:after="80" w:line="276" w:lineRule="auto"/>
      </w:pPr>
      <w:r>
        <w:rPr>
          <w:color w:val="1E293B"/>
          <w:sz w:val="20"/>
        </w:rPr>
        <w:t>This platform delivers an integrated, enterprise-grade AI and Space-Technology solution directly aligned with the United Nations Framework Classification (UNFC-1997/2009) and the Ministry of Mines guidelines, creating a seamless digital continuum from orbital space sensing to downhole drill cores, pit-bench extraction, and smelter siding dispatch.</w:t>
      </w:r>
    </w:p>
    <w:tbl>
      <w:tblPr>
        <w:tblW w:type="auto" w:w="0"/>
        <w:jc w:val="center"/>
        <w:tblLayout w:type="fixed"/>
        <w:tblLook w:firstColumn="1" w:firstRow="1" w:lastColumn="0" w:lastRow="0" w:noHBand="0" w:noVBand="1" w:val="04A0"/>
      </w:tblPr>
      <w:tblGrid>
        <w:gridCol w:w="10080"/>
      </w:tblGrid>
      <w:tr>
        <w:tc>
          <w:tcPr>
            <w:tcW w:type="dxa" w:w="10080"/>
            <w:shd w:fill="F8FAFC"/>
            <w:tcMar>
              <w:top w:w="120" w:type="dxa"/>
              <w:bottom w:w="120" w:type="dxa"/>
              <w:left w:w="180" w:type="dxa"/>
              <w:right w:w="140" w:type="dxa"/>
            </w:tcMar>
            <w:tcBorders>
              <w:top w:val="none"/>
              <w:bottom w:val="single" w:sz="24" w:space="0" w:color="E2E8F0"/>
              <w:left w:val="single" w:sz="24" w:space="0" w:color="0F2C59"/>
              <w:right w:val="none"/>
            </w:tcBorders>
          </w:tcPr>
          <w:p>
            <w:pPr>
              <w:spacing w:before="0" w:after="60"/>
            </w:pPr>
            <w:r>
              <w:rPr>
                <w:b/>
                <w:color w:val="0F2C59"/>
                <w:sz w:val="21"/>
              </w:rPr>
              <w:t>📌 KEY ARCHITECTURAL INNOVATION — CLOSING THE 3-TIER GAP</w:t>
              <w:br/>
            </w:r>
            <w:r>
              <w:rPr>
                <w:color w:val="1E293B"/>
                <w:sz w:val="19"/>
              </w:rPr>
              <w:t>1. Remote Sensing Tier: Sentinel-2 Multi-spectral reflectance with Bayesian lithological priors.</w:t>
              <w:br/>
              <w:t>2. Subsurface Ingestion Tier: True downhole core compositing, geometric dip corrections, and UNFC Stage transitions.</w:t>
              <w:br/>
              <w:t>3. Smelter Logistics Tier: Real-time Net Smelter Return (NSR) optimization factoring in Indian Railways freight tariffs.</w:t>
            </w:r>
          </w:p>
        </w:tc>
      </w:tr>
    </w:tbl>
    <w:p>
      <w:pPr>
        <w:spacing w:before="0" w:after="80"/>
      </w:pPr>
    </w:p>
    <w:p>
      <w:pPr>
        <w:keepNext/>
        <w:spacing w:before="440" w:after="120"/>
        <w:pBdr>
          <w:bottom w:val="single" w:sz="14" w:space="4" w:color="0F2C59"/>
        </w:pBdr>
      </w:pPr>
      <w:r>
        <w:rPr>
          <w:b/>
          <w:color w:val="0F2C59"/>
          <w:sz w:val="32"/>
        </w:rPr>
        <w:t>2. Standard Government Statutory Exploration Report Framework</w:t>
      </w:r>
    </w:p>
    <w:p>
      <w:pPr>
        <w:spacing w:before="0" w:after="80" w:line="276" w:lineRule="auto"/>
      </w:pPr>
      <w:r>
        <w:rPr>
          <w:color w:val="1E293B"/>
          <w:sz w:val="20"/>
        </w:rPr>
        <w:t>Whether prepared by the Geological Survey of India (GSI), the Indian Bureau of Mines (IBM), or submitted by a public/private exploration entity under the National Mineral Exploration Trust (NMET), official mineral dossiers are strictly mandated to contain five core statutory components. Government mining officials, statutory regulators, and technical evaluators do not prioritize dry mathematical formulas; they require highly detailed, transparent explanations of physical parameters, geological host environments, and Explainable AI (XAI) operational rationales.</w:t>
      </w:r>
    </w:p>
    <w:p>
      <w:pPr>
        <w:keepNext/>
        <w:spacing w:before="280" w:after="80"/>
      </w:pPr>
      <w:r>
        <w:rPr>
          <w:b/>
          <w:color w:val="1A56A0"/>
          <w:sz w:val="26"/>
        </w:rPr>
        <w:t>2.1 Area 1: Geological &amp; Spatial Mapping</w:t>
      </w:r>
    </w:p>
    <w:p>
      <w:pPr>
        <w:spacing w:before="0" w:after="80" w:line="276" w:lineRule="auto"/>
      </w:pPr>
      <w:r>
        <w:rPr>
          <w:b/>
          <w:color w:val="1E293B"/>
          <w:sz w:val="20"/>
        </w:rPr>
        <w:t xml:space="preserve">Statutory Focus: </w:t>
      </w:r>
      <w:r>
        <w:rPr>
          <w:color w:val="1E293B"/>
          <w:sz w:val="20"/>
        </w:rPr>
        <w:t>The spatial and geological foundation defining the legal perimeter and physical continuity of the mineral concession:</w:t>
      </w:r>
    </w:p>
    <w:p>
      <w:pPr>
        <w:pStyle w:val="ListBullet"/>
        <w:spacing w:before="0" w:after="60" w:line="276" w:lineRule="auto"/>
      </w:pPr>
      <w:r>
        <w:rPr>
          <w:b/>
          <w:color w:val="1E293B"/>
          <w:sz w:val="19"/>
        </w:rPr>
        <w:t xml:space="preserve">Geographical Boundaries: </w:t>
      </w:r>
      <w:r>
        <w:rPr>
          <w:color w:val="1E293B"/>
          <w:sz w:val="19"/>
        </w:rPr>
        <w:t>Exact Differential GPS (DGPS) survey coordinates, certified lease boundary pillars, cadastral village map superimposition, and total surface area (in hectares).</w:t>
      </w:r>
    </w:p>
    <w:p>
      <w:pPr>
        <w:pStyle w:val="ListBullet"/>
        <w:spacing w:before="0" w:after="60" w:line="276" w:lineRule="auto"/>
      </w:pPr>
      <w:r>
        <w:rPr>
          <w:b/>
          <w:color w:val="1E293B"/>
          <w:sz w:val="19"/>
        </w:rPr>
        <w:t xml:space="preserve">Lithology &amp; Stratigraphy: </w:t>
      </w:r>
      <w:r>
        <w:rPr>
          <w:color w:val="1E293B"/>
          <w:sz w:val="19"/>
        </w:rPr>
        <w:t>Host rock depositional environment (Proterozoic Sausar Group, Mansar Formation metapelites), thickness of ore-bearing strata, and footwall/hanging wall contact relationships.</w:t>
      </w:r>
    </w:p>
    <w:p>
      <w:pPr>
        <w:pStyle w:val="ListBullet"/>
        <w:spacing w:before="0" w:after="60" w:line="276" w:lineRule="auto"/>
      </w:pPr>
      <w:r>
        <w:rPr>
          <w:b/>
          <w:color w:val="1E293B"/>
          <w:sz w:val="19"/>
        </w:rPr>
        <w:t xml:space="preserve">Structural Geology: </w:t>
      </w:r>
      <w:r>
        <w:rPr>
          <w:color w:val="1E293B"/>
          <w:sz w:val="19"/>
        </w:rPr>
        <w:t>Detailed analysis of synclinal folds, transverse fault gouges, strike directions (regional ENE-WSW trend), and dip angles (45° to 75° NW) governing true underground ore position.</w:t>
      </w:r>
    </w:p>
    <w:p>
      <w:pPr>
        <w:keepNext/>
        <w:spacing w:before="280" w:after="80"/>
      </w:pPr>
      <w:r>
        <w:rPr>
          <w:b/>
          <w:color w:val="1A56A0"/>
          <w:sz w:val="26"/>
        </w:rPr>
        <w:t>2.2 Area 2: Mineralogical &amp; Chemical Composition (Ore Quality)</w:t>
      </w:r>
    </w:p>
    <w:p>
      <w:pPr>
        <w:spacing w:before="0" w:after="80" w:line="276" w:lineRule="auto"/>
      </w:pPr>
      <w:r>
        <w:rPr>
          <w:b/>
          <w:color w:val="1E293B"/>
          <w:sz w:val="20"/>
        </w:rPr>
        <w:t xml:space="preserve">Statutory Focus: </w:t>
      </w:r>
      <w:r>
        <w:rPr>
          <w:color w:val="1E293B"/>
          <w:sz w:val="20"/>
        </w:rPr>
        <w:t>Government agencies enforce rigorous multi-element chemical analysis to prevent the misclassification or under-reporting of ore grades:</w:t>
      </w:r>
    </w:p>
    <w:p>
      <w:pPr>
        <w:pStyle w:val="ListBullet"/>
        <w:spacing w:before="0" w:after="60" w:line="276" w:lineRule="auto"/>
      </w:pPr>
      <w:r>
        <w:rPr>
          <w:b/>
          <w:color w:val="1E293B"/>
          <w:sz w:val="19"/>
        </w:rPr>
        <w:t xml:space="preserve">Manganese Grade: </w:t>
      </w:r>
      <w:r>
        <w:rPr>
          <w:color w:val="1E293B"/>
          <w:sz w:val="19"/>
        </w:rPr>
        <w:t>Total chemical percentage of elemental Manganese (Mn) and Manganese Dioxide (MnO2). High-grade deposits (&gt;35% to 45% Mn) are flagged for premium ferromanganese metallurgy.</w:t>
      </w:r>
    </w:p>
    <w:p>
      <w:pPr>
        <w:pStyle w:val="ListBullet"/>
        <w:spacing w:before="0" w:after="60" w:line="276" w:lineRule="auto"/>
      </w:pPr>
      <w:r>
        <w:rPr>
          <w:b/>
          <w:color w:val="1E293B"/>
          <w:sz w:val="19"/>
        </w:rPr>
        <w:t xml:space="preserve">Mineral Forms: </w:t>
      </w:r>
      <w:r>
        <w:rPr>
          <w:color w:val="1E293B"/>
          <w:sz w:val="19"/>
        </w:rPr>
        <w:t>Crystalline identification of specific mineral species: primary Braunite (Mn7SiO12), Bixbyite ((Mn,Fe)2O3), Pyrolusite (MnO2), and Psilomelane.</w:t>
      </w:r>
    </w:p>
    <w:p>
      <w:pPr>
        <w:pStyle w:val="ListBullet"/>
        <w:spacing w:before="0" w:after="60" w:line="276" w:lineRule="auto"/>
      </w:pPr>
      <w:r>
        <w:rPr>
          <w:b/>
          <w:color w:val="1E293B"/>
          <w:sz w:val="19"/>
        </w:rPr>
        <w:t xml:space="preserve">Impurities &amp; Deleterious Ratios: </w:t>
      </w:r>
      <w:r>
        <w:rPr>
          <w:color w:val="1E293B"/>
          <w:sz w:val="19"/>
        </w:rPr>
        <w:t>Critical Manganese-to-Iron (Mn/Fe) ratio (ideally &gt; 6:1 for steel alloy production), alongside strict quantification of deleterious elements: Silica (SiO2), Alumina (Al2O3), Phosphorus (statutory limit &lt;0.15% P), and Sulfur (&lt;0.05% S).</w:t>
      </w:r>
    </w:p>
    <w:p>
      <w:pPr>
        <w:keepNext/>
        <w:spacing w:before="280" w:after="80"/>
      </w:pPr>
      <w:r>
        <w:rPr>
          <w:b/>
          <w:color w:val="1A56A0"/>
          <w:sz w:val="26"/>
        </w:rPr>
        <w:t>2.3 Area 3: Resource Estimation &amp; UNFC Classification</w:t>
      </w:r>
    </w:p>
    <w:p>
      <w:pPr>
        <w:spacing w:before="0" w:after="80" w:line="276" w:lineRule="auto"/>
      </w:pPr>
      <w:r>
        <w:rPr>
          <w:b/>
          <w:color w:val="1E293B"/>
          <w:sz w:val="20"/>
        </w:rPr>
        <w:t xml:space="preserve">Statutory Focus: </w:t>
      </w:r>
      <w:r>
        <w:rPr>
          <w:color w:val="1E293B"/>
          <w:sz w:val="20"/>
        </w:rPr>
        <w:t>Categorization of mineral assets under the United Nations Framework Classification (UNFC 1997/2009) and Minerals (Evidence of Mineral Content) Rules:</w:t>
      </w:r>
    </w:p>
    <w:p>
      <w:pPr>
        <w:pStyle w:val="ListBullet"/>
        <w:spacing w:before="0" w:after="60" w:line="276" w:lineRule="auto"/>
      </w:pPr>
      <w:r>
        <w:rPr>
          <w:b/>
          <w:color w:val="1E293B"/>
          <w:sz w:val="19"/>
        </w:rPr>
        <w:t xml:space="preserve">UNFC Framework Classification: </w:t>
      </w:r>
      <w:r>
        <w:rPr>
          <w:color w:val="1E293B"/>
          <w:sz w:val="19"/>
        </w:rPr>
        <w:t>Categorization across the 4 G-Axes: G4 (Reconnaissance / UNFC 334), G3 (Prospecting / UNFC 333), G2 (Pre-Feasibility / UNFC 122), and G1 (Detailed Exploration / UNFC 111 Proved Reserve).</w:t>
      </w:r>
    </w:p>
    <w:p>
      <w:pPr>
        <w:pStyle w:val="ListBullet"/>
        <w:spacing w:before="0" w:after="60" w:line="276" w:lineRule="auto"/>
      </w:pPr>
      <w:r>
        <w:rPr>
          <w:b/>
          <w:color w:val="1E293B"/>
          <w:sz w:val="19"/>
        </w:rPr>
        <w:t xml:space="preserve">Tonnage &amp; Volume: </w:t>
      </w:r>
      <w:r>
        <w:rPr>
          <w:color w:val="1E293B"/>
          <w:sz w:val="19"/>
        </w:rPr>
        <w:t>Cross-sectional and 3D wireframe volumetric calculations delineating Inferred, Indicated, and Proved tonnages based on certified borehole drill grid density (&lt;50m grid for G1).</w:t>
      </w:r>
    </w:p>
    <w:p>
      <w:pPr>
        <w:keepNext/>
        <w:spacing w:before="280" w:after="80"/>
      </w:pPr>
      <w:r>
        <w:rPr>
          <w:b/>
          <w:color w:val="1A56A0"/>
          <w:sz w:val="26"/>
        </w:rPr>
        <w:t>2.4 Area 4: Metallurgical &amp; Beneficiation Potential</w:t>
      </w:r>
    </w:p>
    <w:p>
      <w:pPr>
        <w:spacing w:before="0" w:after="80" w:line="276" w:lineRule="auto"/>
      </w:pPr>
      <w:r>
        <w:rPr>
          <w:b/>
          <w:color w:val="1E293B"/>
          <w:sz w:val="20"/>
        </w:rPr>
        <w:t xml:space="preserve">Statutory Focus: </w:t>
      </w:r>
      <w:r>
        <w:rPr>
          <w:color w:val="1E293B"/>
          <w:sz w:val="20"/>
        </w:rPr>
        <w:t>Technical evaluation proving that extracted ore can be economically processed and upgraded into marketable products:</w:t>
      </w:r>
    </w:p>
    <w:p>
      <w:pPr>
        <w:pStyle w:val="ListBullet"/>
        <w:spacing w:before="0" w:after="60" w:line="276" w:lineRule="auto"/>
      </w:pPr>
      <w:r>
        <w:rPr>
          <w:b/>
          <w:color w:val="1E293B"/>
          <w:sz w:val="19"/>
        </w:rPr>
        <w:t xml:space="preserve">Processing Viability: </w:t>
      </w:r>
      <w:r>
        <w:rPr>
          <w:color w:val="1E293B"/>
          <w:sz w:val="19"/>
        </w:rPr>
        <w:t>Crushing characteristics, grindability indices, washing and scrubbing amenability, and gravity separation (jigging/heavy media separation) response to liberate silica and garnet gangue.</w:t>
      </w:r>
    </w:p>
    <w:p>
      <w:pPr>
        <w:pStyle w:val="ListBullet"/>
        <w:spacing w:before="0" w:after="60" w:line="276" w:lineRule="auto"/>
      </w:pPr>
      <w:r>
        <w:rPr>
          <w:b/>
          <w:color w:val="1E293B"/>
          <w:sz w:val="19"/>
        </w:rPr>
        <w:t xml:space="preserve">Bulk Sampling Data: </w:t>
      </w:r>
      <w:r>
        <w:rPr>
          <w:color w:val="1E293B"/>
          <w:sz w:val="19"/>
        </w:rPr>
        <w:t>Empirical results from 500t to 10,000t bulk sampling campaigns confirming that low-grade portions (20-28% Mn) can be upgraded to &gt;35% commercial metallurgical standards with high metal recovery.</w:t>
      </w:r>
    </w:p>
    <w:p>
      <w:pPr>
        <w:keepNext/>
        <w:spacing w:before="280" w:after="80"/>
      </w:pPr>
      <w:r>
        <w:rPr>
          <w:b/>
          <w:color w:val="1A56A0"/>
          <w:sz w:val="26"/>
        </w:rPr>
        <w:t>2.5 Area 5: Environmental &amp; Socio-Economic Baselines</w:t>
      </w:r>
    </w:p>
    <w:p>
      <w:pPr>
        <w:spacing w:before="0" w:after="80" w:line="276" w:lineRule="auto"/>
      </w:pPr>
      <w:r>
        <w:rPr>
          <w:b/>
          <w:color w:val="1E293B"/>
          <w:sz w:val="20"/>
        </w:rPr>
        <w:t xml:space="preserve">Statutory Focus: </w:t>
      </w:r>
      <w:r>
        <w:rPr>
          <w:color w:val="1E293B"/>
          <w:sz w:val="20"/>
        </w:rPr>
        <w:t>Statutory environmental clearances and logistics infrastructure required to sustain commercial extraction:</w:t>
      </w:r>
    </w:p>
    <w:p>
      <w:pPr>
        <w:pStyle w:val="ListBullet"/>
        <w:spacing w:before="0" w:after="60" w:line="276" w:lineRule="auto"/>
      </w:pPr>
      <w:r>
        <w:rPr>
          <w:b/>
          <w:color w:val="1E293B"/>
          <w:sz w:val="19"/>
        </w:rPr>
        <w:t xml:space="preserve">Ecological Sensitivity: </w:t>
      </w:r>
      <w:r>
        <w:rPr>
          <w:color w:val="1E293B"/>
          <w:sz w:val="19"/>
        </w:rPr>
        <w:t>Distance to designated protected forests, wildlife sanctuaries (Pench/Kanha tiger corridors), and critical groundwater aquifers under MoEFCC guidelines.</w:t>
      </w:r>
    </w:p>
    <w:p>
      <w:pPr>
        <w:pStyle w:val="ListBullet"/>
        <w:spacing w:before="0" w:after="60" w:line="276" w:lineRule="auto"/>
      </w:pPr>
      <w:r>
        <w:rPr>
          <w:b/>
          <w:color w:val="1E293B"/>
          <w:sz w:val="19"/>
        </w:rPr>
        <w:t xml:space="preserve">Infrastructure Assessment: </w:t>
      </w:r>
      <w:r>
        <w:rPr>
          <w:color w:val="1E293B"/>
          <w:sz w:val="19"/>
        </w:rPr>
        <w:t>Proximity to South East Central Railway (SECR) loading sidings, national highways (NH-543), high-tension power transmission lines, and water supply sources.</w:t>
      </w:r>
    </w:p>
    <w:p>
      <w:pPr>
        <w:pStyle w:val="ListBullet"/>
        <w:spacing w:before="0" w:after="60" w:line="276" w:lineRule="auto"/>
      </w:pPr>
      <w:r>
        <w:rPr>
          <w:b/>
          <w:color w:val="1E293B"/>
          <w:sz w:val="19"/>
        </w:rPr>
        <w:t xml:space="preserve">Health, Safety &amp; Dust Suppression: </w:t>
      </w:r>
      <w:r>
        <w:rPr>
          <w:color w:val="1E293B"/>
          <w:sz w:val="19"/>
        </w:rPr>
        <w:t>DGMS compliance standards regarding occupational health, continuous wet dust suppression, and biological medical surveillance to prevent airborne manganese dust exposure (manganism).</w:t>
      </w:r>
    </w:p>
    <w:tbl>
      <w:tblPr>
        <w:tblW w:type="auto" w:w="0"/>
        <w:jc w:val="center"/>
        <w:tblLayout w:type="fixed"/>
        <w:tblLook w:firstColumn="1" w:firstRow="1" w:lastColumn="0" w:lastRow="0" w:noHBand="0" w:noVBand="1" w:val="04A0"/>
      </w:tblPr>
      <w:tblGrid>
        <w:gridCol w:w="10080"/>
      </w:tblGrid>
      <w:tr>
        <w:tc>
          <w:tcPr>
            <w:tcW w:type="dxa" w:w="10080"/>
            <w:shd w:fill="F0FDF4"/>
            <w:tcMar>
              <w:top w:w="120" w:type="dxa"/>
              <w:bottom w:w="120" w:type="dxa"/>
              <w:left w:w="180" w:type="dxa"/>
              <w:right w:w="140" w:type="dxa"/>
            </w:tcMar>
            <w:tcBorders>
              <w:top w:val="none"/>
              <w:bottom w:val="single" w:sz="24" w:space="0" w:color="E2E8F0"/>
              <w:left w:val="single" w:sz="24" w:space="0" w:color="059669"/>
              <w:right w:val="none"/>
            </w:tcBorders>
          </w:tcPr>
          <w:p>
            <w:pPr>
              <w:spacing w:before="0" w:after="60"/>
            </w:pPr>
            <w:r>
              <w:rPr>
                <w:b/>
                <w:color w:val="10B981"/>
                <w:sz w:val="21"/>
              </w:rPr>
              <w:t>📌 HOW THE PORTAL DELIVERS ON-DEMAND STATUTORY REPORTS</w:t>
              <w:br/>
            </w:r>
            <w:r>
              <w:rPr>
                <w:color w:val="1E293B"/>
                <w:sz w:val="19"/>
              </w:rPr>
              <w:t>Every module and sub-tab in the MOIL platform features a dedicated 'View &amp; Download Section Report' button. Government inspectors, mining engineers, and hackathon judges can immediately review and export complete statutory dossiers structured around these exact five areas, with complete Explainable AI parameter explanations.</w:t>
            </w:r>
          </w:p>
        </w:tc>
      </w:tr>
    </w:tbl>
    <w:p>
      <w:pPr>
        <w:spacing w:before="0" w:after="80"/>
      </w:pPr>
    </w:p>
    <w:p>
      <w:r>
        <w:br w:type="page"/>
      </w:r>
    </w:p>
    <w:p>
      <w:pPr>
        <w:keepNext/>
        <w:spacing w:before="440" w:after="120"/>
        <w:pBdr>
          <w:bottom w:val="single" w:sz="14" w:space="4" w:color="0F2C59"/>
        </w:pBdr>
      </w:pPr>
      <w:r>
        <w:rPr>
          <w:b/>
          <w:color w:val="0F2C59"/>
          <w:sz w:val="32"/>
        </w:rPr>
        <w:t>3. End-to-End System Architecture</w:t>
      </w:r>
    </w:p>
    <w:p>
      <w:pPr>
        <w:spacing w:before="0" w:after="80" w:line="276" w:lineRule="auto"/>
      </w:pPr>
      <w:r>
        <w:rPr>
          <w:color w:val="1E293B"/>
          <w:sz w:val="20"/>
        </w:rPr>
        <w:t>The system operates on a decoupled client-server architecture engineered for high availability, low latency, and deterministic scientific reproducibility:</w:t>
      </w:r>
    </w:p>
    <w:tbl>
      <w:tblPr>
        <w:tblW w:type="auto" w:w="0"/>
        <w:jc w:val="center"/>
        <w:tblLayout w:type="fixed"/>
        <w:tblLook w:firstColumn="1" w:firstRow="1" w:lastColumn="0" w:lastRow="0" w:noHBand="0" w:noVBand="1" w:val="04A0"/>
      </w:tblPr>
      <w:tblGrid>
        <w:gridCol w:w="3360"/>
        <w:gridCol w:w="3360"/>
        <w:gridCol w:w="3360"/>
      </w:tblGrid>
      <w:tr>
        <w:tc>
          <w:tcPr>
            <w:tcW w:type="dxa" w:w="2880"/>
            <w:shd w:fill="1A56A0"/>
            <w:tcMar>
              <w:top w:w="100" w:type="dxa"/>
              <w:bottom w:w="100" w:type="dxa"/>
              <w:left w:w="100" w:type="dxa"/>
              <w:right w:w="100" w:type="dxa"/>
            </w:tcMar>
          </w:tcPr>
          <w:p>
            <w:pPr>
              <w:spacing w:before="0" w:after="0"/>
            </w:pPr>
            <w:r>
              <w:rPr>
                <w:b/>
                <w:color w:val="FFFFFF"/>
                <w:sz w:val="18"/>
              </w:rPr>
              <w:t>LAYER / COMPONENT</w:t>
            </w:r>
          </w:p>
        </w:tc>
        <w:tc>
          <w:tcPr>
            <w:tcW w:type="dxa" w:w="2880"/>
            <w:shd w:fill="1A56A0"/>
            <w:tcMar>
              <w:top w:w="100" w:type="dxa"/>
              <w:bottom w:w="100" w:type="dxa"/>
              <w:left w:w="100" w:type="dxa"/>
              <w:right w:w="100" w:type="dxa"/>
            </w:tcMar>
          </w:tcPr>
          <w:p>
            <w:pPr>
              <w:spacing w:before="0" w:after="0"/>
            </w:pPr>
            <w:r>
              <w:rPr>
                <w:b/>
                <w:color w:val="FFFFFF"/>
                <w:sz w:val="18"/>
              </w:rPr>
              <w:t>TECHNOLOGY STACK</w:t>
            </w:r>
          </w:p>
        </w:tc>
        <w:tc>
          <w:tcPr>
            <w:tcW w:type="dxa" w:w="4320"/>
            <w:shd w:fill="1A56A0"/>
            <w:tcMar>
              <w:top w:w="100" w:type="dxa"/>
              <w:bottom w:w="100" w:type="dxa"/>
              <w:left w:w="100" w:type="dxa"/>
              <w:right w:w="100" w:type="dxa"/>
            </w:tcMar>
          </w:tcPr>
          <w:p>
            <w:pPr>
              <w:spacing w:before="0" w:after="0"/>
            </w:pPr>
            <w:r>
              <w:rPr>
                <w:b/>
                <w:color w:val="FFFFFF"/>
                <w:sz w:val="18"/>
              </w:rPr>
              <w:t>FUNCTIONAL ROLE</w:t>
            </w:r>
          </w:p>
        </w:tc>
      </w:tr>
      <w:tr>
        <w:tc>
          <w:tcPr>
            <w:tcW w:type="dxa" w:w="28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Presentation Layer</w:t>
            </w:r>
          </w:p>
        </w:tc>
        <w:tc>
          <w:tcPr>
            <w:tcW w:type="dxa" w:w="28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React 18, Tailwind CSS, Lucide Icons, Recharts</w:t>
            </w:r>
          </w:p>
        </w:tc>
        <w:tc>
          <w:tcPr>
            <w:tcW w:type="dxa" w:w="432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Interactive UI, debounced simulation reactivity, multi-tab exploration hub, downhole stratigraphic viewer.</w:t>
            </w:r>
          </w:p>
        </w:tc>
      </w:tr>
      <w:tr>
        <w:tc>
          <w:tcPr>
            <w:tcW w:type="dxa" w:w="288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API Gateway</w:t>
            </w:r>
          </w:p>
        </w:tc>
        <w:tc>
          <w:tcPr>
            <w:tcW w:type="dxa" w:w="288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FastAPI (Python 3.10+), Pydantic v2</w:t>
            </w:r>
          </w:p>
        </w:tc>
        <w:tc>
          <w:tcPr>
            <w:tcW w:type="dxa" w:w="432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Asynchronous endpoints, strict type validation, request serialization, CORS middleware.</w:t>
            </w:r>
          </w:p>
        </w:tc>
      </w:tr>
      <w:tr>
        <w:tc>
          <w:tcPr>
            <w:tcW w:type="dxa" w:w="28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Earth Observation Engine</w:t>
            </w:r>
          </w:p>
        </w:tc>
        <w:tc>
          <w:tcPr>
            <w:tcW w:type="dxa" w:w="28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Sentinel-2 Multi-Spectral API &amp; Simulated Fallback</w:t>
            </w:r>
          </w:p>
        </w:tc>
        <w:tc>
          <w:tcPr>
            <w:tcW w:type="dxa" w:w="432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Spectral band extraction (B4, B8, B11, B12), Mineral Alteration Index, Manganese Oxide Ratio.</w:t>
            </w:r>
          </w:p>
        </w:tc>
      </w:tr>
      <w:tr>
        <w:tc>
          <w:tcPr>
            <w:tcW w:type="dxa" w:w="288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Prior Geology Engine</w:t>
            </w:r>
          </w:p>
        </w:tc>
        <w:tc>
          <w:tcPr>
            <w:tcW w:type="dxa" w:w="288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Bayesian GSI Lithology Matrix</w:t>
            </w:r>
          </w:p>
        </w:tc>
        <w:tc>
          <w:tcPr>
            <w:tcW w:type="dxa" w:w="432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Priors for Gondite, Phyllite, Quartzite-Schist, BIF, and Granite Gneiss calibrated to Geological Survey of India maps.</w:t>
            </w:r>
          </w:p>
        </w:tc>
      </w:tr>
      <w:tr>
        <w:tc>
          <w:tcPr>
            <w:tcW w:type="dxa" w:w="28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Drill-Core Log Engine</w:t>
            </w:r>
          </w:p>
        </w:tc>
        <w:tc>
          <w:tcPr>
            <w:tcW w:type="dxa" w:w="28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Borehole Compositing &amp; Trigonometric Corrections</w:t>
            </w:r>
          </w:p>
        </w:tc>
        <w:tc>
          <w:tcPr>
            <w:tcW w:type="dxa" w:w="432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Interval compositing, True Thickness = Apparent * cos(dip), RQD geotechnical competence, UNFC 111/122/333.</w:t>
            </w:r>
          </w:p>
        </w:tc>
      </w:tr>
      <w:tr>
        <w:tc>
          <w:tcPr>
            <w:tcW w:type="dxa" w:w="288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AI Risk Engine</w:t>
            </w:r>
          </w:p>
        </w:tc>
        <w:tc>
          <w:tcPr>
            <w:tcW w:type="dxa" w:w="288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LightGBM + HistGradientBoostingRegressor</w:t>
            </w:r>
          </w:p>
        </w:tc>
        <w:tc>
          <w:tcPr>
            <w:tcW w:type="dxa" w:w="432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Operational shortfall forecasting (tonnes), SHAP-style non-linear feature attributions, bottleneck pinpointing.</w:t>
            </w:r>
          </w:p>
        </w:tc>
      </w:tr>
      <w:tr>
        <w:tc>
          <w:tcPr>
            <w:tcW w:type="dxa" w:w="28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Logistics &amp; Freight Engine</w:t>
            </w:r>
          </w:p>
        </w:tc>
        <w:tc>
          <w:tcPr>
            <w:tcW w:type="dxa" w:w="28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Haversine Distance Matrix + Indian Railways Class 140</w:t>
            </w:r>
          </w:p>
        </w:tc>
        <w:tc>
          <w:tcPr>
            <w:tcW w:type="dxa" w:w="432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Rail route optimization from pithead to MEL Chandrapur, Bhilai, Nagpur/Kanhan, and Vizag.</w:t>
            </w:r>
          </w:p>
        </w:tc>
      </w:tr>
    </w:tbl>
    <w:p>
      <w:pPr>
        <w:spacing w:before="0" w:after="80"/>
      </w:pPr>
    </w:p>
    <w:p>
      <w:pPr>
        <w:spacing w:before="0" w:after="80" w:line="276" w:lineRule="auto"/>
      </w:pPr>
      <w:r>
        <w:rPr>
          <w:color w:val="1E293B"/>
          <w:sz w:val="20"/>
        </w:rPr>
        <w:t>Data flows seamlessly through a 4-step pipeline: (1) Satellite multi-spectral acquisition computes initial surface probability; (2) Geological priors apply Bayesian scaling to eliminate vegetation/soil false positives; (3) Subsurface borehole diamond drill-core logs calibrate the deposit into true 3D extractable reserves; (4) Pithead operations and rail logistics ensure maximum Net Smelter Return.</w:t>
      </w:r>
    </w:p>
    <w:p>
      <w:pPr>
        <w:keepNext/>
        <w:spacing w:before="440" w:after="120"/>
        <w:pBdr>
          <w:bottom w:val="single" w:sz="14" w:space="4" w:color="0F2C59"/>
        </w:pBdr>
      </w:pPr>
      <w:r>
        <w:rPr>
          <w:b/>
          <w:color w:val="0F2C59"/>
          <w:sz w:val="32"/>
        </w:rPr>
        <w:t>3. Universal Navigation &amp; Global Reactive KPI Bar</w:t>
      </w:r>
    </w:p>
    <w:p>
      <w:pPr>
        <w:spacing w:before="0" w:after="80" w:line="276" w:lineRule="auto"/>
      </w:pPr>
      <w:r>
        <w:rPr>
          <w:color w:val="1E293B"/>
          <w:sz w:val="20"/>
        </w:rPr>
        <w:t>A critical feature of the enterprise dashboard is the Universal Reactive KPI Bar mounted permanently across the header. It acts as the single source of truth for mine managers, chief geologists, and directors.</w:t>
      </w:r>
    </w:p>
    <w:p>
      <w:pPr>
        <w:keepNext/>
        <w:spacing w:before="280" w:after="80"/>
      </w:pPr>
      <w:r>
        <w:rPr>
          <w:b/>
          <w:color w:val="1A56A0"/>
          <w:sz w:val="26"/>
        </w:rPr>
        <w:t>3.1 Strict State Behavior: Empty State vs Active Mine State</w:t>
      </w:r>
    </w:p>
    <w:p>
      <w:pPr>
        <w:spacing w:before="0" w:after="80" w:line="276" w:lineRule="auto"/>
      </w:pPr>
      <w:r>
        <w:rPr>
          <w:b/>
          <w:color w:val="1E293B"/>
          <w:sz w:val="20"/>
        </w:rPr>
        <w:t xml:space="preserve">Design Principle: </w:t>
      </w:r>
      <w:r>
        <w:rPr>
          <w:color w:val="1E293B"/>
          <w:sz w:val="20"/>
        </w:rPr>
        <w:t>To maintain rigorous data integrity and eliminate ghost or default assumptions:</w:t>
      </w:r>
    </w:p>
    <w:p>
      <w:pPr>
        <w:pStyle w:val="ListBullet"/>
        <w:spacing w:before="0" w:after="60" w:line="276" w:lineRule="auto"/>
      </w:pPr>
      <w:r>
        <w:rPr>
          <w:b/>
          <w:color w:val="1E293B"/>
          <w:sz w:val="19"/>
        </w:rPr>
        <w:t xml:space="preserve">Empty State (--): </w:t>
      </w:r>
      <w:r>
        <w:rPr>
          <w:color w:val="1E293B"/>
          <w:sz w:val="19"/>
        </w:rPr>
        <w:t>When the user has not selected any region (Default / Cold Start), all 5 KPI cards display '--' placeholders. No fictitious numbers or dummy values are shown.</w:t>
      </w:r>
    </w:p>
    <w:p>
      <w:pPr>
        <w:pStyle w:val="ListBullet"/>
        <w:spacing w:before="0" w:after="60" w:line="276" w:lineRule="auto"/>
      </w:pPr>
      <w:r>
        <w:rPr>
          <w:b/>
          <w:color w:val="1E293B"/>
          <w:sz w:val="19"/>
        </w:rPr>
        <w:t xml:space="preserve">Active State: </w:t>
      </w:r>
      <w:r>
        <w:rPr>
          <w:color w:val="1E293B"/>
          <w:sz w:val="19"/>
        </w:rPr>
        <w:t>As soon as the user selects a region (e.g., Balaghat, Ukwa, Dongri Buzurg), the dashboard triggers a debounced (400ms) background synchronization that populates real-time numbers.</w:t>
      </w:r>
    </w:p>
    <w:p>
      <w:pPr>
        <w:pStyle w:val="ListBullet"/>
        <w:spacing w:before="0" w:after="60" w:line="276" w:lineRule="auto"/>
      </w:pPr>
      <w:r>
        <w:rPr>
          <w:b/>
          <w:color w:val="1E293B"/>
          <w:sz w:val="19"/>
        </w:rPr>
        <w:t xml:space="preserve">Cross-Tab Reactivity: </w:t>
      </w:r>
      <w:r>
        <w:rPr>
          <w:color w:val="1E293B"/>
          <w:sz w:val="19"/>
        </w:rPr>
        <w:t>Whenever any operational slider is moved (e.g., Cut-off Grade, Bench Depth, Truck Availability, or Rainfall), the global KPIs immediately re-evaluate and reflect updated values across every tab.</w:t>
      </w:r>
    </w:p>
    <w:p>
      <w:pPr>
        <w:keepNext/>
        <w:spacing w:before="280" w:after="80"/>
      </w:pPr>
      <w:r>
        <w:rPr>
          <w:b/>
          <w:color w:val="1A56A0"/>
          <w:sz w:val="26"/>
        </w:rPr>
        <w:t>3.2 The 5 Universal KPIs Explained</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92"/>
            <w:shd w:fill="0F2C59"/>
            <w:tcMar>
              <w:top w:w="100" w:type="dxa"/>
              <w:bottom w:w="100" w:type="dxa"/>
              <w:left w:w="100" w:type="dxa"/>
              <w:right w:w="100" w:type="dxa"/>
            </w:tcMar>
          </w:tcPr>
          <w:p>
            <w:pPr>
              <w:spacing w:before="0" w:after="0"/>
            </w:pPr>
            <w:r>
              <w:rPr>
                <w:b/>
                <w:color w:val="FFFFFF"/>
                <w:sz w:val="18"/>
              </w:rPr>
              <w:t>GLOBAL KPI METRIC</w:t>
            </w:r>
          </w:p>
        </w:tc>
        <w:tc>
          <w:tcPr>
            <w:tcW w:type="dxa" w:w="1152"/>
            <w:shd w:fill="0F2C59"/>
            <w:tcMar>
              <w:top w:w="100" w:type="dxa"/>
              <w:bottom w:w="100" w:type="dxa"/>
              <w:left w:w="100" w:type="dxa"/>
              <w:right w:w="100" w:type="dxa"/>
            </w:tcMar>
          </w:tcPr>
          <w:p>
            <w:pPr>
              <w:spacing w:before="0" w:after="0"/>
            </w:pPr>
            <w:r>
              <w:rPr>
                <w:b/>
                <w:color w:val="FFFFFF"/>
                <w:sz w:val="18"/>
              </w:rPr>
              <w:t>UNIT</w:t>
            </w:r>
          </w:p>
        </w:tc>
        <w:tc>
          <w:tcPr>
            <w:tcW w:type="dxa" w:w="3456"/>
            <w:shd w:fill="0F2C59"/>
            <w:tcMar>
              <w:top w:w="100" w:type="dxa"/>
              <w:bottom w:w="100" w:type="dxa"/>
              <w:left w:w="100" w:type="dxa"/>
              <w:right w:w="100" w:type="dxa"/>
            </w:tcMar>
          </w:tcPr>
          <w:p>
            <w:pPr>
              <w:spacing w:before="0" w:after="0"/>
            </w:pPr>
            <w:r>
              <w:rPr>
                <w:b/>
                <w:color w:val="FFFFFF"/>
                <w:sz w:val="18"/>
              </w:rPr>
              <w:t>CALCULATION FORMULA &amp; LOGIC</w:t>
            </w:r>
          </w:p>
        </w:tc>
        <w:tc>
          <w:tcPr>
            <w:tcW w:type="dxa" w:w="2880"/>
            <w:shd w:fill="0F2C59"/>
            <w:tcMar>
              <w:top w:w="100" w:type="dxa"/>
              <w:bottom w:w="100" w:type="dxa"/>
              <w:left w:w="100" w:type="dxa"/>
              <w:right w:w="100" w:type="dxa"/>
            </w:tcMar>
          </w:tcPr>
          <w:p>
            <w:pPr>
              <w:spacing w:before="0" w:after="0"/>
            </w:pPr>
            <w:r>
              <w:rPr>
                <w:b/>
                <w:color w:val="FFFFFF"/>
                <w:sz w:val="18"/>
              </w:rPr>
              <w:t>OPERATIONAL MEANING</w:t>
            </w:r>
          </w:p>
        </w:tc>
      </w:tr>
      <w:tr>
        <w:tc>
          <w:tcPr>
            <w:tcW w:type="dxa" w:w="2592"/>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Total Identified In-Situ Ore</w:t>
            </w:r>
          </w:p>
        </w:tc>
        <w:tc>
          <w:tcPr>
            <w:tcW w:type="dxa" w:w="1152"/>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Million Tonnes (Mt)</w:t>
            </w:r>
          </w:p>
        </w:tc>
        <w:tc>
          <w:tcPr>
            <w:tcW w:type="dxa" w:w="3456"/>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Area (km2) * Seam Thickness (m) * Ore Density (3.8 t/m3) * Spectral Potential %</w:t>
            </w:r>
          </w:p>
        </w:tc>
        <w:tc>
          <w:tcPr>
            <w:tcW w:type="dxa" w:w="28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Gross tonnage of manganese-bearing formation identified within the mining lease.</w:t>
            </w:r>
          </w:p>
        </w:tc>
      </w:tr>
      <w:tr>
        <w:tc>
          <w:tcPr>
            <w:tcW w:type="dxa" w:w="2592"/>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Mean Composite Grade</w:t>
            </w:r>
          </w:p>
        </w:tc>
        <w:tc>
          <w:tcPr>
            <w:tcW w:type="dxa" w:w="1152"/>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 Mn</w:t>
            </w:r>
          </w:p>
        </w:tc>
        <w:tc>
          <w:tcPr>
            <w:tcW w:type="dxa" w:w="3456"/>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16.0% + (Prob_Final * 34.0%) calibrated by Subsurface Drill Core Assays</w:t>
            </w:r>
          </w:p>
        </w:tc>
        <w:tc>
          <w:tcPr>
            <w:tcW w:type="dxa" w:w="288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Weighted average manganese metal concentration in the ore body. Commercial cutoff &gt;= 30%.</w:t>
            </w:r>
          </w:p>
        </w:tc>
      </w:tr>
      <w:tr>
        <w:tc>
          <w:tcPr>
            <w:tcW w:type="dxa" w:w="2592"/>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Extractable Metal (Active Constraints)</w:t>
            </w:r>
          </w:p>
        </w:tc>
        <w:tc>
          <w:tcPr>
            <w:tcW w:type="dxa" w:w="1152"/>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Tonnes (t Mn)</w:t>
            </w:r>
          </w:p>
        </w:tc>
        <w:tc>
          <w:tcPr>
            <w:tcW w:type="dxa" w:w="3456"/>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Tonnage * (Grade / 100) * Stripping Haircut * Recovery (82%) * Forest Buffer Factor</w:t>
            </w:r>
          </w:p>
        </w:tc>
        <w:tc>
          <w:tcPr>
            <w:tcW w:type="dxa" w:w="28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Net saleable pure manganese metal recoverable after geotechnical and environmental deductions.</w:t>
            </w:r>
          </w:p>
        </w:tc>
      </w:tr>
      <w:tr>
        <w:tc>
          <w:tcPr>
            <w:tcW w:type="dxa" w:w="2592"/>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Operational Shortfall Risk</w:t>
            </w:r>
          </w:p>
        </w:tc>
        <w:tc>
          <w:tcPr>
            <w:tcW w:type="dxa" w:w="1152"/>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Rating (Low / Mod / Crit)</w:t>
            </w:r>
          </w:p>
        </w:tc>
        <w:tc>
          <w:tcPr>
            <w:tcW w:type="dxa" w:w="3456"/>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Evaluated by LightGBM + HistGradientBoosting from Shift Conditions</w:t>
            </w:r>
          </w:p>
        </w:tc>
        <w:tc>
          <w:tcPr>
            <w:tcW w:type="dxa" w:w="288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Real-time probability of failing to meet weekly/monthly MOIL production quotas.</w:t>
            </w:r>
          </w:p>
        </w:tc>
      </w:tr>
      <w:tr>
        <w:tc>
          <w:tcPr>
            <w:tcW w:type="dxa" w:w="2592"/>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Optimal Smelter Net Margin (NSR)</w:t>
            </w:r>
          </w:p>
        </w:tc>
        <w:tc>
          <w:tcPr>
            <w:tcW w:type="dxa" w:w="1152"/>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 / tonne</w:t>
            </w:r>
          </w:p>
        </w:tc>
        <w:tc>
          <w:tcPr>
            <w:tcW w:type="dxa" w:w="3456"/>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Max [Gross Realized Value - Indian Rail Freight - Terminal Handling] across 4 Plants</w:t>
            </w:r>
          </w:p>
        </w:tc>
        <w:tc>
          <w:tcPr>
            <w:tcW w:type="dxa" w:w="28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Net profit per tonne realized by routing ore to the most cost-effective smelter siding.</w:t>
            </w:r>
          </w:p>
        </w:tc>
      </w:tr>
    </w:tbl>
    <w:p>
      <w:pPr>
        <w:spacing w:before="0" w:after="80"/>
      </w:pPr>
    </w:p>
    <w:p>
      <w:r>
        <w:br w:type="page"/>
      </w:r>
    </w:p>
    <w:p>
      <w:pPr>
        <w:keepNext/>
        <w:spacing w:before="440" w:after="120"/>
        <w:pBdr>
          <w:bottom w:val="single" w:sz="14" w:space="4" w:color="0F2C59"/>
        </w:pBdr>
      </w:pPr>
      <w:r>
        <w:rPr>
          <w:b/>
          <w:color w:val="0F2C59"/>
          <w:sz w:val="32"/>
        </w:rPr>
        <w:t>4. Module 1: Reserve Ingestion &amp; Exploration Hub</w:t>
      </w:r>
    </w:p>
    <w:p>
      <w:pPr>
        <w:spacing w:before="0" w:after="80" w:line="276" w:lineRule="auto"/>
      </w:pPr>
      <w:r>
        <w:rPr>
          <w:color w:val="1E293B"/>
          <w:sz w:val="20"/>
        </w:rPr>
        <w:t>The Reserve Ingestion Hub (ReserveIngestionHub.js) is the primary geological engine of the platform. It provides a multi-tiered workflow organized into 5 intuitive operational tabs.</w:t>
      </w:r>
    </w:p>
    <w:p>
      <w:pPr>
        <w:keepNext/>
        <w:spacing w:before="280" w:after="80"/>
      </w:pPr>
      <w:r>
        <w:rPr>
          <w:b/>
          <w:color w:val="1A56A0"/>
          <w:sz w:val="26"/>
        </w:rPr>
        <w:t>4.1 Tab 1: Satellite Multi-Spectral Scanner &amp; AI Prospector</w:t>
      </w:r>
    </w:p>
    <w:p>
      <w:pPr>
        <w:spacing w:before="0" w:after="80" w:line="276" w:lineRule="auto"/>
      </w:pPr>
      <w:r>
        <w:rPr>
          <w:color w:val="1E293B"/>
          <w:sz w:val="20"/>
        </w:rPr>
        <w:t>This tab integrates European Space Agency (ESA) Copernicus Sentinel-2 Level-2A imagery with machine learning to detect characteristic iron-manganese oxide and silicate alteration signatures.</w:t>
      </w:r>
    </w:p>
    <w:p>
      <w:pPr>
        <w:keepNext/>
        <w:spacing w:before="200" w:after="40"/>
      </w:pPr>
      <w:r>
        <w:rPr>
          <w:b/>
          <w:color w:val="1E293B"/>
          <w:sz w:val="22"/>
        </w:rPr>
        <w:t>Inputs to Consider:</w:t>
      </w:r>
    </w:p>
    <w:p>
      <w:pPr>
        <w:pStyle w:val="ListBullet"/>
        <w:spacing w:before="0" w:after="60" w:line="276" w:lineRule="auto"/>
      </w:pPr>
      <w:r>
        <w:rPr>
          <w:b/>
          <w:color w:val="1E293B"/>
          <w:sz w:val="19"/>
        </w:rPr>
        <w:t xml:space="preserve">Target Mine Selection: </w:t>
      </w:r>
      <w:r>
        <w:rPr>
          <w:color w:val="1E293B"/>
          <w:sz w:val="19"/>
        </w:rPr>
        <w:t>Choose from 8 primary MOIL production blocks: Balaghat (deepest underground), Ukwa, Dongri Buzurg, Mansar, Tirodi, Chikla, Gumgaon, Kandri.</w:t>
      </w:r>
    </w:p>
    <w:p>
      <w:pPr>
        <w:pStyle w:val="ListBullet"/>
        <w:spacing w:before="0" w:after="60" w:line="276" w:lineRule="auto"/>
      </w:pPr>
      <w:r>
        <w:rPr>
          <w:b/>
          <w:color w:val="1E293B"/>
          <w:sz w:val="19"/>
        </w:rPr>
        <w:t xml:space="preserve">Geographic Coordinates (Lat/Long): </w:t>
      </w:r>
      <w:r>
        <w:rPr>
          <w:color w:val="1E293B"/>
          <w:sz w:val="19"/>
        </w:rPr>
        <w:t>Auto-populated based on mine center, with manual coordinate nudging available for localized exploration.</w:t>
      </w:r>
    </w:p>
    <w:p>
      <w:pPr>
        <w:pStyle w:val="ListBullet"/>
        <w:spacing w:before="0" w:after="60" w:line="276" w:lineRule="auto"/>
      </w:pPr>
      <w:r>
        <w:rPr>
          <w:b/>
          <w:color w:val="1E293B"/>
          <w:sz w:val="19"/>
        </w:rPr>
        <w:t xml:space="preserve">Host Lithology (Geological Prior): </w:t>
      </w:r>
      <w:r>
        <w:rPr>
          <w:color w:val="1E293B"/>
          <w:sz w:val="19"/>
        </w:rPr>
        <w:t>Select host lithology based on GSI maps (Gondite, Quartzite-Schist, Phyllite, BIF, Granite Gneiss).</w:t>
      </w:r>
    </w:p>
    <w:p>
      <w:pPr>
        <w:pStyle w:val="ListBullet"/>
        <w:spacing w:before="0" w:after="60" w:line="276" w:lineRule="auto"/>
      </w:pPr>
      <w:r>
        <w:rPr>
          <w:b/>
          <w:color w:val="1E293B"/>
          <w:sz w:val="19"/>
        </w:rPr>
        <w:t xml:space="preserve">Multi-Spectral Sliders: </w:t>
      </w:r>
      <w:r>
        <w:rPr>
          <w:color w:val="1E293B"/>
          <w:sz w:val="19"/>
        </w:rPr>
        <w:t>B4 (Red, 665nm), B8 (Near Infrared, 842nm), B11 (SWIR-1, 1610nm), B12 (SWIR-2, 2190nm).</w:t>
      </w:r>
    </w:p>
    <w:p>
      <w:pPr>
        <w:keepNext/>
        <w:spacing w:before="200" w:after="40"/>
      </w:pPr>
      <w:r>
        <w:rPr>
          <w:b/>
          <w:color w:val="1E293B"/>
          <w:sz w:val="22"/>
        </w:rPr>
        <w:t>Mathematical Formulation of Spectral Indices:</w:t>
      </w:r>
    </w:p>
    <w:p>
      <w:pPr>
        <w:pStyle w:val="ListBullet"/>
        <w:spacing w:before="0" w:after="60" w:line="276" w:lineRule="auto"/>
      </w:pPr>
      <w:r>
        <w:rPr>
          <w:b/>
          <w:color w:val="1E293B"/>
          <w:sz w:val="19"/>
        </w:rPr>
        <w:t xml:space="preserve">Manganese Spectral Index (MSI): </w:t>
      </w:r>
      <w:r>
        <w:rPr>
          <w:color w:val="1E293B"/>
          <w:sz w:val="19"/>
        </w:rPr>
        <w:t>Manganese oxides exhibit strong absorption in the visible red and high reflectance in the shortwave infrared: Index = B11 / B4 (or B12 / B8). Higher values indicate manganese gossan caps.</w:t>
      </w:r>
    </w:p>
    <w:p>
      <w:pPr>
        <w:pStyle w:val="ListBullet"/>
        <w:spacing w:before="0" w:after="60" w:line="276" w:lineRule="auto"/>
      </w:pPr>
      <w:r>
        <w:rPr>
          <w:b/>
          <w:color w:val="1E293B"/>
          <w:sz w:val="19"/>
        </w:rPr>
        <w:t xml:space="preserve">Vegetation Suppression: </w:t>
      </w:r>
      <w:r>
        <w:rPr>
          <w:color w:val="1E293B"/>
          <w:sz w:val="19"/>
        </w:rPr>
        <w:t>NDVI = (B8 - B4) / (B8 + B4). Dense vegetation masks ground reflectance; our engine applies an atmospheric and NDVI canopy de-convolution mask.</w:t>
      </w:r>
    </w:p>
    <w:p>
      <w:pPr>
        <w:pStyle w:val="ListBullet"/>
        <w:spacing w:before="0" w:after="60" w:line="276" w:lineRule="auto"/>
      </w:pPr>
      <w:r>
        <w:rPr>
          <w:b/>
          <w:color w:val="1E293B"/>
          <w:sz w:val="19"/>
        </w:rPr>
        <w:t xml:space="preserve">Bayesian Prior Integration: </w:t>
      </w:r>
      <w:r>
        <w:rPr>
          <w:color w:val="1E293B"/>
          <w:sz w:val="19"/>
        </w:rPr>
        <w:t>Final_Prob = Satellite_Score * Lithology_Prior. Gondite rocks carry a prior weight of 1.45, while barren Granite Gneiss carries 0.15, mathematically suppressing false positives.</w:t>
      </w:r>
    </w:p>
    <w:p>
      <w:pPr>
        <w:keepNext/>
        <w:spacing w:before="200" w:after="40"/>
      </w:pPr>
      <w:r>
        <w:rPr>
          <w:b/>
          <w:color w:val="1E293B"/>
          <w:sz w:val="22"/>
        </w:rPr>
        <w:t>Interactive Buttons &amp; Actions:</w:t>
      </w:r>
    </w:p>
    <w:p>
      <w:pPr>
        <w:pStyle w:val="ListBullet"/>
        <w:spacing w:before="0" w:after="60" w:line="276" w:lineRule="auto"/>
      </w:pPr>
      <w:r>
        <w:rPr>
          <w:b/>
          <w:color w:val="1E293B"/>
          <w:sz w:val="19"/>
        </w:rPr>
        <w:t xml:space="preserve">Run AI Spectral Prospector: </w:t>
      </w:r>
      <w:r>
        <w:rPr>
          <w:color w:val="1E293B"/>
          <w:sz w:val="19"/>
        </w:rPr>
        <w:t>Triggers backend inference across selected bands and updates the exploration probability score.</w:t>
      </w:r>
    </w:p>
    <w:p>
      <w:pPr>
        <w:pStyle w:val="ListBullet"/>
        <w:spacing w:before="0" w:after="60" w:line="276" w:lineRule="auto"/>
      </w:pPr>
      <w:r>
        <w:rPr>
          <w:b/>
          <w:color w:val="1E293B"/>
          <w:sz w:val="19"/>
        </w:rPr>
        <w:t xml:space="preserve">Refresh Satellite Feed: </w:t>
      </w:r>
      <w:r>
        <w:rPr>
          <w:color w:val="1E293B"/>
          <w:sz w:val="19"/>
        </w:rPr>
        <w:t>Fetches the latest cloud-free satellite tile from Sentinel-2.</w:t>
      </w:r>
    </w:p>
    <w:p>
      <w:pPr>
        <w:pStyle w:val="ListBullet"/>
        <w:spacing w:before="0" w:after="60" w:line="276" w:lineRule="auto"/>
      </w:pPr>
      <w:r>
        <w:rPr>
          <w:b/>
          <w:color w:val="1E293B"/>
          <w:sz w:val="19"/>
        </w:rPr>
        <w:t xml:space="preserve">Export Spectral Report: </w:t>
      </w:r>
      <w:r>
        <w:rPr>
          <w:color w:val="1E293B"/>
          <w:sz w:val="19"/>
        </w:rPr>
        <w:t>Downloads an audit-ready summary containing coordinates, band reflectance values, and grade predictions.</w:t>
      </w:r>
    </w:p>
    <w:p>
      <w:pPr>
        <w:keepNext/>
        <w:spacing w:before="280" w:after="80"/>
      </w:pPr>
      <w:r>
        <w:rPr>
          <w:b/>
          <w:color w:val="1A56A0"/>
          <w:sz w:val="26"/>
        </w:rPr>
        <w:t>4.2 Tab 2: Operational &amp; Environmental Pit Constraints</w:t>
      </w:r>
    </w:p>
    <w:p>
      <w:pPr>
        <w:spacing w:before="0" w:after="80" w:line="276" w:lineRule="auto"/>
      </w:pPr>
      <w:r>
        <w:rPr>
          <w:color w:val="1E293B"/>
          <w:sz w:val="20"/>
        </w:rPr>
        <w:t>Exploration data is useless without mining feasibility. This tab applies real-world geotechnical and statutory haircuts: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880"/>
            <w:shd w:fill="1A56A0"/>
            <w:tcMar>
              <w:top w:w="100" w:type="dxa"/>
              <w:bottom w:w="100" w:type="dxa"/>
              <w:left w:w="100" w:type="dxa"/>
              <w:right w:w="100" w:type="dxa"/>
            </w:tcMar>
          </w:tcPr>
          <w:p>
            <w:pPr>
              <w:spacing w:before="0" w:after="0"/>
            </w:pPr>
            <w:r>
              <w:rPr>
                <w:b/>
                <w:color w:val="FFFFFF"/>
                <w:sz w:val="18"/>
              </w:rPr>
              <w:t>CONSTRAINT PARAMETER</w:t>
            </w:r>
          </w:p>
        </w:tc>
        <w:tc>
          <w:tcPr>
            <w:tcW w:type="dxa" w:w="1728"/>
            <w:shd w:fill="1A56A0"/>
            <w:tcMar>
              <w:top w:w="100" w:type="dxa"/>
              <w:bottom w:w="100" w:type="dxa"/>
              <w:left w:w="100" w:type="dxa"/>
              <w:right w:w="100" w:type="dxa"/>
            </w:tcMar>
          </w:tcPr>
          <w:p>
            <w:pPr>
              <w:spacing w:before="0" w:after="0"/>
            </w:pPr>
            <w:r>
              <w:rPr>
                <w:b/>
                <w:color w:val="FFFFFF"/>
                <w:sz w:val="18"/>
              </w:rPr>
              <w:t>TYPICAL RANGE</w:t>
            </w:r>
          </w:p>
        </w:tc>
        <w:tc>
          <w:tcPr>
            <w:tcW w:type="dxa" w:w="1440"/>
            <w:shd w:fill="1A56A0"/>
            <w:tcMar>
              <w:top w:w="100" w:type="dxa"/>
              <w:bottom w:w="100" w:type="dxa"/>
              <w:left w:w="100" w:type="dxa"/>
              <w:right w:w="100" w:type="dxa"/>
            </w:tcMar>
          </w:tcPr>
          <w:p>
            <w:pPr>
              <w:spacing w:before="0" w:after="0"/>
            </w:pPr>
            <w:r>
              <w:rPr>
                <w:b/>
                <w:color w:val="FFFFFF"/>
                <w:sz w:val="18"/>
              </w:rPr>
              <w:t>DEFAULT VALUE</w:t>
            </w:r>
          </w:p>
        </w:tc>
        <w:tc>
          <w:tcPr>
            <w:tcW w:type="dxa" w:w="4032"/>
            <w:shd w:fill="1A56A0"/>
            <w:tcMar>
              <w:top w:w="100" w:type="dxa"/>
              <w:bottom w:w="100" w:type="dxa"/>
              <w:left w:w="100" w:type="dxa"/>
              <w:right w:w="100" w:type="dxa"/>
            </w:tcMar>
          </w:tcPr>
          <w:p>
            <w:pPr>
              <w:spacing w:before="0" w:after="0"/>
            </w:pPr>
            <w:r>
              <w:rPr>
                <w:b/>
                <w:color w:val="FFFFFF"/>
                <w:sz w:val="18"/>
              </w:rPr>
              <w:t>GEOTECHNICAL / ECONOMIC IMPACT</w:t>
            </w:r>
          </w:p>
        </w:tc>
      </w:tr>
      <w:tr>
        <w:tc>
          <w:tcPr>
            <w:tcW w:type="dxa" w:w="28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Cut-off Grade (% Mn)</w:t>
            </w:r>
          </w:p>
        </w:tc>
        <w:tc>
          <w:tcPr>
            <w:tcW w:type="dxa" w:w="1728"/>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20.0% – 35.0%</w:t>
            </w:r>
          </w:p>
        </w:tc>
        <w:tc>
          <w:tcPr>
            <w:tcW w:type="dxa" w:w="144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28.0%</w:t>
            </w:r>
          </w:p>
        </w:tc>
        <w:tc>
          <w:tcPr>
            <w:tcW w:type="dxa" w:w="4032"/>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Sub-grade ore below cutoff is diverted to low-grade dumps or requires beneficiation.</w:t>
            </w:r>
          </w:p>
        </w:tc>
      </w:tr>
      <w:tr>
        <w:tc>
          <w:tcPr>
            <w:tcW w:type="dxa" w:w="288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Current Pit Depth (m)</w:t>
            </w:r>
          </w:p>
        </w:tc>
        <w:tc>
          <w:tcPr>
            <w:tcW w:type="dxa" w:w="1728"/>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20m – 350m</w:t>
            </w:r>
          </w:p>
        </w:tc>
        <w:tc>
          <w:tcPr>
            <w:tcW w:type="dxa" w:w="144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110m</w:t>
            </w:r>
          </w:p>
        </w:tc>
        <w:tc>
          <w:tcPr>
            <w:tcW w:type="dxa" w:w="4032"/>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Deeper pits increase haul cycle times and bench dewatering pumping head.</w:t>
            </w:r>
          </w:p>
        </w:tc>
      </w:tr>
      <w:tr>
        <w:tc>
          <w:tcPr>
            <w:tcW w:type="dxa" w:w="28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Stripping Ratio (W:O)</w:t>
            </w:r>
          </w:p>
        </w:tc>
        <w:tc>
          <w:tcPr>
            <w:tcW w:type="dxa" w:w="1728"/>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1.5:1 – 8.0:1</w:t>
            </w:r>
          </w:p>
        </w:tc>
        <w:tc>
          <w:tcPr>
            <w:tcW w:type="dxa" w:w="144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3.2:1</w:t>
            </w:r>
          </w:p>
        </w:tc>
        <w:tc>
          <w:tcPr>
            <w:tcW w:type="dxa" w:w="4032"/>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Ratio of overburden waste to extracted ore. Higher ratios spike mining cost per tonne.</w:t>
            </w:r>
          </w:p>
        </w:tc>
      </w:tr>
      <w:tr>
        <w:tc>
          <w:tcPr>
            <w:tcW w:type="dxa" w:w="288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Forest Buffer (m)</w:t>
            </w:r>
          </w:p>
        </w:tc>
        <w:tc>
          <w:tcPr>
            <w:tcW w:type="dxa" w:w="1728"/>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50m – 500m</w:t>
            </w:r>
          </w:p>
        </w:tc>
        <w:tc>
          <w:tcPr>
            <w:tcW w:type="dxa" w:w="144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150m</w:t>
            </w:r>
          </w:p>
        </w:tc>
        <w:tc>
          <w:tcPr>
            <w:tcW w:type="dxa" w:w="4032"/>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Mandatory statutory safety boundary around reserved forest land under MoEFCC norms.</w:t>
            </w:r>
          </w:p>
        </w:tc>
      </w:tr>
      <w:tr>
        <w:tc>
          <w:tcPr>
            <w:tcW w:type="dxa" w:w="28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Water Table Ingress (m3/h)</w:t>
            </w:r>
          </w:p>
        </w:tc>
        <w:tc>
          <w:tcPr>
            <w:tcW w:type="dxa" w:w="1728"/>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50 – 1200 m3/h</w:t>
            </w:r>
          </w:p>
        </w:tc>
        <w:tc>
          <w:tcPr>
            <w:tcW w:type="dxa" w:w="144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320 m3/h</w:t>
            </w:r>
          </w:p>
        </w:tc>
        <w:tc>
          <w:tcPr>
            <w:tcW w:type="dxa" w:w="4032"/>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Groundwater inflow rate requiring continuous pit sump dewatering.</w:t>
            </w:r>
          </w:p>
        </w:tc>
      </w:tr>
    </w:tbl>
    <w:p>
      <w:pPr>
        <w:spacing w:before="0" w:after="80"/>
      </w:pPr>
    </w:p>
    <w:p>
      <w:pPr>
        <w:keepNext/>
        <w:spacing w:before="280" w:after="80"/>
      </w:pPr>
      <w:r>
        <w:rPr>
          <w:b/>
          <w:color w:val="1A56A0"/>
          <w:sz w:val="26"/>
        </w:rPr>
        <w:t>4.3 Tab 3: Spatial Manganese Anomaly Heatmap</w:t>
      </w:r>
    </w:p>
    <w:p>
      <w:pPr>
        <w:spacing w:before="0" w:after="80" w:line="276" w:lineRule="auto"/>
      </w:pPr>
      <w:r>
        <w:rPr>
          <w:color w:val="1E293B"/>
          <w:sz w:val="20"/>
        </w:rPr>
        <w:t>Renders a high-resolution 2D geospatial canvas mapping spectral anomaly clusters across the mining lease. Color grading follows standard mining geology conventions: Purple indicates ultra-high grade (&gt;38% Mn), Teal/Green indicates medium grade (28-35% Mn), and Slate Gray represents barren footwall/hanging wall country rock.</w:t>
      </w:r>
    </w:p>
    <w:p>
      <w:r>
        <w:br w:type="page"/>
      </w:r>
    </w:p>
    <w:p>
      <w:pPr>
        <w:keepNext/>
        <w:spacing w:before="440" w:after="120"/>
        <w:pBdr>
          <w:bottom w:val="single" w:sz="14" w:space="4" w:color="0F2C59"/>
        </w:pBdr>
      </w:pPr>
      <w:r>
        <w:rPr>
          <w:b/>
          <w:color w:val="0F2C59"/>
          <w:sz w:val="32"/>
        </w:rPr>
        <w:t>5. Subsurface Borehole &amp; Drill-Core Ingestion Engine (Judge Recommendation #1)</w:t>
      </w:r>
    </w:p>
    <w:p>
      <w:pPr>
        <w:spacing w:before="0" w:after="80" w:line="276" w:lineRule="auto"/>
      </w:pPr>
      <w:r>
        <w:rPr>
          <w:color w:val="1E293B"/>
          <w:sz w:val="20"/>
        </w:rPr>
        <w:t>Satellites are physically restricted to observing surface reflectance (top few millimeters of outcrop and soil). To elevate the project to top-tier industrial credibility, we implemented the Subsurface Borehole &amp; Drill-Core Log Ingestion Engine (BoreholeCoreViewer.js &amp; borehole_engine.py).</w:t>
      </w:r>
    </w:p>
    <w:tbl>
      <w:tblPr>
        <w:tblW w:type="auto" w:w="0"/>
        <w:jc w:val="center"/>
        <w:tblLayout w:type="fixed"/>
        <w:tblLook w:firstColumn="1" w:firstRow="1" w:lastColumn="0" w:lastRow="0" w:noHBand="0" w:noVBand="1" w:val="04A0"/>
      </w:tblPr>
      <w:tblGrid>
        <w:gridCol w:w="10080"/>
      </w:tblGrid>
      <w:tr>
        <w:tc>
          <w:tcPr>
            <w:tcW w:type="dxa" w:w="10080"/>
            <w:shd w:fill="F8FAFC"/>
            <w:tcMar>
              <w:top w:w="120" w:type="dxa"/>
              <w:bottom w:w="120" w:type="dxa"/>
              <w:left w:w="180" w:type="dxa"/>
              <w:right w:w="140" w:type="dxa"/>
            </w:tcMar>
            <w:tcBorders>
              <w:top w:val="none"/>
              <w:bottom w:val="single" w:sz="24" w:space="0" w:color="E2E8F0"/>
              <w:left w:val="single" w:sz="24" w:space="0" w:color="0F2C59"/>
              <w:right w:val="none"/>
            </w:tcBorders>
          </w:tcPr>
          <w:p>
            <w:pPr>
              <w:spacing w:before="0" w:after="60"/>
            </w:pPr>
            <w:r>
              <w:rPr>
                <w:b/>
                <w:color w:val="0F2C59"/>
                <w:sz w:val="21"/>
              </w:rPr>
              <w:t>📌 WHY THIS IS A HACKATHON WINNER FEATURE</w:t>
              <w:br/>
            </w:r>
            <w:r>
              <w:rPr>
                <w:color w:val="1E293B"/>
                <w:sz w:val="19"/>
              </w:rPr>
              <w:t>Judges from mining companies (MOIL, NMDC, Coal India) consistently criticize student hackathon projects for claiming 'satellites find underground ore'. Our engine frankly admits satellite limitations and couples orbital remote sensing with actual subsurface diamond core drilling assays, computing true composited grades and UNFC reserve categories.</w:t>
            </w:r>
          </w:p>
        </w:tc>
      </w:tr>
    </w:tbl>
    <w:p>
      <w:pPr>
        <w:spacing w:before="0" w:after="80"/>
      </w:pPr>
    </w:p>
    <w:p>
      <w:pPr>
        <w:keepNext/>
        <w:spacing w:before="280" w:after="80"/>
      </w:pPr>
      <w:r>
        <w:rPr>
          <w:b/>
          <w:color w:val="1A56A0"/>
          <w:sz w:val="26"/>
        </w:rPr>
        <w:t>5.1 Core Mathematical Algorithms</w:t>
      </w:r>
    </w:p>
    <w:p>
      <w:pPr>
        <w:keepNext/>
        <w:spacing w:before="200" w:after="40"/>
      </w:pPr>
      <w:r>
        <w:rPr>
          <w:b/>
          <w:color w:val="1E293B"/>
          <w:sz w:val="22"/>
        </w:rPr>
        <w:t>1. True Intercept Thickness Correction:</w:t>
      </w:r>
    </w:p>
    <w:p>
      <w:pPr>
        <w:spacing w:before="0" w:after="80" w:line="276" w:lineRule="auto"/>
      </w:pPr>
      <w:r>
        <w:rPr>
          <w:b/>
          <w:color w:val="1E293B"/>
          <w:sz w:val="20"/>
        </w:rPr>
        <w:t xml:space="preserve">Geometric Dip Formulation: </w:t>
      </w:r>
      <w:r>
        <w:rPr>
          <w:color w:val="1E293B"/>
          <w:sz w:val="20"/>
        </w:rPr>
        <w:t xml:space="preserve">Drill holes rarely intersect dipping ore bodies perpendicularly. If a drill intersects a seam dipping at angle theta, the apparent core length is an overestimate. Our engine computes the True Intercept Thickness: </w:t>
      </w:r>
    </w:p>
    <w:p>
      <w:pPr>
        <w:spacing w:before="0" w:after="120" w:line="276" w:lineRule="auto"/>
      </w:pPr>
      <w:r>
        <w:rPr>
          <w:color w:val="1E293B"/>
          <w:sz w:val="20"/>
        </w:rPr>
        <w:t>True Thickness (m) = Apparent Thickness * cos(Dip Angle in Radians)</w:t>
      </w:r>
    </w:p>
    <w:p>
      <w:pPr>
        <w:keepNext/>
        <w:spacing w:before="200" w:after="40"/>
      </w:pPr>
      <w:r>
        <w:rPr>
          <w:b/>
          <w:color w:val="1E293B"/>
          <w:sz w:val="22"/>
        </w:rPr>
        <w:t>2. Thickness-Weighted Composite Grade:</w:t>
      </w:r>
    </w:p>
    <w:p>
      <w:pPr>
        <w:spacing w:before="0" w:after="80" w:line="276" w:lineRule="auto"/>
      </w:pPr>
      <w:r>
        <w:rPr>
          <w:b/>
          <w:color w:val="1E293B"/>
          <w:sz w:val="20"/>
        </w:rPr>
        <w:t xml:space="preserve">Compositing Formula: </w:t>
      </w:r>
      <w:r>
        <w:rPr>
          <w:color w:val="1E293B"/>
          <w:sz w:val="20"/>
        </w:rPr>
        <w:t xml:space="preserve">Different intervals have varying manganese assays. The overall composite grade is calculated as: </w:t>
      </w:r>
    </w:p>
    <w:p>
      <w:pPr>
        <w:spacing w:before="0" w:after="120" w:line="276" w:lineRule="auto"/>
      </w:pPr>
      <w:r>
        <w:rPr>
          <w:color w:val="1E293B"/>
          <w:sz w:val="20"/>
        </w:rPr>
        <w:t>Composite Mn% = Sum(Interval_Length_i * Mn_pct_i) / Sum(Interval_Length_i)</w:t>
      </w:r>
    </w:p>
    <w:p>
      <w:pPr>
        <w:keepNext/>
        <w:spacing w:before="200" w:after="40"/>
      </w:pPr>
      <w:r>
        <w:rPr>
          <w:b/>
          <w:color w:val="1E293B"/>
          <w:sz w:val="22"/>
        </w:rPr>
        <w:t>3. United Nations Framework Classification (UNFC 1997/2009) Progression:</w:t>
      </w:r>
    </w:p>
    <w:p>
      <w:pPr>
        <w:pStyle w:val="ListBullet"/>
        <w:spacing w:before="0" w:after="60" w:line="276" w:lineRule="auto"/>
      </w:pPr>
      <w:r>
        <w:rPr>
          <w:b/>
          <w:color w:val="1E293B"/>
          <w:sz w:val="19"/>
        </w:rPr>
        <w:t xml:space="preserve">Reconnaissance / G4: </w:t>
      </w:r>
      <w:r>
        <w:rPr>
          <w:color w:val="1E293B"/>
          <w:sz w:val="19"/>
        </w:rPr>
        <w:t>UNFC 333 (Inferred Mineral Resource): Preliminary prospecting, wide borehole spacing (&gt;200m), low geotechnical confidence (RQD &lt; 40%).</w:t>
      </w:r>
    </w:p>
    <w:p>
      <w:pPr>
        <w:pStyle w:val="ListBullet"/>
        <w:spacing w:before="0" w:after="60" w:line="276" w:lineRule="auto"/>
      </w:pPr>
      <w:r>
        <w:rPr>
          <w:b/>
          <w:color w:val="1E293B"/>
          <w:sz w:val="19"/>
        </w:rPr>
        <w:t xml:space="preserve">Prospecting / G2: </w:t>
      </w:r>
      <w:r>
        <w:rPr>
          <w:color w:val="1E293B"/>
          <w:sz w:val="19"/>
        </w:rPr>
        <w:t>UNFC 122 (Indicated Mineral Reserve): Detailed exploration, closer drill grid (100-200m), moderate geotechnical confidence (RQD 40-70%).</w:t>
      </w:r>
    </w:p>
    <w:p>
      <w:pPr>
        <w:pStyle w:val="ListBullet"/>
        <w:spacing w:before="0" w:after="60" w:line="276" w:lineRule="auto"/>
      </w:pPr>
      <w:r>
        <w:rPr>
          <w:b/>
          <w:color w:val="1E293B"/>
          <w:sz w:val="19"/>
        </w:rPr>
        <w:t xml:space="preserve">Mining / G1: </w:t>
      </w:r>
      <w:r>
        <w:rPr>
          <w:color w:val="1E293B"/>
          <w:sz w:val="19"/>
        </w:rPr>
        <w:t>UNFC 111 (Proved / Measured Mineral Reserve): High-density diamond drilling (&lt;50m spacing), high geotechnical stability (RQD &gt; 70%), feasible for immediate extraction.</w:t>
      </w:r>
    </w:p>
    <w:p>
      <w:pPr>
        <w:keepNext/>
        <w:spacing w:before="280" w:after="80"/>
      </w:pPr>
      <w:r>
        <w:rPr>
          <w:b/>
          <w:color w:val="1A56A0"/>
          <w:sz w:val="26"/>
        </w:rPr>
        <w:t>5.2 Realistic MOIL Ground-Truth Presets Built-in</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2592"/>
            <w:shd w:fill="7E22CE"/>
            <w:tcMar>
              <w:top w:w="100" w:type="dxa"/>
              <w:bottom w:w="100" w:type="dxa"/>
              <w:left w:w="100" w:type="dxa"/>
              <w:right w:w="100" w:type="dxa"/>
            </w:tcMar>
          </w:tcPr>
          <w:p>
            <w:pPr>
              <w:spacing w:before="0" w:after="0"/>
            </w:pPr>
            <w:r>
              <w:rPr>
                <w:b/>
                <w:color w:val="FFFFFF"/>
                <w:sz w:val="18"/>
              </w:rPr>
              <w:t>BOREHOLE PRESET KEY</w:t>
            </w:r>
          </w:p>
        </w:tc>
        <w:tc>
          <w:tcPr>
            <w:tcW w:type="dxa" w:w="2880"/>
            <w:shd w:fill="7E22CE"/>
            <w:tcMar>
              <w:top w:w="100" w:type="dxa"/>
              <w:bottom w:w="100" w:type="dxa"/>
              <w:left w:w="100" w:type="dxa"/>
              <w:right w:w="100" w:type="dxa"/>
            </w:tcMar>
          </w:tcPr>
          <w:p>
            <w:pPr>
              <w:spacing w:before="0" w:after="0"/>
            </w:pPr>
            <w:r>
              <w:rPr>
                <w:b/>
                <w:color w:val="FFFFFF"/>
                <w:sz w:val="18"/>
              </w:rPr>
              <w:t>MINE DEPOSIT &amp; CONTEXT</w:t>
            </w:r>
          </w:p>
        </w:tc>
        <w:tc>
          <w:tcPr>
            <w:tcW w:type="dxa" w:w="1440"/>
            <w:shd w:fill="7E22CE"/>
            <w:tcMar>
              <w:top w:w="100" w:type="dxa"/>
              <w:bottom w:w="100" w:type="dxa"/>
              <w:left w:w="100" w:type="dxa"/>
              <w:right w:w="100" w:type="dxa"/>
            </w:tcMar>
          </w:tcPr>
          <w:p>
            <w:pPr>
              <w:spacing w:before="0" w:after="0"/>
            </w:pPr>
            <w:r>
              <w:rPr>
                <w:b/>
                <w:color w:val="FFFFFF"/>
                <w:sz w:val="18"/>
              </w:rPr>
              <w:t>INTERVAL (M)</w:t>
            </w:r>
          </w:p>
        </w:tc>
        <w:tc>
          <w:tcPr>
            <w:tcW w:type="dxa" w:w="1584"/>
            <w:shd w:fill="7E22CE"/>
            <w:tcMar>
              <w:top w:w="100" w:type="dxa"/>
              <w:bottom w:w="100" w:type="dxa"/>
              <w:left w:w="100" w:type="dxa"/>
              <w:right w:w="100" w:type="dxa"/>
            </w:tcMar>
          </w:tcPr>
          <w:p>
            <w:pPr>
              <w:spacing w:before="0" w:after="0"/>
            </w:pPr>
            <w:r>
              <w:rPr>
                <w:b/>
                <w:color w:val="FFFFFF"/>
                <w:sz w:val="18"/>
              </w:rPr>
              <w:t>COMPOSITE GRADE</w:t>
            </w:r>
          </w:p>
        </w:tc>
        <w:tc>
          <w:tcPr>
            <w:tcW w:type="dxa" w:w="720"/>
            <w:shd w:fill="7E22CE"/>
            <w:tcMar>
              <w:top w:w="100" w:type="dxa"/>
              <w:bottom w:w="100" w:type="dxa"/>
              <w:left w:w="100" w:type="dxa"/>
              <w:right w:w="100" w:type="dxa"/>
            </w:tcMar>
          </w:tcPr>
          <w:p>
            <w:pPr>
              <w:spacing w:before="0" w:after="0"/>
            </w:pPr>
            <w:r>
              <w:rPr>
                <w:b/>
                <w:color w:val="FFFFFF"/>
                <w:sz w:val="18"/>
              </w:rPr>
              <w:t>RQD %</w:t>
            </w:r>
          </w:p>
        </w:tc>
        <w:tc>
          <w:tcPr>
            <w:tcW w:type="dxa" w:w="864"/>
            <w:shd w:fill="7E22CE"/>
            <w:tcMar>
              <w:top w:w="100" w:type="dxa"/>
              <w:bottom w:w="100" w:type="dxa"/>
              <w:left w:w="100" w:type="dxa"/>
              <w:right w:w="100" w:type="dxa"/>
            </w:tcMar>
          </w:tcPr>
          <w:p>
            <w:pPr>
              <w:spacing w:before="0" w:after="0"/>
            </w:pPr>
            <w:r>
              <w:rPr>
                <w:b/>
                <w:color w:val="FFFFFF"/>
                <w:sz w:val="18"/>
              </w:rPr>
              <w:t>UNFC STAGE</w:t>
            </w:r>
          </w:p>
        </w:tc>
      </w:tr>
      <w:tr>
        <w:tc>
          <w:tcPr>
            <w:tcW w:type="dxa" w:w="2592"/>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BH-BGT-42</w:t>
            </w:r>
          </w:p>
        </w:tc>
        <w:tc>
          <w:tcPr>
            <w:tcW w:type="dxa" w:w="28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Balaghat Deep Underground Seam (G1 Level)</w:t>
            </w:r>
          </w:p>
        </w:tc>
        <w:tc>
          <w:tcPr>
            <w:tcW w:type="dxa" w:w="144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120m – 165m</w:t>
            </w:r>
          </w:p>
        </w:tc>
        <w:tc>
          <w:tcPr>
            <w:tcW w:type="dxa" w:w="1584"/>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41.91% Mn</w:t>
            </w:r>
          </w:p>
        </w:tc>
        <w:tc>
          <w:tcPr>
            <w:tcW w:type="dxa" w:w="72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78%</w:t>
            </w:r>
          </w:p>
        </w:tc>
        <w:tc>
          <w:tcPr>
            <w:tcW w:type="dxa" w:w="864"/>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UNFC 111 (Proved)</w:t>
            </w:r>
          </w:p>
        </w:tc>
      </w:tr>
      <w:tr>
        <w:tc>
          <w:tcPr>
            <w:tcW w:type="dxa" w:w="2592"/>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BH-UKW-18</w:t>
            </w:r>
          </w:p>
        </w:tc>
        <w:tc>
          <w:tcPr>
            <w:tcW w:type="dxa" w:w="288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Ukwa Stratiform Incline Seam (G2 Level)</w:t>
            </w:r>
          </w:p>
        </w:tc>
        <w:tc>
          <w:tcPr>
            <w:tcW w:type="dxa" w:w="144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45m – 92m</w:t>
            </w:r>
          </w:p>
        </w:tc>
        <w:tc>
          <w:tcPr>
            <w:tcW w:type="dxa" w:w="1584"/>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34.20% Mn</w:t>
            </w:r>
          </w:p>
        </w:tc>
        <w:tc>
          <w:tcPr>
            <w:tcW w:type="dxa" w:w="72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62%</w:t>
            </w:r>
          </w:p>
        </w:tc>
        <w:tc>
          <w:tcPr>
            <w:tcW w:type="dxa" w:w="864"/>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UNFC 122 (Indicated)</w:t>
            </w:r>
          </w:p>
        </w:tc>
      </w:tr>
      <w:tr>
        <w:tc>
          <w:tcPr>
            <w:tcW w:type="dxa" w:w="2592"/>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BH-BRN-05</w:t>
            </w:r>
          </w:p>
        </w:tc>
        <w:tc>
          <w:tcPr>
            <w:tcW w:type="dxa" w:w="28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Sterilized Footwall Granite Gneiss</w:t>
            </w:r>
          </w:p>
        </w:tc>
        <w:tc>
          <w:tcPr>
            <w:tcW w:type="dxa" w:w="144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10m – 80m</w:t>
            </w:r>
          </w:p>
        </w:tc>
        <w:tc>
          <w:tcPr>
            <w:tcW w:type="dxa" w:w="1584"/>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5.10% Mn</w:t>
            </w:r>
          </w:p>
        </w:tc>
        <w:tc>
          <w:tcPr>
            <w:tcW w:type="dxa" w:w="72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35%</w:t>
            </w:r>
          </w:p>
        </w:tc>
        <w:tc>
          <w:tcPr>
            <w:tcW w:type="dxa" w:w="864"/>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UNFC 333 (Sterilized)</w:t>
            </w:r>
          </w:p>
        </w:tc>
      </w:tr>
    </w:tbl>
    <w:p>
      <w:pPr>
        <w:spacing w:before="0" w:after="80"/>
      </w:pPr>
    </w:p>
    <w:p>
      <w:pPr>
        <w:keepNext/>
        <w:spacing w:before="280" w:after="80"/>
      </w:pPr>
      <w:r>
        <w:rPr>
          <w:b/>
          <w:color w:val="1A56A0"/>
          <w:sz w:val="26"/>
        </w:rPr>
        <w:t>5.3 Custom CSV Upload Format Specification</w:t>
      </w:r>
    </w:p>
    <w:p>
      <w:pPr>
        <w:spacing w:before="0" w:after="80" w:line="276" w:lineRule="auto"/>
      </w:pPr>
      <w:r>
        <w:rPr>
          <w:color w:val="1E293B"/>
          <w:sz w:val="20"/>
        </w:rPr>
        <w:t xml:space="preserve">Operators and exploration teams can upload their own drill logs via the 'Upload Custom CSV' panel. The engine parses the following mandatory column headers: </w:t>
      </w:r>
    </w:p>
    <w:p>
      <w:pPr>
        <w:spacing w:before="0" w:after="80" w:line="276" w:lineRule="auto"/>
      </w:pPr>
      <w:r>
        <w:rPr>
          <w:b/>
          <w:color w:val="1E293B"/>
          <w:sz w:val="20"/>
        </w:rPr>
        <w:t xml:space="preserve">CSV Format: </w:t>
      </w:r>
      <w:r>
        <w:rPr>
          <w:color w:val="1E293B"/>
          <w:sz w:val="20"/>
        </w:rPr>
        <w:t>from_depth_m, to_depth_m, lithology, mn_pct, fe_pct, p_pct, sio2_pct, rqd_pct, dip_deg</w:t>
      </w:r>
    </w:p>
    <w:p>
      <w:pPr>
        <w:keepNext/>
        <w:spacing w:before="280" w:after="80"/>
      </w:pPr>
      <w:r>
        <w:rPr>
          <w:b/>
          <w:color w:val="1A56A0"/>
          <w:sz w:val="26"/>
        </w:rPr>
        <w:t>5.4 Interactive Buttons &amp; Actions in Borehole Viewer</w:t>
      </w:r>
    </w:p>
    <w:p>
      <w:pPr>
        <w:pStyle w:val="ListBullet"/>
        <w:spacing w:before="0" w:after="60" w:line="276" w:lineRule="auto"/>
      </w:pPr>
      <w:r>
        <w:rPr>
          <w:b/>
          <w:color w:val="1E293B"/>
          <w:sz w:val="19"/>
        </w:rPr>
        <w:t xml:space="preserve">Preset Switchers (BH-BGT-42, BH-UKW-18, BH-BRN-05): </w:t>
      </w:r>
      <w:r>
        <w:rPr>
          <w:color w:val="1E293B"/>
          <w:sz w:val="19"/>
        </w:rPr>
        <w:t>Instantly loads ground truth drill logs for Balaghat, Ukwa, or Barren zones.</w:t>
      </w:r>
    </w:p>
    <w:p>
      <w:pPr>
        <w:pStyle w:val="ListBullet"/>
        <w:spacing w:before="0" w:after="60" w:line="276" w:lineRule="auto"/>
      </w:pPr>
      <w:r>
        <w:rPr>
          <w:b/>
          <w:color w:val="1E293B"/>
          <w:sz w:val="19"/>
        </w:rPr>
        <w:t xml:space="preserve">Upload Custom CSV Button: </w:t>
      </w:r>
      <w:r>
        <w:rPr>
          <w:color w:val="1E293B"/>
          <w:sz w:val="19"/>
        </w:rPr>
        <w:t>Reveals a text area and drag-and-drop zone to paste or upload raw drilling CSV files.</w:t>
      </w:r>
    </w:p>
    <w:p>
      <w:pPr>
        <w:pStyle w:val="ListBullet"/>
        <w:spacing w:before="0" w:after="60" w:line="276" w:lineRule="auto"/>
      </w:pPr>
      <w:r>
        <w:rPr>
          <w:b/>
          <w:color w:val="1E293B"/>
          <w:sz w:val="19"/>
        </w:rPr>
        <w:t xml:space="preserve">Sync Composite Assay to Portal: </w:t>
      </w:r>
      <w:r>
        <w:rPr>
          <w:color w:val="1E293B"/>
          <w:sz w:val="19"/>
        </w:rPr>
        <w:t>Takes the calculated downhole composite grade and injects it into the primary dashboard state, updating the Global In-Situ Ore, Extractable Metal, and Smelter NSR figures in real time.</w:t>
      </w:r>
    </w:p>
    <w:p>
      <w:r>
        <w:br w:type="page"/>
      </w:r>
    </w:p>
    <w:p>
      <w:pPr>
        <w:keepNext/>
        <w:spacing w:before="440" w:after="120"/>
        <w:pBdr>
          <w:bottom w:val="single" w:sz="14" w:space="4" w:color="0F2C59"/>
        </w:pBdr>
      </w:pPr>
      <w:r>
        <w:rPr>
          <w:b/>
          <w:color w:val="0F2C59"/>
          <w:sz w:val="32"/>
        </w:rPr>
        <w:t>6. Module 2: AI Production Shortfall Predictor (Judge Recommendation #2)</w:t>
      </w:r>
    </w:p>
    <w:p>
      <w:pPr>
        <w:spacing w:before="0" w:after="80" w:line="276" w:lineRule="auto"/>
      </w:pPr>
      <w:r>
        <w:rPr>
          <w:color w:val="1E293B"/>
          <w:sz w:val="20"/>
        </w:rPr>
        <w:t>The AI Production Shortfall Predictor (ShortfallPredictor.js &amp; shortfall_engine.py) provides operational surveillance and advance warning against weekly and monthly production quota deficits.</w:t>
      </w:r>
    </w:p>
    <w:tbl>
      <w:tblPr>
        <w:tblW w:type="auto" w:w="0"/>
        <w:jc w:val="center"/>
        <w:tblLayout w:type="fixed"/>
        <w:tblLook w:firstColumn="1" w:firstRow="1" w:lastColumn="0" w:lastRow="0" w:noHBand="0" w:noVBand="1" w:val="04A0"/>
      </w:tblPr>
      <w:tblGrid>
        <w:gridCol w:w="10080"/>
      </w:tblGrid>
      <w:tr>
        <w:tc>
          <w:tcPr>
            <w:tcW w:type="dxa" w:w="10080"/>
            <w:shd w:fill="F8FAFC"/>
            <w:tcMar>
              <w:top w:w="120" w:type="dxa"/>
              <w:bottom w:w="120" w:type="dxa"/>
              <w:left w:w="180" w:type="dxa"/>
              <w:right w:w="140" w:type="dxa"/>
            </w:tcMar>
            <w:tcBorders>
              <w:top w:val="none"/>
              <w:bottom w:val="single" w:sz="24" w:space="0" w:color="E2E8F0"/>
              <w:left w:val="single" w:sz="24" w:space="0" w:color="0F2C59"/>
              <w:right w:val="none"/>
            </w:tcBorders>
          </w:tcPr>
          <w:p>
            <w:pPr>
              <w:spacing w:before="0" w:after="60"/>
            </w:pPr>
            <w:r>
              <w:rPr>
                <w:b/>
                <w:color w:val="0F2C59"/>
                <w:sz w:val="21"/>
              </w:rPr>
              <w:t>📌 UPGRADE OVER HEURISTIC FORMULAS</w:t>
              <w:br/>
            </w:r>
            <w:r>
              <w:rPr>
                <w:color w:val="1E293B"/>
                <w:sz w:val="19"/>
              </w:rPr>
              <w:t>Previous prototypes utilized linear penalty multipliers (e.g. subtracting 50t per mm of rain). In this release, we trained a scikit-learn HistGradientBoostingRegressor on 6,000 multi-shift operational records. The model models non-linear interactions between heavy monsoon rainfall, dumper fleet availability, shovel cycle times, and bench stripping ratios, delivering explainable feature attribution (SHAP-style root cause analysis).</w:t>
            </w:r>
          </w:p>
        </w:tc>
      </w:tr>
    </w:tbl>
    <w:p>
      <w:pPr>
        <w:spacing w:before="0" w:after="80"/>
      </w:pPr>
    </w:p>
    <w:p>
      <w:pPr>
        <w:keepNext/>
        <w:spacing w:before="280" w:after="80"/>
      </w:pPr>
      <w:r>
        <w:rPr>
          <w:b/>
          <w:color w:val="1A56A0"/>
          <w:sz w:val="26"/>
        </w:rPr>
        <w:t>6.1 Operational Inputs &amp; Shift Parameters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3168"/>
            <w:shd w:fill="0F2C59"/>
            <w:tcMar>
              <w:top w:w="100" w:type="dxa"/>
              <w:bottom w:w="100" w:type="dxa"/>
              <w:left w:w="100" w:type="dxa"/>
              <w:right w:w="100" w:type="dxa"/>
            </w:tcMar>
          </w:tcPr>
          <w:p>
            <w:pPr>
              <w:spacing w:before="0" w:after="0"/>
            </w:pPr>
            <w:r>
              <w:rPr>
                <w:b/>
                <w:color w:val="FFFFFF"/>
                <w:sz w:val="18"/>
              </w:rPr>
              <w:t>SHIFT PARAMETER</w:t>
            </w:r>
          </w:p>
        </w:tc>
        <w:tc>
          <w:tcPr>
            <w:tcW w:type="dxa" w:w="1728"/>
            <w:shd w:fill="0F2C59"/>
            <w:tcMar>
              <w:top w:w="100" w:type="dxa"/>
              <w:bottom w:w="100" w:type="dxa"/>
              <w:left w:w="100" w:type="dxa"/>
              <w:right w:w="100" w:type="dxa"/>
            </w:tcMar>
          </w:tcPr>
          <w:p>
            <w:pPr>
              <w:spacing w:before="0" w:after="0"/>
            </w:pPr>
            <w:r>
              <w:rPr>
                <w:b/>
                <w:color w:val="FFFFFF"/>
                <w:sz w:val="18"/>
              </w:rPr>
              <w:t>SLIDER RANGE</w:t>
            </w:r>
          </w:p>
        </w:tc>
        <w:tc>
          <w:tcPr>
            <w:tcW w:type="dxa" w:w="1440"/>
            <w:shd w:fill="0F2C59"/>
            <w:tcMar>
              <w:top w:w="100" w:type="dxa"/>
              <w:bottom w:w="100" w:type="dxa"/>
              <w:left w:w="100" w:type="dxa"/>
              <w:right w:w="100" w:type="dxa"/>
            </w:tcMar>
          </w:tcPr>
          <w:p>
            <w:pPr>
              <w:spacing w:before="0" w:after="0"/>
            </w:pPr>
            <w:r>
              <w:rPr>
                <w:b/>
                <w:color w:val="FFFFFF"/>
                <w:sz w:val="18"/>
              </w:rPr>
              <w:t>BASELINE VALUE</w:t>
            </w:r>
          </w:p>
        </w:tc>
        <w:tc>
          <w:tcPr>
            <w:tcW w:type="dxa" w:w="3744"/>
            <w:shd w:fill="0F2C59"/>
            <w:tcMar>
              <w:top w:w="100" w:type="dxa"/>
              <w:bottom w:w="100" w:type="dxa"/>
              <w:left w:w="100" w:type="dxa"/>
              <w:right w:w="100" w:type="dxa"/>
            </w:tcMar>
          </w:tcPr>
          <w:p>
            <w:pPr>
              <w:spacing w:before="0" w:after="0"/>
            </w:pPr>
            <w:r>
              <w:rPr>
                <w:b/>
                <w:color w:val="FFFFFF"/>
                <w:sz w:val="18"/>
              </w:rPr>
              <w:t>OPERATIONAL SENSITIVITY</w:t>
            </w:r>
          </w:p>
        </w:tc>
      </w:tr>
      <w:tr>
        <w:tc>
          <w:tcPr>
            <w:tcW w:type="dxa" w:w="3168"/>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Monthly Production Target</w:t>
            </w:r>
          </w:p>
        </w:tc>
        <w:tc>
          <w:tcPr>
            <w:tcW w:type="dxa" w:w="1728"/>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10,000t – 80,000t</w:t>
            </w:r>
          </w:p>
        </w:tc>
        <w:tc>
          <w:tcPr>
            <w:tcW w:type="dxa" w:w="144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35,000t</w:t>
            </w:r>
          </w:p>
        </w:tc>
        <w:tc>
          <w:tcPr>
            <w:tcW w:type="dxa" w:w="3744"/>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The contractual production quota assigned by MOIL corporate management.</w:t>
            </w:r>
          </w:p>
        </w:tc>
      </w:tr>
      <w:tr>
        <w:tc>
          <w:tcPr>
            <w:tcW w:type="dxa" w:w="3168"/>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24h Cumulative Rainfall</w:t>
            </w:r>
          </w:p>
        </w:tc>
        <w:tc>
          <w:tcPr>
            <w:tcW w:type="dxa" w:w="1728"/>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0mm – 250mm</w:t>
            </w:r>
          </w:p>
        </w:tc>
        <w:tc>
          <w:tcPr>
            <w:tcW w:type="dxa" w:w="144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15mm</w:t>
            </w:r>
          </w:p>
        </w:tc>
        <w:tc>
          <w:tcPr>
            <w:tcW w:type="dxa" w:w="3744"/>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Monsoon rain inundates pit bottom sumps, slips haul roads, and stops extraction.</w:t>
            </w:r>
          </w:p>
        </w:tc>
      </w:tr>
      <w:tr>
        <w:tc>
          <w:tcPr>
            <w:tcW w:type="dxa" w:w="3168"/>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Dumper Truck Fleet Availability</w:t>
            </w:r>
          </w:p>
        </w:tc>
        <w:tc>
          <w:tcPr>
            <w:tcW w:type="dxa" w:w="1728"/>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30% – 100%</w:t>
            </w:r>
          </w:p>
        </w:tc>
        <w:tc>
          <w:tcPr>
            <w:tcW w:type="dxa" w:w="144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88%</w:t>
            </w:r>
          </w:p>
        </w:tc>
        <w:tc>
          <w:tcPr>
            <w:tcW w:type="dxa" w:w="3744"/>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Mechanical availability of 35-tonne haul trucks. Starvation causes shovel idling.</w:t>
            </w:r>
          </w:p>
        </w:tc>
      </w:tr>
      <w:tr>
        <w:tc>
          <w:tcPr>
            <w:tcW w:type="dxa" w:w="3168"/>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Shovel / Excavator Uptime</w:t>
            </w:r>
          </w:p>
        </w:tc>
        <w:tc>
          <w:tcPr>
            <w:tcW w:type="dxa" w:w="1728"/>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30% – 100%</w:t>
            </w:r>
          </w:p>
        </w:tc>
        <w:tc>
          <w:tcPr>
            <w:tcW w:type="dxa" w:w="144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92%</w:t>
            </w:r>
          </w:p>
        </w:tc>
        <w:tc>
          <w:tcPr>
            <w:tcW w:type="dxa" w:w="3744"/>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Operational uptime of face-loading hydraulic excavators.</w:t>
            </w:r>
          </w:p>
        </w:tc>
      </w:tr>
      <w:tr>
        <w:tc>
          <w:tcPr>
            <w:tcW w:type="dxa" w:w="3168"/>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Bench Stripping Ratio (W:O)</w:t>
            </w:r>
          </w:p>
        </w:tc>
        <w:tc>
          <w:tcPr>
            <w:tcW w:type="dxa" w:w="1728"/>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1.0:1 – 7.0:1</w:t>
            </w:r>
          </w:p>
        </w:tc>
        <w:tc>
          <w:tcPr>
            <w:tcW w:type="dxa" w:w="144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3.0:1</w:t>
            </w:r>
          </w:p>
        </w:tc>
        <w:tc>
          <w:tcPr>
            <w:tcW w:type="dxa" w:w="3744"/>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Overburden removal backlog. High stripping ratios choke ore face advance.</w:t>
            </w:r>
          </w:p>
        </w:tc>
      </w:tr>
      <w:tr>
        <w:tc>
          <w:tcPr>
            <w:tcW w:type="dxa" w:w="3168"/>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Pit Dewatering Capacity</w:t>
            </w:r>
          </w:p>
        </w:tc>
        <w:tc>
          <w:tcPr>
            <w:tcW w:type="dxa" w:w="1728"/>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100 – 1500 m3/h</w:t>
            </w:r>
          </w:p>
        </w:tc>
        <w:tc>
          <w:tcPr>
            <w:tcW w:type="dxa" w:w="144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500 m3/h</w:t>
            </w:r>
          </w:p>
        </w:tc>
        <w:tc>
          <w:tcPr>
            <w:tcW w:type="dxa" w:w="3744"/>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Pumping rate deployed to clear water ingress from heavy storms.</w:t>
            </w:r>
          </w:p>
        </w:tc>
      </w:tr>
    </w:tbl>
    <w:p>
      <w:pPr>
        <w:spacing w:before="0" w:after="80"/>
      </w:pPr>
    </w:p>
    <w:p>
      <w:pPr>
        <w:keepNext/>
        <w:spacing w:before="280" w:after="80"/>
      </w:pPr>
      <w:r>
        <w:rPr>
          <w:b/>
          <w:color w:val="1A56A0"/>
          <w:sz w:val="26"/>
        </w:rPr>
        <w:t>6.2 Key Outputs &amp; Visual Components</w:t>
      </w:r>
    </w:p>
    <w:p>
      <w:pPr>
        <w:keepNext/>
        <w:spacing w:before="200" w:after="40"/>
      </w:pPr>
      <w:r>
        <w:rPr>
          <w:b/>
          <w:color w:val="1E293B"/>
          <w:sz w:val="22"/>
        </w:rPr>
        <w:t>1. Primary Operational Bottleneck (ML Attribution) Banner:</w:t>
      </w:r>
    </w:p>
    <w:p>
      <w:pPr>
        <w:spacing w:before="0" w:after="80" w:line="276" w:lineRule="auto"/>
      </w:pPr>
      <w:r>
        <w:rPr>
          <w:color w:val="1E293B"/>
          <w:sz w:val="20"/>
        </w:rPr>
        <w:t>A prominent banner highlighted at the top of the predictor that diagnoses the exact single operational bottleneck dominating the deficit (e.g., 'MONSOON SUMP INUNDATION', 'HAUL TRUCK FLEET MECHANICAL STARVATION', or 'SHOVEL BREAKDOWN'). It also outputs direct Bench Dispatch Recommendations (e.g., 'Deploy 2 standby 500HP pumps to Pit Sump 3; Reroute 4 dumpers from Bench 2').</w:t>
      </w:r>
    </w:p>
    <w:p>
      <w:pPr>
        <w:keepNext/>
        <w:spacing w:before="200" w:after="40"/>
      </w:pPr>
      <w:r>
        <w:rPr>
          <w:b/>
          <w:color w:val="1E293B"/>
          <w:sz w:val="22"/>
        </w:rPr>
        <w:t>2. Trained ML Shortfall Regressor Output:</w:t>
      </w:r>
    </w:p>
    <w:p>
      <w:pPr>
        <w:pStyle w:val="ListBullet"/>
        <w:spacing w:before="0" w:after="60" w:line="276" w:lineRule="auto"/>
      </w:pPr>
      <w:r>
        <w:rPr>
          <w:b/>
          <w:color w:val="1E293B"/>
          <w:sz w:val="19"/>
        </w:rPr>
        <w:t xml:space="preserve">Predicted Shortfall Tonnage: </w:t>
      </w:r>
      <w:r>
        <w:rPr>
          <w:color w:val="1E293B"/>
          <w:sz w:val="19"/>
        </w:rPr>
        <w:t>Exact predicted deficit in metric tonnes (e.g., 358.9 Tonnes Shortfall).</w:t>
      </w:r>
    </w:p>
    <w:p>
      <w:pPr>
        <w:pStyle w:val="ListBullet"/>
        <w:spacing w:before="0" w:after="60" w:line="276" w:lineRule="auto"/>
      </w:pPr>
      <w:r>
        <w:rPr>
          <w:b/>
          <w:color w:val="1E293B"/>
          <w:sz w:val="19"/>
        </w:rPr>
        <w:t xml:space="preserve">Operational Risk Category: </w:t>
      </w:r>
      <w:r>
        <w:rPr>
          <w:color w:val="1E293B"/>
          <w:sz w:val="19"/>
        </w:rPr>
        <w:t>Color-coded badge: LOW (Green, &lt;500t), MODERATE (Amber, 500-1500t), CRITICAL (Red, &gt;1500t).</w:t>
      </w:r>
    </w:p>
    <w:p>
      <w:pPr>
        <w:pStyle w:val="ListBullet"/>
        <w:spacing w:before="0" w:after="60" w:line="276" w:lineRule="auto"/>
      </w:pPr>
      <w:r>
        <w:rPr>
          <w:b/>
          <w:color w:val="1E293B"/>
          <w:sz w:val="19"/>
        </w:rPr>
        <w:t xml:space="preserve">Net Revenue at Risk: </w:t>
      </w:r>
      <w:r>
        <w:rPr>
          <w:color w:val="1E293B"/>
          <w:sz w:val="19"/>
        </w:rPr>
        <w:t>Calculates financial loss in ₹ Lakhs at prevailing MOIL grade-benchmarked realization prices.</w:t>
      </w:r>
    </w:p>
    <w:p>
      <w:pPr>
        <w:keepNext/>
        <w:spacing w:before="200" w:after="40"/>
      </w:pPr>
      <w:r>
        <w:rPr>
          <w:b/>
          <w:color w:val="1E293B"/>
          <w:sz w:val="22"/>
        </w:rPr>
        <w:t>3. Non-Linear Constraint Feature Attribution:</w:t>
      </w:r>
    </w:p>
    <w:p>
      <w:pPr>
        <w:spacing w:before="0" w:after="80" w:line="276" w:lineRule="auto"/>
      </w:pPr>
      <w:r>
        <w:rPr>
          <w:color w:val="1E293B"/>
          <w:sz w:val="20"/>
        </w:rPr>
        <w:t>A horizontal bar chart breaking down the exact percentage contribution of each constraint to the shortfall: Rainfall Inundation %, Truck Fleet Starvation %, Shovel Breakdown %, and Stripping Backlog %.</w:t>
      </w:r>
    </w:p>
    <w:p>
      <w:pPr>
        <w:keepNext/>
        <w:spacing w:before="200" w:after="40"/>
      </w:pPr>
      <w:r>
        <w:rPr>
          <w:b/>
          <w:color w:val="1E293B"/>
          <w:sz w:val="22"/>
        </w:rPr>
        <w:t>4. Interactive Buttons &amp; Quick-Simulation Presets:</w:t>
      </w:r>
    </w:p>
    <w:p>
      <w:pPr>
        <w:pStyle w:val="ListBullet"/>
        <w:spacing w:before="0" w:after="60" w:line="276" w:lineRule="auto"/>
      </w:pPr>
      <w:r>
        <w:rPr>
          <w:b/>
          <w:color w:val="1E293B"/>
          <w:sz w:val="19"/>
        </w:rPr>
        <w:t xml:space="preserve">Simulate Wet Shift (Monsoon Spike): </w:t>
      </w:r>
      <w:r>
        <w:rPr>
          <w:color w:val="1E293B"/>
          <w:sz w:val="19"/>
        </w:rPr>
        <w:t>Spikes rainfall to 110mm and reduces dewatering capacity to showcase monsoon vulnerability.</w:t>
      </w:r>
    </w:p>
    <w:p>
      <w:pPr>
        <w:pStyle w:val="ListBullet"/>
        <w:spacing w:before="0" w:after="60" w:line="276" w:lineRule="auto"/>
      </w:pPr>
      <w:r>
        <w:rPr>
          <w:b/>
          <w:color w:val="1E293B"/>
          <w:sz w:val="19"/>
        </w:rPr>
        <w:t xml:space="preserve">Simulate Equipment Breakdown: </w:t>
      </w:r>
      <w:r>
        <w:rPr>
          <w:color w:val="1E293B"/>
          <w:sz w:val="19"/>
        </w:rPr>
        <w:t>Drops truck availability to 45% to simulate sudden fleet mechanical failure.</w:t>
      </w:r>
    </w:p>
    <w:p>
      <w:pPr>
        <w:pStyle w:val="ListBullet"/>
        <w:spacing w:before="0" w:after="60" w:line="276" w:lineRule="auto"/>
      </w:pPr>
      <w:r>
        <w:rPr>
          <w:b/>
          <w:color w:val="1E293B"/>
          <w:sz w:val="19"/>
        </w:rPr>
        <w:t xml:space="preserve">Reset Baseline Fleet: </w:t>
      </w:r>
      <w:r>
        <w:rPr>
          <w:color w:val="1E293B"/>
          <w:sz w:val="19"/>
        </w:rPr>
        <w:t>Restores all equipment and weather conditions to optimal baseline.</w:t>
      </w:r>
    </w:p>
    <w:p>
      <w:r>
        <w:br w:type="page"/>
      </w:r>
    </w:p>
    <w:p>
      <w:pPr>
        <w:keepNext/>
        <w:spacing w:before="440" w:after="120"/>
        <w:pBdr>
          <w:bottom w:val="single" w:sz="14" w:space="4" w:color="0F2C59"/>
        </w:pBdr>
      </w:pPr>
      <w:r>
        <w:rPr>
          <w:b/>
          <w:color w:val="0F2C59"/>
          <w:sz w:val="32"/>
        </w:rPr>
        <w:t>7. Module 3: Smelter Logistics &amp; Net Smelter Return Optimizer (Judge Recommendation #3)</w:t>
      </w:r>
    </w:p>
    <w:p>
      <w:pPr>
        <w:spacing w:before="0" w:after="80" w:line="276" w:lineRule="auto"/>
      </w:pPr>
      <w:r>
        <w:rPr>
          <w:color w:val="1E293B"/>
          <w:sz w:val="20"/>
        </w:rPr>
        <w:t>To make the platform truly end-to-end, we implemented the Smelter Logistics &amp; Net Smelter Return (NSR) Optimizer (SmelterLogisticsCard.js &amp; shortfall_engine.py). Mining companies do not make money at the pit mouth; they make money at the smelter railway siding.</w:t>
      </w:r>
    </w:p>
    <w:tbl>
      <w:tblPr>
        <w:tblW w:type="auto" w:w="0"/>
        <w:jc w:val="center"/>
        <w:tblLayout w:type="fixed"/>
        <w:tblLook w:firstColumn="1" w:firstRow="1" w:lastColumn="0" w:lastRow="0" w:noHBand="0" w:noVBand="1" w:val="04A0"/>
      </w:tblPr>
      <w:tblGrid>
        <w:gridCol w:w="10080"/>
      </w:tblGrid>
      <w:tr>
        <w:tc>
          <w:tcPr>
            <w:tcW w:type="dxa" w:w="10080"/>
            <w:shd w:fill="F8FAFC"/>
            <w:tcMar>
              <w:top w:w="120" w:type="dxa"/>
              <w:bottom w:w="120" w:type="dxa"/>
              <w:left w:w="180" w:type="dxa"/>
              <w:right w:w="140" w:type="dxa"/>
            </w:tcMar>
            <w:tcBorders>
              <w:top w:val="none"/>
              <w:bottom w:val="single" w:sz="24" w:space="0" w:color="E2E8F0"/>
              <w:left w:val="single" w:sz="24" w:space="0" w:color="0F2C59"/>
              <w:right w:val="none"/>
            </w:tcBorders>
          </w:tcPr>
          <w:p>
            <w:pPr>
              <w:spacing w:before="0" w:after="60"/>
            </w:pPr>
            <w:r>
              <w:rPr>
                <w:b/>
                <w:color w:val="0F2C59"/>
                <w:sz w:val="21"/>
              </w:rPr>
              <w:t>📌 WHY NSR MATTERS IN MANGANESE MINING</w:t>
              <w:br/>
            </w:r>
            <w:r>
              <w:rPr>
                <w:color w:val="1E293B"/>
                <w:sz w:val="19"/>
              </w:rPr>
              <w:t>Manganese ore is a high-bulk, low-to-medium value commodity. Rail freight charges levied by Indian Railways (Class 140 freight tariff) can constitute 20% to 35% of the delivered price. Choosing the wrong smelter destination destroys profit margins. Our engine computes Haversine geodesic distances and freight tariffs to find the maximum NSR.</w:t>
            </w:r>
          </w:p>
        </w:tc>
      </w:tr>
    </w:tbl>
    <w:p>
      <w:pPr>
        <w:spacing w:before="0" w:after="80"/>
      </w:pPr>
    </w:p>
    <w:p>
      <w:pPr>
        <w:keepNext/>
        <w:spacing w:before="280" w:after="80"/>
      </w:pPr>
      <w:r>
        <w:rPr>
          <w:b/>
          <w:color w:val="1A56A0"/>
          <w:sz w:val="26"/>
        </w:rPr>
        <w:t>7.1 The 4 Central Indian Smelter Destinations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3168"/>
            <w:shd w:fill="1A56A0"/>
            <w:tcMar>
              <w:top w:w="100" w:type="dxa"/>
              <w:bottom w:w="100" w:type="dxa"/>
              <w:left w:w="100" w:type="dxa"/>
              <w:right w:w="100" w:type="dxa"/>
            </w:tcMar>
          </w:tcPr>
          <w:p>
            <w:pPr>
              <w:spacing w:before="0" w:after="0"/>
            </w:pPr>
            <w:r>
              <w:rPr>
                <w:b/>
                <w:color w:val="FFFFFF"/>
                <w:sz w:val="18"/>
              </w:rPr>
              <w:t>SMELTER NAME &amp; DESTINATION</w:t>
            </w:r>
          </w:p>
        </w:tc>
        <w:tc>
          <w:tcPr>
            <w:tcW w:type="dxa" w:w="2160"/>
            <w:shd w:fill="1A56A0"/>
            <w:tcMar>
              <w:top w:w="100" w:type="dxa"/>
              <w:bottom w:w="100" w:type="dxa"/>
              <w:left w:w="100" w:type="dxa"/>
              <w:right w:w="100" w:type="dxa"/>
            </w:tcMar>
          </w:tcPr>
          <w:p>
            <w:pPr>
              <w:spacing w:before="0" w:after="0"/>
            </w:pPr>
            <w:r>
              <w:rPr>
                <w:b/>
                <w:color w:val="FFFFFF"/>
                <w:sz w:val="18"/>
              </w:rPr>
              <w:t>LOCATION / STATE</w:t>
            </w:r>
          </w:p>
        </w:tc>
        <w:tc>
          <w:tcPr>
            <w:tcW w:type="dxa" w:w="1872"/>
            <w:shd w:fill="1A56A0"/>
            <w:tcMar>
              <w:top w:w="100" w:type="dxa"/>
              <w:bottom w:w="100" w:type="dxa"/>
              <w:left w:w="100" w:type="dxa"/>
              <w:right w:w="100" w:type="dxa"/>
            </w:tcMar>
          </w:tcPr>
          <w:p>
            <w:pPr>
              <w:spacing w:before="0" w:after="0"/>
            </w:pPr>
            <w:r>
              <w:rPr>
                <w:b/>
                <w:color w:val="FFFFFF"/>
                <w:sz w:val="18"/>
              </w:rPr>
              <w:t>AVG RAIL DISTANCE</w:t>
            </w:r>
          </w:p>
        </w:tc>
        <w:tc>
          <w:tcPr>
            <w:tcW w:type="dxa" w:w="2880"/>
            <w:shd w:fill="1A56A0"/>
            <w:tcMar>
              <w:top w:w="100" w:type="dxa"/>
              <w:bottom w:w="100" w:type="dxa"/>
              <w:left w:w="100" w:type="dxa"/>
              <w:right w:w="100" w:type="dxa"/>
            </w:tcMar>
          </w:tcPr>
          <w:p>
            <w:pPr>
              <w:spacing w:before="0" w:after="0"/>
            </w:pPr>
            <w:r>
              <w:rPr>
                <w:b/>
                <w:color w:val="FFFFFF"/>
                <w:sz w:val="18"/>
              </w:rPr>
              <w:t>INDUSTRIAL PROFILE</w:t>
            </w:r>
          </w:p>
        </w:tc>
      </w:tr>
      <w:tr>
        <w:tc>
          <w:tcPr>
            <w:tcW w:type="dxa" w:w="3168"/>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MEL Chandrapur (SAIL)</w:t>
            </w:r>
          </w:p>
        </w:tc>
        <w:tc>
          <w:tcPr>
            <w:tcW w:type="dxa" w:w="216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Chandrapur, Maharashtra</w:t>
            </w:r>
          </w:p>
        </w:tc>
        <w:tc>
          <w:tcPr>
            <w:tcW w:type="dxa" w:w="1872"/>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~165 km</w:t>
            </w:r>
          </w:p>
        </w:tc>
        <w:tc>
          <w:tcPr>
            <w:tcW w:type="dxa" w:w="28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India's premier ferromanganese producer; subsidiary of SAIL.</w:t>
            </w:r>
          </w:p>
        </w:tc>
      </w:tr>
      <w:tr>
        <w:tc>
          <w:tcPr>
            <w:tcW w:type="dxa" w:w="3168"/>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Bhilai Steel Plant (SAIL)</w:t>
            </w:r>
          </w:p>
        </w:tc>
        <w:tc>
          <w:tcPr>
            <w:tcW w:type="dxa" w:w="216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Durg / Bhilai, Chhattisgarh</w:t>
            </w:r>
          </w:p>
        </w:tc>
        <w:tc>
          <w:tcPr>
            <w:tcW w:type="dxa" w:w="1872"/>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~220 km</w:t>
            </w:r>
          </w:p>
        </w:tc>
        <w:tc>
          <w:tcPr>
            <w:tcW w:type="dxa" w:w="288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Major integrated steel plant requiring high-grade Mn lumps.</w:t>
            </w:r>
          </w:p>
        </w:tc>
      </w:tr>
      <w:tr>
        <w:tc>
          <w:tcPr>
            <w:tcW w:type="dxa" w:w="3168"/>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Nagpur / Kanhan Industrial Area</w:t>
            </w:r>
          </w:p>
        </w:tc>
        <w:tc>
          <w:tcPr>
            <w:tcW w:type="dxa" w:w="216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Nagpur, Maharashtra</w:t>
            </w:r>
          </w:p>
        </w:tc>
        <w:tc>
          <w:tcPr>
            <w:tcW w:type="dxa" w:w="1872"/>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~85 km</w:t>
            </w:r>
          </w:p>
        </w:tc>
        <w:tc>
          <w:tcPr>
            <w:tcW w:type="dxa" w:w="28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Local ferro-alloy cluster; lowest rail freight lead distance.</w:t>
            </w:r>
          </w:p>
        </w:tc>
      </w:tr>
      <w:tr>
        <w:tc>
          <w:tcPr>
            <w:tcW w:type="dxa" w:w="3168"/>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Vizag Steel Plant (RINL)</w:t>
            </w:r>
          </w:p>
        </w:tc>
        <w:tc>
          <w:tcPr>
            <w:tcW w:type="dxa" w:w="216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Visakhapatnam, Andhra Pradesh</w:t>
            </w:r>
          </w:p>
        </w:tc>
        <w:tc>
          <w:tcPr>
            <w:tcW w:type="dxa" w:w="1872"/>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~680 km</w:t>
            </w:r>
          </w:p>
        </w:tc>
        <w:tc>
          <w:tcPr>
            <w:tcW w:type="dxa" w:w="288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Mega coastal plant; higher freight offset by premium high-grade demand.</w:t>
            </w:r>
          </w:p>
        </w:tc>
      </w:tr>
    </w:tbl>
    <w:p>
      <w:pPr>
        <w:spacing w:before="0" w:after="80"/>
      </w:pPr>
    </w:p>
    <w:p>
      <w:pPr>
        <w:keepNext/>
        <w:spacing w:before="280" w:after="80"/>
      </w:pPr>
      <w:r>
        <w:rPr>
          <w:b/>
          <w:color w:val="1A56A0"/>
          <w:sz w:val="26"/>
        </w:rPr>
        <w:t>7.2 Mathematical Formulation of Net Smelter Return (NSR)</w:t>
      </w:r>
    </w:p>
    <w:p>
      <w:pPr>
        <w:spacing w:before="0" w:after="60" w:line="276" w:lineRule="auto"/>
      </w:pPr>
      <w:r>
        <w:rPr>
          <w:color w:val="1E293B"/>
          <w:sz w:val="20"/>
        </w:rPr>
        <w:t>Gross Ore Value (₹/t) = Base Realization Price benchmarked to Manganese Grade (% Mn)</w:t>
      </w:r>
    </w:p>
    <w:p>
      <w:pPr>
        <w:spacing w:before="0" w:after="60" w:line="276" w:lineRule="auto"/>
      </w:pPr>
      <w:r>
        <w:rPr>
          <w:color w:val="1E293B"/>
          <w:sz w:val="20"/>
        </w:rPr>
        <w:t>Rail Freight Cost (₹/t) = 450 + (Rail Distance in km * 2.85 ₹/t/km)  [Indian Railways Class 140]</w:t>
      </w:r>
    </w:p>
    <w:p>
      <w:pPr>
        <w:spacing w:before="0" w:after="60" w:line="276" w:lineRule="auto"/>
      </w:pPr>
      <w:r>
        <w:rPr>
          <w:color w:val="1E293B"/>
          <w:sz w:val="20"/>
        </w:rPr>
        <w:t>Handling &amp; Terminal Surcharge (₹/t) = ₹180 / tonne flat siding charge</w:t>
      </w:r>
    </w:p>
    <w:p>
      <w:pPr>
        <w:spacing w:before="0" w:after="60" w:line="276" w:lineRule="auto"/>
      </w:pPr>
      <w:r>
        <w:rPr>
          <w:color w:val="1E293B"/>
          <w:sz w:val="20"/>
        </w:rPr>
        <w:t>Net Smelter Return (NSR ₹/t) = Gross Ore Value - Rail Freight - Handling Surcharge</w:t>
      </w:r>
    </w:p>
    <w:p>
      <w:pPr>
        <w:spacing w:before="0" w:after="120" w:line="276" w:lineRule="auto"/>
      </w:pPr>
      <w:r>
        <w:rPr>
          <w:color w:val="1E293B"/>
          <w:sz w:val="20"/>
        </w:rPr>
        <w:t>Total Weekly Net Margin (₹ Lakhs) = (NSR * Weekly Dispatched Tonnage) / 100,000</w:t>
      </w:r>
    </w:p>
    <w:p>
      <w:pPr>
        <w:keepNext/>
        <w:spacing w:before="280" w:after="80"/>
      </w:pPr>
      <w:r>
        <w:rPr>
          <w:b/>
          <w:color w:val="1A56A0"/>
          <w:sz w:val="26"/>
        </w:rPr>
        <w:t>7.3 Visual Components in the Smelter Logistics Card</w:t>
      </w:r>
    </w:p>
    <w:p>
      <w:pPr>
        <w:pStyle w:val="ListBullet"/>
        <w:spacing w:before="0" w:after="60" w:line="276" w:lineRule="auto"/>
      </w:pPr>
      <w:r>
        <w:rPr>
          <w:b/>
          <w:color w:val="1E293B"/>
          <w:sz w:val="19"/>
        </w:rPr>
        <w:t xml:space="preserve">4 Destination Route Cards: </w:t>
      </w:r>
      <w:r>
        <w:rPr>
          <w:color w:val="1E293B"/>
          <w:sz w:val="19"/>
        </w:rPr>
        <w:t>Renders 4 side-by-side cards showing Rail Distance (km), Rail Freight (₹/t), Realized NSR (₹/t), and Total Margin (₹ Lakhs).</w:t>
      </w:r>
    </w:p>
    <w:p>
      <w:pPr>
        <w:pStyle w:val="ListBullet"/>
        <w:spacing w:before="0" w:after="60" w:line="276" w:lineRule="auto"/>
      </w:pPr>
      <w:r>
        <w:rPr>
          <w:b/>
          <w:color w:val="1E293B"/>
          <w:sz w:val="19"/>
        </w:rPr>
        <w:t xml:space="preserve">Optimal Route Identifier: </w:t>
      </w:r>
      <w:r>
        <w:rPr>
          <w:color w:val="1E293B"/>
          <w:sz w:val="19"/>
        </w:rPr>
        <w:t>The engine highlights the route with the highest NSR in vibrant green with an 'OPTIMAL ROUTE' badge.</w:t>
      </w:r>
    </w:p>
    <w:p>
      <w:pPr>
        <w:pStyle w:val="ListBullet"/>
        <w:spacing w:before="0" w:after="60" w:line="276" w:lineRule="auto"/>
      </w:pPr>
      <w:r>
        <w:rPr>
          <w:b/>
          <w:color w:val="1E293B"/>
          <w:sz w:val="19"/>
        </w:rPr>
        <w:t xml:space="preserve">Logistics Summary Banner: </w:t>
      </w:r>
      <w:r>
        <w:rPr>
          <w:color w:val="1E293B"/>
          <w:sz w:val="19"/>
        </w:rPr>
        <w:t>Displays total freight savings achieved by adhering to the AI dispatch schedule versus unoptimized dispatch.</w:t>
      </w:r>
    </w:p>
    <w:p>
      <w:r>
        <w:br w:type="page"/>
      </w:r>
    </w:p>
    <w:p>
      <w:pPr>
        <w:keepNext/>
        <w:spacing w:before="440" w:after="120"/>
        <w:pBdr>
          <w:bottom w:val="single" w:sz="14" w:space="4" w:color="0F2C59"/>
        </w:pBdr>
      </w:pPr>
      <w:r>
        <w:rPr>
          <w:b/>
          <w:color w:val="0F2C59"/>
          <w:sz w:val="32"/>
        </w:rPr>
        <w:t>8. Module 4: Scenario Simulator &amp; Strategic Sandbox</w:t>
      </w:r>
    </w:p>
    <w:p>
      <w:pPr>
        <w:spacing w:before="0" w:after="80" w:line="276" w:lineRule="auto"/>
      </w:pPr>
      <w:r>
        <w:rPr>
          <w:color w:val="1E293B"/>
          <w:sz w:val="20"/>
        </w:rPr>
        <w:t>The Scenario Simulator (ScenarioSimulator.js) empowers MOIL executive leadership to test CapEx and OpEx investments before committing capital to the field.</w:t>
      </w:r>
    </w:p>
    <w:p>
      <w:pPr>
        <w:keepNext/>
        <w:spacing w:before="280" w:after="80"/>
      </w:pPr>
      <w:r>
        <w:rPr>
          <w:b/>
          <w:color w:val="1A56A0"/>
          <w:sz w:val="26"/>
        </w:rPr>
        <w:t>8.1 Strategic Investment Levers</w:t>
      </w:r>
    </w:p>
    <w:p>
      <w:pPr>
        <w:pStyle w:val="ListBullet"/>
        <w:spacing w:before="0" w:after="60" w:line="276" w:lineRule="auto"/>
      </w:pPr>
      <w:r>
        <w:rPr>
          <w:b/>
          <w:color w:val="1E293B"/>
          <w:sz w:val="19"/>
        </w:rPr>
        <w:t xml:space="preserve">Fleet Expansion: </w:t>
      </w:r>
      <w:r>
        <w:rPr>
          <w:color w:val="1E293B"/>
          <w:sz w:val="19"/>
        </w:rPr>
        <w:t>Simulates the acquisition of 6 new 35t Volvo/Caterpillar haul trucks (+15% fleet availability).</w:t>
      </w:r>
    </w:p>
    <w:p>
      <w:pPr>
        <w:pStyle w:val="ListBullet"/>
        <w:spacing w:before="0" w:after="60" w:line="276" w:lineRule="auto"/>
      </w:pPr>
      <w:r>
        <w:rPr>
          <w:b/>
          <w:color w:val="1E293B"/>
          <w:sz w:val="19"/>
        </w:rPr>
        <w:t xml:space="preserve">Monsoon Drainage Infrastructure: </w:t>
      </w:r>
      <w:r>
        <w:rPr>
          <w:color w:val="1E293B"/>
          <w:sz w:val="19"/>
        </w:rPr>
        <w:t>Evaluates the payback of installing a high-capacity dewatering canal and submersible pumps (+400 m3/h dewatering).</w:t>
      </w:r>
    </w:p>
    <w:p>
      <w:pPr>
        <w:pStyle w:val="ListBullet"/>
        <w:spacing w:before="0" w:after="60" w:line="276" w:lineRule="auto"/>
      </w:pPr>
      <w:r>
        <w:rPr>
          <w:b/>
          <w:color w:val="1E293B"/>
          <w:sz w:val="19"/>
        </w:rPr>
        <w:t xml:space="preserve">Ore Beneficiation Upgrade: </w:t>
      </w:r>
      <w:r>
        <w:rPr>
          <w:color w:val="1E293B"/>
          <w:sz w:val="19"/>
        </w:rPr>
        <w:t>Evaluates optical/XRF ore sorter installation at the pithead (+3.5% ore grade recovery).</w:t>
      </w:r>
    </w:p>
    <w:p>
      <w:pPr>
        <w:pStyle w:val="ListBullet"/>
        <w:spacing w:before="0" w:after="60" w:line="276" w:lineRule="auto"/>
      </w:pPr>
      <w:r>
        <w:rPr>
          <w:b/>
          <w:color w:val="1E293B"/>
          <w:sz w:val="19"/>
        </w:rPr>
        <w:t xml:space="preserve">Rail Siding Modernization: </w:t>
      </w:r>
      <w:r>
        <w:rPr>
          <w:color w:val="1E293B"/>
          <w:sz w:val="19"/>
        </w:rPr>
        <w:t>Calculates margin improvements if long-term volume discount contracts are negotiated with Indian Railways.</w:t>
      </w:r>
    </w:p>
    <w:p>
      <w:pPr>
        <w:keepNext/>
        <w:spacing w:before="280" w:after="80"/>
      </w:pPr>
      <w:r>
        <w:rPr>
          <w:b/>
          <w:color w:val="1A56A0"/>
          <w:sz w:val="26"/>
        </w:rPr>
        <w:t>8.2 Output Metrics</w:t>
      </w:r>
    </w:p>
    <w:p>
      <w:pPr>
        <w:pStyle w:val="ListBullet"/>
        <w:spacing w:before="0" w:after="60" w:line="276" w:lineRule="auto"/>
      </w:pPr>
      <w:r>
        <w:rPr>
          <w:b/>
          <w:color w:val="1E293B"/>
          <w:sz w:val="19"/>
        </w:rPr>
        <w:t xml:space="preserve">Net Delta Revenue (₹ Crores): </w:t>
      </w:r>
      <w:r>
        <w:rPr>
          <w:color w:val="1E293B"/>
          <w:sz w:val="19"/>
        </w:rPr>
        <w:t>Difference in net annual operating profit between baseline and upgraded configuration.</w:t>
      </w:r>
    </w:p>
    <w:p>
      <w:pPr>
        <w:pStyle w:val="ListBullet"/>
        <w:spacing w:before="0" w:after="60" w:line="276" w:lineRule="auto"/>
      </w:pPr>
      <w:r>
        <w:rPr>
          <w:b/>
          <w:color w:val="1E293B"/>
          <w:sz w:val="19"/>
        </w:rPr>
        <w:t xml:space="preserve">Shortfall Tonnes Saved: </w:t>
      </w:r>
      <w:r>
        <w:rPr>
          <w:color w:val="1E293B"/>
          <w:sz w:val="19"/>
        </w:rPr>
        <w:t>Total additional manganese ore conserved and delivered to market.</w:t>
      </w:r>
    </w:p>
    <w:p>
      <w:pPr>
        <w:pStyle w:val="ListBullet"/>
        <w:spacing w:before="0" w:after="60" w:line="276" w:lineRule="auto"/>
      </w:pPr>
      <w:r>
        <w:rPr>
          <w:b/>
          <w:color w:val="1E293B"/>
          <w:sz w:val="19"/>
        </w:rPr>
        <w:t xml:space="preserve">Capital Expenditure Payback Period: </w:t>
      </w:r>
      <w:r>
        <w:rPr>
          <w:color w:val="1E293B"/>
          <w:sz w:val="19"/>
        </w:rPr>
        <w:t>Estimated payback duration in months based on discounted cash flow.</w:t>
      </w:r>
    </w:p>
    <w:p>
      <w:pPr>
        <w:keepNext/>
        <w:spacing w:before="440" w:after="120"/>
        <w:pBdr>
          <w:bottom w:val="single" w:sz="14" w:space="4" w:color="0F2C59"/>
        </w:pBdr>
      </w:pPr>
      <w:r>
        <w:rPr>
          <w:b/>
          <w:color w:val="0F2C59"/>
          <w:sz w:val="32"/>
        </w:rPr>
        <w:t>9. Complete UI Directory: Controls, Sliders &amp; Buttons</w:t>
      </w:r>
    </w:p>
    <w:p>
      <w:pPr>
        <w:spacing w:before="0" w:after="80" w:line="276" w:lineRule="auto"/>
      </w:pPr>
      <w:r>
        <w:rPr>
          <w:color w:val="1E293B"/>
          <w:sz w:val="20"/>
        </w:rPr>
        <w:t>This section serves as an exhaustive reference manual for every interactive widget in the portal.</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880"/>
            <w:shd w:fill="0F2C59"/>
            <w:tcMar>
              <w:top w:w="100" w:type="dxa"/>
              <w:bottom w:w="100" w:type="dxa"/>
              <w:left w:w="100" w:type="dxa"/>
              <w:right w:w="100" w:type="dxa"/>
            </w:tcMar>
          </w:tcPr>
          <w:p>
            <w:pPr>
              <w:spacing w:before="0" w:after="0"/>
            </w:pPr>
            <w:r>
              <w:rPr>
                <w:b/>
                <w:color w:val="FFFFFF"/>
                <w:sz w:val="18"/>
              </w:rPr>
              <w:t>UI ELEMENT NAME</w:t>
            </w:r>
          </w:p>
        </w:tc>
        <w:tc>
          <w:tcPr>
            <w:tcW w:type="dxa" w:w="2016"/>
            <w:shd w:fill="0F2C59"/>
            <w:tcMar>
              <w:top w:w="100" w:type="dxa"/>
              <w:bottom w:w="100" w:type="dxa"/>
              <w:left w:w="100" w:type="dxa"/>
              <w:right w:w="100" w:type="dxa"/>
            </w:tcMar>
          </w:tcPr>
          <w:p>
            <w:pPr>
              <w:spacing w:before="0" w:after="0"/>
            </w:pPr>
            <w:r>
              <w:rPr>
                <w:b/>
                <w:color w:val="FFFFFF"/>
                <w:sz w:val="18"/>
              </w:rPr>
              <w:t>LOCATION</w:t>
            </w:r>
          </w:p>
        </w:tc>
        <w:tc>
          <w:tcPr>
            <w:tcW w:type="dxa" w:w="1440"/>
            <w:shd w:fill="0F2C59"/>
            <w:tcMar>
              <w:top w:w="100" w:type="dxa"/>
              <w:bottom w:w="100" w:type="dxa"/>
              <w:left w:w="100" w:type="dxa"/>
              <w:right w:w="100" w:type="dxa"/>
            </w:tcMar>
          </w:tcPr>
          <w:p>
            <w:pPr>
              <w:spacing w:before="0" w:after="0"/>
            </w:pPr>
            <w:r>
              <w:rPr>
                <w:b/>
                <w:color w:val="FFFFFF"/>
                <w:sz w:val="18"/>
              </w:rPr>
              <w:t>TYPE</w:t>
            </w:r>
          </w:p>
        </w:tc>
        <w:tc>
          <w:tcPr>
            <w:tcW w:type="dxa" w:w="3744"/>
            <w:shd w:fill="0F2C59"/>
            <w:tcMar>
              <w:top w:w="100" w:type="dxa"/>
              <w:bottom w:w="100" w:type="dxa"/>
              <w:left w:w="100" w:type="dxa"/>
              <w:right w:w="100" w:type="dxa"/>
            </w:tcMar>
          </w:tcPr>
          <w:p>
            <w:pPr>
              <w:spacing w:before="0" w:after="0"/>
            </w:pPr>
            <w:r>
              <w:rPr>
                <w:b/>
                <w:color w:val="FFFFFF"/>
                <w:sz w:val="18"/>
              </w:rPr>
              <w:t>OPERATIONAL EFFECT &amp; FUNCTION</w:t>
            </w:r>
          </w:p>
        </w:tc>
      </w:tr>
      <w:tr>
        <w:tc>
          <w:tcPr>
            <w:tcW w:type="dxa" w:w="28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Target Mine Dropdown</w:t>
            </w:r>
          </w:p>
        </w:tc>
        <w:tc>
          <w:tcPr>
            <w:tcW w:type="dxa" w:w="2016"/>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Header / Hub</w:t>
            </w:r>
          </w:p>
        </w:tc>
        <w:tc>
          <w:tcPr>
            <w:tcW w:type="dxa" w:w="144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Select Dropdown</w:t>
            </w:r>
          </w:p>
        </w:tc>
        <w:tc>
          <w:tcPr>
            <w:tcW w:type="dxa" w:w="3744"/>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Selects active mining block (Balaghat, Ukwa, etc.). Populates coordinates, base grade, and lithology.</w:t>
            </w:r>
          </w:p>
        </w:tc>
      </w:tr>
      <w:tr>
        <w:tc>
          <w:tcPr>
            <w:tcW w:type="dxa" w:w="288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Host Lithology Selector</w:t>
            </w:r>
          </w:p>
        </w:tc>
        <w:tc>
          <w:tcPr>
            <w:tcW w:type="dxa" w:w="2016"/>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Hub — Tab 1</w:t>
            </w:r>
          </w:p>
        </w:tc>
        <w:tc>
          <w:tcPr>
            <w:tcW w:type="dxa" w:w="144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Select Dropdown</w:t>
            </w:r>
          </w:p>
        </w:tc>
        <w:tc>
          <w:tcPr>
            <w:tcW w:type="dxa" w:w="3744"/>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Applies Bayesian prior weights (0.15 to 1.45) from GSI regional geology maps.</w:t>
            </w:r>
          </w:p>
        </w:tc>
      </w:tr>
      <w:tr>
        <w:tc>
          <w:tcPr>
            <w:tcW w:type="dxa" w:w="28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Spectral Sliders (B4, B8, B11, B12)</w:t>
            </w:r>
          </w:p>
        </w:tc>
        <w:tc>
          <w:tcPr>
            <w:tcW w:type="dxa" w:w="2016"/>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Hub — Tab 1</w:t>
            </w:r>
          </w:p>
        </w:tc>
        <w:tc>
          <w:tcPr>
            <w:tcW w:type="dxa" w:w="144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Range Sliders</w:t>
            </w:r>
          </w:p>
        </w:tc>
        <w:tc>
          <w:tcPr>
            <w:tcW w:type="dxa" w:w="3744"/>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Adjusts satellite band reflectance to evaluate mineral alteration and oxide ratios.</w:t>
            </w:r>
          </w:p>
        </w:tc>
      </w:tr>
      <w:tr>
        <w:tc>
          <w:tcPr>
            <w:tcW w:type="dxa" w:w="288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Run AI Spectral Prospector</w:t>
            </w:r>
          </w:p>
        </w:tc>
        <w:tc>
          <w:tcPr>
            <w:tcW w:type="dxa" w:w="2016"/>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Hub — Tab 1</w:t>
            </w:r>
          </w:p>
        </w:tc>
        <w:tc>
          <w:tcPr>
            <w:tcW w:type="dxa" w:w="144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Primary Button</w:t>
            </w:r>
          </w:p>
        </w:tc>
        <w:tc>
          <w:tcPr>
            <w:tcW w:type="dxa" w:w="3744"/>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Executes satellite ML inference and updates exploration probability.</w:t>
            </w:r>
          </w:p>
        </w:tc>
      </w:tr>
      <w:tr>
        <w:tc>
          <w:tcPr>
            <w:tcW w:type="dxa" w:w="28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Cut-off Grade Slider</w:t>
            </w:r>
          </w:p>
        </w:tc>
        <w:tc>
          <w:tcPr>
            <w:tcW w:type="dxa" w:w="2016"/>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Hub — Tab 2</w:t>
            </w:r>
          </w:p>
        </w:tc>
        <w:tc>
          <w:tcPr>
            <w:tcW w:type="dxa" w:w="144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Range Slider</w:t>
            </w:r>
          </w:p>
        </w:tc>
        <w:tc>
          <w:tcPr>
            <w:tcW w:type="dxa" w:w="3744"/>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Varies economic cutoff (20-35% Mn). Immediately updates Extractable Metal KPI.</w:t>
            </w:r>
          </w:p>
        </w:tc>
      </w:tr>
      <w:tr>
        <w:tc>
          <w:tcPr>
            <w:tcW w:type="dxa" w:w="288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Stripping Ratio Slider</w:t>
            </w:r>
          </w:p>
        </w:tc>
        <w:tc>
          <w:tcPr>
            <w:tcW w:type="dxa" w:w="2016"/>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Hub — Tab 2</w:t>
            </w:r>
          </w:p>
        </w:tc>
        <w:tc>
          <w:tcPr>
            <w:tcW w:type="dxa" w:w="144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Range Slider</w:t>
            </w:r>
          </w:p>
        </w:tc>
        <w:tc>
          <w:tcPr>
            <w:tcW w:type="dxa" w:w="3744"/>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Adjusts waste-to-ore ratio. Chokes extraction if stripping backlog is high.</w:t>
            </w:r>
          </w:p>
        </w:tc>
      </w:tr>
      <w:tr>
        <w:tc>
          <w:tcPr>
            <w:tcW w:type="dxa" w:w="28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Preset BH Buttons</w:t>
            </w:r>
          </w:p>
        </w:tc>
        <w:tc>
          <w:tcPr>
            <w:tcW w:type="dxa" w:w="2016"/>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Hub — Tab 4</w:t>
            </w:r>
          </w:p>
        </w:tc>
        <w:tc>
          <w:tcPr>
            <w:tcW w:type="dxa" w:w="144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Button Group</w:t>
            </w:r>
          </w:p>
        </w:tc>
        <w:tc>
          <w:tcPr>
            <w:tcW w:type="dxa" w:w="3744"/>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Instantly loads borehole drill logs (BH-BGT-42, BH-UKW-18, BH-BRN-05).</w:t>
            </w:r>
          </w:p>
        </w:tc>
      </w:tr>
      <w:tr>
        <w:tc>
          <w:tcPr>
            <w:tcW w:type="dxa" w:w="288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Upload Custom CSV</w:t>
            </w:r>
          </w:p>
        </w:tc>
        <w:tc>
          <w:tcPr>
            <w:tcW w:type="dxa" w:w="2016"/>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Hub — Tab 4</w:t>
            </w:r>
          </w:p>
        </w:tc>
        <w:tc>
          <w:tcPr>
            <w:tcW w:type="dxa" w:w="144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Toggle Button</w:t>
            </w:r>
          </w:p>
        </w:tc>
        <w:tc>
          <w:tcPr>
            <w:tcW w:type="dxa" w:w="3744"/>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Opens custom borehole CSV parsing box for user drill data.</w:t>
            </w:r>
          </w:p>
        </w:tc>
      </w:tr>
      <w:tr>
        <w:tc>
          <w:tcPr>
            <w:tcW w:type="dxa" w:w="28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Sync Composite Assay to Portal</w:t>
            </w:r>
          </w:p>
        </w:tc>
        <w:tc>
          <w:tcPr>
            <w:tcW w:type="dxa" w:w="2016"/>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Hub — Tab 4</w:t>
            </w:r>
          </w:p>
        </w:tc>
        <w:tc>
          <w:tcPr>
            <w:tcW w:type="dxa" w:w="144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Green Button</w:t>
            </w:r>
          </w:p>
        </w:tc>
        <w:tc>
          <w:tcPr>
            <w:tcW w:type="dxa" w:w="3744"/>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Injects borehole downhole grade into the global application state.</w:t>
            </w:r>
          </w:p>
        </w:tc>
      </w:tr>
      <w:tr>
        <w:tc>
          <w:tcPr>
            <w:tcW w:type="dxa" w:w="288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Simulate Wet Shift</w:t>
            </w:r>
          </w:p>
        </w:tc>
        <w:tc>
          <w:tcPr>
            <w:tcW w:type="dxa" w:w="2016"/>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Predictor</w:t>
            </w:r>
          </w:p>
        </w:tc>
        <w:tc>
          <w:tcPr>
            <w:tcW w:type="dxa" w:w="144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Action Button</w:t>
            </w:r>
          </w:p>
        </w:tc>
        <w:tc>
          <w:tcPr>
            <w:tcW w:type="dxa" w:w="3744"/>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Spikes rainfall to 110mm to stress-test pit water handling.</w:t>
            </w:r>
          </w:p>
        </w:tc>
      </w:tr>
      <w:tr>
        <w:tc>
          <w:tcPr>
            <w:tcW w:type="dxa" w:w="288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Simulate Breakdown</w:t>
            </w:r>
          </w:p>
        </w:tc>
        <w:tc>
          <w:tcPr>
            <w:tcW w:type="dxa" w:w="2016"/>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Predictor</w:t>
            </w:r>
          </w:p>
        </w:tc>
        <w:tc>
          <w:tcPr>
            <w:tcW w:type="dxa" w:w="1440"/>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Action Button</w:t>
            </w:r>
          </w:p>
        </w:tc>
        <w:tc>
          <w:tcPr>
            <w:tcW w:type="dxa" w:w="3744"/>
            <w:shd w:fill="FFFFFF"/>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Drops truck fleet availability to 45% to demonstrate equipment starvation.</w:t>
            </w:r>
          </w:p>
        </w:tc>
      </w:tr>
      <w:tr>
        <w:tc>
          <w:tcPr>
            <w:tcW w:type="dxa" w:w="288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b/>
                <w:color w:val="1E293B"/>
                <w:sz w:val="17"/>
              </w:rPr>
              <w:t>Reset Baseline Fleet</w:t>
            </w:r>
          </w:p>
        </w:tc>
        <w:tc>
          <w:tcPr>
            <w:tcW w:type="dxa" w:w="2016"/>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Predictor</w:t>
            </w:r>
          </w:p>
        </w:tc>
        <w:tc>
          <w:tcPr>
            <w:tcW w:type="dxa" w:w="1440"/>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Action Button</w:t>
            </w:r>
          </w:p>
        </w:tc>
        <w:tc>
          <w:tcPr>
            <w:tcW w:type="dxa" w:w="3744"/>
            <w:shd w:fill="F8FAFC"/>
            <w:tcMar>
              <w:top w:w="80" w:type="dxa"/>
              <w:bottom w:w="80" w:type="dxa"/>
              <w:left w:w="100" w:type="dxa"/>
              <w:right w:w="100" w:type="dxa"/>
            </w:tcMar>
            <w:tcBorders>
              <w:top w:val="none"/>
              <w:bottom w:val="single" w:sz="4" w:space="0" w:color="E2E8F0"/>
              <w:left w:val="none"/>
              <w:right w:val="none"/>
            </w:tcBorders>
          </w:tcPr>
          <w:p>
            <w:pPr>
              <w:spacing w:before="0" w:after="0"/>
            </w:pPr>
            <w:r>
              <w:rPr>
                <w:color w:val="1E293B"/>
                <w:sz w:val="17"/>
              </w:rPr>
              <w:t>Restores shift equipment parameters to standard operating baseline.</w:t>
            </w:r>
          </w:p>
        </w:tc>
      </w:tr>
    </w:tbl>
    <w:p>
      <w:pPr>
        <w:spacing w:before="0" w:after="80"/>
      </w:pPr>
    </w:p>
    <w:p>
      <w:r>
        <w:br w:type="page"/>
      </w:r>
    </w:p>
    <w:p>
      <w:pPr>
        <w:keepNext/>
        <w:spacing w:before="440" w:after="120"/>
        <w:pBdr>
          <w:bottom w:val="single" w:sz="14" w:space="4" w:color="0F2C59"/>
        </w:pBdr>
      </w:pPr>
      <w:r>
        <w:rPr>
          <w:b/>
          <w:color w:val="0F2C59"/>
          <w:sz w:val="32"/>
        </w:rPr>
        <w:t>10. Operator User Guide &amp; Ideal 5-Minute Pitch Walkthrough</w:t>
      </w:r>
    </w:p>
    <w:p>
      <w:pPr>
        <w:spacing w:before="0" w:after="80" w:line="276" w:lineRule="auto"/>
      </w:pPr>
      <w:r>
        <w:rPr>
          <w:color w:val="1E293B"/>
          <w:sz w:val="20"/>
        </w:rPr>
        <w:t>Follow this exact 5-step sequence during your presentation to demonstrate the complete depth of the project to the jury:</w:t>
      </w:r>
    </w:p>
    <w:p>
      <w:pPr>
        <w:keepNext/>
        <w:spacing w:before="280" w:after="80"/>
      </w:pPr>
      <w:r>
        <w:rPr>
          <w:b/>
          <w:color w:val="1A56A0"/>
          <w:sz w:val="26"/>
        </w:rPr>
        <w:t>Step 1: The Cold-Start &amp; Global Reactive KPIs (Minute 0:00 – 1:00)</w:t>
      </w:r>
    </w:p>
    <w:p>
      <w:pPr>
        <w:pStyle w:val="ListBullet"/>
        <w:spacing w:before="0" w:after="60" w:line="276" w:lineRule="auto"/>
      </w:pPr>
      <w:r>
        <w:rPr>
          <w:b/>
          <w:color w:val="1E293B"/>
          <w:sz w:val="19"/>
        </w:rPr>
        <w:t xml:space="preserve">Demonstrate Integrity: </w:t>
      </w:r>
      <w:r>
        <w:rPr>
          <w:color w:val="1E293B"/>
          <w:sz w:val="19"/>
        </w:rPr>
        <w:t>Point out that before selecting a mine, all KPIs show '--'. This proves the system has zero hard-coded assumptions.</w:t>
      </w:r>
    </w:p>
    <w:p>
      <w:pPr>
        <w:pStyle w:val="ListBullet"/>
        <w:spacing w:before="0" w:after="60" w:line="276" w:lineRule="auto"/>
      </w:pPr>
      <w:r>
        <w:rPr>
          <w:b/>
          <w:color w:val="1E293B"/>
          <w:sz w:val="19"/>
        </w:rPr>
        <w:t xml:space="preserve">Select Mine: </w:t>
      </w:r>
      <w:r>
        <w:rPr>
          <w:color w:val="1E293B"/>
          <w:sz w:val="19"/>
        </w:rPr>
        <w:t>Select 'Balaghat Mine'. Watch the Global KPI bar instantly light up with 4.8 Mt In-Situ Ore, 41.2% Mn Grade, and Optimal Smelter NSR of ₹2,420/t.</w:t>
      </w:r>
    </w:p>
    <w:p>
      <w:pPr>
        <w:keepNext/>
        <w:spacing w:before="280" w:after="80"/>
      </w:pPr>
      <w:r>
        <w:rPr>
          <w:b/>
          <w:color w:val="1A56A0"/>
          <w:sz w:val="26"/>
        </w:rPr>
        <w:t>Step 2: Satellite Prospecting &amp; Bayesian Prior (Minute 1:00 – 2:00)</w:t>
      </w:r>
    </w:p>
    <w:p>
      <w:pPr>
        <w:pStyle w:val="ListBullet"/>
        <w:spacing w:before="0" w:after="60" w:line="276" w:lineRule="auto"/>
      </w:pPr>
      <w:r>
        <w:rPr>
          <w:b/>
          <w:color w:val="1E293B"/>
          <w:sz w:val="19"/>
        </w:rPr>
        <w:t xml:space="preserve">Demonstrate Geological Science: </w:t>
      </w:r>
      <w:r>
        <w:rPr>
          <w:color w:val="1E293B"/>
          <w:sz w:val="19"/>
        </w:rPr>
        <w:t>Switch from 'Gondite (Manganiferous Quartzite)' to 'Granite Gneiss (Barren)'.</w:t>
      </w:r>
    </w:p>
    <w:p>
      <w:pPr>
        <w:pStyle w:val="ListBullet"/>
        <w:spacing w:before="0" w:after="60" w:line="276" w:lineRule="auto"/>
      </w:pPr>
      <w:r>
        <w:rPr>
          <w:b/>
          <w:color w:val="1E293B"/>
          <w:sz w:val="19"/>
        </w:rPr>
        <w:t xml:space="preserve">Explain the Why: </w:t>
      </w:r>
      <w:r>
        <w:rPr>
          <w:color w:val="1E293B"/>
          <w:sz w:val="19"/>
        </w:rPr>
        <w:t>Show the judges how the Predicted In-Situ Grade drops from 39% down to 18%. Explain: 'Satellites only see color and reflectance; our Bayesian Prior prevents false discoveries in barren host rocks.'</w:t>
      </w:r>
    </w:p>
    <w:p>
      <w:pPr>
        <w:keepNext/>
        <w:spacing w:before="280" w:after="80"/>
      </w:pPr>
      <w:r>
        <w:rPr>
          <w:b/>
          <w:color w:val="1A56A0"/>
          <w:sz w:val="26"/>
        </w:rPr>
        <w:t>Step 3: Subsurface Borehole Core Ingestion (Minute 2:00 – 3:00)</w:t>
      </w:r>
    </w:p>
    <w:p>
      <w:pPr>
        <w:pStyle w:val="ListBullet"/>
        <w:spacing w:before="0" w:after="60" w:line="276" w:lineRule="auto"/>
      </w:pPr>
      <w:r>
        <w:rPr>
          <w:b/>
          <w:color w:val="1E293B"/>
          <w:sz w:val="19"/>
        </w:rPr>
        <w:t xml:space="preserve">Show Technical Depth: </w:t>
      </w:r>
      <w:r>
        <w:rPr>
          <w:color w:val="1E293B"/>
          <w:sz w:val="19"/>
        </w:rPr>
        <w:t>Click Tab 4: 'Subsurface Boreholes &amp; Core Logs'.</w:t>
      </w:r>
    </w:p>
    <w:p>
      <w:pPr>
        <w:pStyle w:val="ListBullet"/>
        <w:spacing w:before="0" w:after="60" w:line="276" w:lineRule="auto"/>
      </w:pPr>
      <w:r>
        <w:rPr>
          <w:b/>
          <w:color w:val="1E293B"/>
          <w:sz w:val="19"/>
        </w:rPr>
        <w:t xml:space="preserve">Highlight Drill Core: </w:t>
      </w:r>
      <w:r>
        <w:rPr>
          <w:color w:val="1E293B"/>
          <w:sz w:val="19"/>
        </w:rPr>
        <w:t>Click 'BH-BGT-42 (Balaghat Deep Core)'. Show the stratigraphic core log, the 41.91% composite grade, the 78% RQD, and UNFC 111 badge.</w:t>
      </w:r>
    </w:p>
    <w:p>
      <w:pPr>
        <w:pStyle w:val="ListBullet"/>
        <w:spacing w:before="0" w:after="60" w:line="276" w:lineRule="auto"/>
      </w:pPr>
      <w:r>
        <w:rPr>
          <w:b/>
          <w:color w:val="1E293B"/>
          <w:sz w:val="19"/>
        </w:rPr>
        <w:t xml:space="preserve">Close the Loop: </w:t>
      </w:r>
      <w:r>
        <w:rPr>
          <w:color w:val="1E293B"/>
          <w:sz w:val="19"/>
        </w:rPr>
        <w:t>Click 'Sync Composite Assay to Portal'. Show how the downhole assay instantly updates the global dashboard.</w:t>
      </w:r>
    </w:p>
    <w:p>
      <w:pPr>
        <w:keepNext/>
        <w:spacing w:before="280" w:after="80"/>
      </w:pPr>
      <w:r>
        <w:rPr>
          <w:b/>
          <w:color w:val="1A56A0"/>
          <w:sz w:val="26"/>
        </w:rPr>
        <w:t>Step 4: AI Shortfall Regressor &amp; Bottleneck Attribution (Minute 3:00 – 4:00)</w:t>
      </w:r>
    </w:p>
    <w:p>
      <w:pPr>
        <w:pStyle w:val="ListBullet"/>
        <w:spacing w:before="0" w:after="60" w:line="276" w:lineRule="auto"/>
      </w:pPr>
      <w:r>
        <w:rPr>
          <w:b/>
          <w:color w:val="1E293B"/>
          <w:sz w:val="19"/>
        </w:rPr>
        <w:t xml:space="preserve">Operational Risk: </w:t>
      </w:r>
      <w:r>
        <w:rPr>
          <w:color w:val="1E293B"/>
          <w:sz w:val="19"/>
        </w:rPr>
        <w:t>Navigate to the 'Shortfall Predictor' tab.</w:t>
      </w:r>
    </w:p>
    <w:p>
      <w:pPr>
        <w:pStyle w:val="ListBullet"/>
        <w:spacing w:before="0" w:after="60" w:line="276" w:lineRule="auto"/>
      </w:pPr>
      <w:r>
        <w:rPr>
          <w:b/>
          <w:color w:val="1E293B"/>
          <w:sz w:val="19"/>
        </w:rPr>
        <w:t xml:space="preserve">Trigger Stress Test: </w:t>
      </w:r>
      <w:r>
        <w:rPr>
          <w:color w:val="1E293B"/>
          <w:sz w:val="19"/>
        </w:rPr>
        <w:t>Click 'Simulate Wet Shift (Monsoon Spike)'.</w:t>
      </w:r>
    </w:p>
    <w:p>
      <w:pPr>
        <w:pStyle w:val="ListBullet"/>
        <w:spacing w:before="0" w:after="60" w:line="276" w:lineRule="auto"/>
      </w:pPr>
      <w:r>
        <w:rPr>
          <w:b/>
          <w:color w:val="1E293B"/>
          <w:sz w:val="19"/>
        </w:rPr>
        <w:t xml:space="preserve">Show ML Attribution: </w:t>
      </w:r>
      <w:r>
        <w:rPr>
          <w:color w:val="1E293B"/>
          <w:sz w:val="19"/>
        </w:rPr>
        <w:t>Show the Primary Operational Bottleneck banner turn Red: 'MONSOON SUMP INUNDATION'. Point out the 358.9 tonne predicted deficit, the financial loss in ₹ Lakhs, and the bench dewatering advice.</w:t>
      </w:r>
    </w:p>
    <w:p>
      <w:pPr>
        <w:keepNext/>
        <w:spacing w:before="280" w:after="80"/>
      </w:pPr>
      <w:r>
        <w:rPr>
          <w:b/>
          <w:color w:val="1A56A0"/>
          <w:sz w:val="26"/>
        </w:rPr>
        <w:t>Step 5: Closed-Loop Smelter Logistics &amp; NSR (Minute 4:00 – 5:00)</w:t>
      </w:r>
    </w:p>
    <w:p>
      <w:pPr>
        <w:pStyle w:val="ListBullet"/>
        <w:spacing w:before="0" w:after="60" w:line="276" w:lineRule="auto"/>
      </w:pPr>
      <w:r>
        <w:rPr>
          <w:b/>
          <w:color w:val="1E293B"/>
          <w:sz w:val="19"/>
        </w:rPr>
        <w:t xml:space="preserve">Supply Chain Closure: </w:t>
      </w:r>
      <w:r>
        <w:rPr>
          <w:color w:val="1E293B"/>
          <w:sz w:val="19"/>
        </w:rPr>
        <w:t>Scroll down to the 'Smelter Logistics &amp; Freight Optimization' cards.</w:t>
      </w:r>
    </w:p>
    <w:p>
      <w:pPr>
        <w:pStyle w:val="ListBullet"/>
        <w:spacing w:before="0" w:after="60" w:line="276" w:lineRule="auto"/>
      </w:pPr>
      <w:r>
        <w:rPr>
          <w:b/>
          <w:color w:val="1E293B"/>
          <w:sz w:val="19"/>
        </w:rPr>
        <w:t xml:space="preserve">Finish Strong: </w:t>
      </w:r>
      <w:r>
        <w:rPr>
          <w:color w:val="1E293B"/>
          <w:sz w:val="19"/>
        </w:rPr>
        <w:t>Show how the engine balances rail distance against Indian Railways Class 140 freight tariffs, identifying Nagpur/Kanhan or MEL Chandrapur as the optimal NSR route.</w:t>
      </w:r>
    </w:p>
    <w:p>
      <w:pPr>
        <w:pStyle w:val="ListBullet"/>
        <w:spacing w:before="0" w:after="60" w:line="276" w:lineRule="auto"/>
      </w:pPr>
      <w:r>
        <w:rPr>
          <w:b/>
          <w:color w:val="1E293B"/>
          <w:sz w:val="19"/>
        </w:rPr>
        <w:t xml:space="preserve">Closing Punchline: </w:t>
      </w:r>
      <w:r>
        <w:rPr>
          <w:color w:val="1E293B"/>
          <w:sz w:val="19"/>
        </w:rPr>
        <w:t>Conclude: 'We don't just find manganese from space; we optimize it all the way to the steel smelter siding.'</w:t>
      </w:r>
    </w:p>
    <w:p>
      <w:r>
        <w:br w:type="page"/>
      </w:r>
    </w:p>
    <w:p>
      <w:pPr>
        <w:keepNext/>
        <w:spacing w:before="440" w:after="120"/>
        <w:pBdr>
          <w:bottom w:val="single" w:sz="14" w:space="4" w:color="0F2C59"/>
        </w:pBdr>
      </w:pPr>
      <w:r>
        <w:rPr>
          <w:b/>
          <w:color w:val="0F2C59"/>
          <w:sz w:val="32"/>
        </w:rPr>
        <w:t>11. Jury Q&amp;A Technical Defense Handbook</w:t>
      </w:r>
    </w:p>
    <w:p>
      <w:pPr>
        <w:spacing w:before="0" w:after="80" w:line="276" w:lineRule="auto"/>
      </w:pPr>
      <w:r>
        <w:rPr>
          <w:color w:val="1E293B"/>
          <w:sz w:val="20"/>
        </w:rPr>
        <w:t>Here are verbatim answers to the toughest technical cross-questions judges may ask:</w:t>
      </w:r>
    </w:p>
    <w:tbl>
      <w:tblPr>
        <w:tblW w:type="auto" w:w="0"/>
        <w:jc w:val="center"/>
        <w:tblLayout w:type="fixed"/>
        <w:tblLook w:firstColumn="1" w:firstRow="1" w:lastColumn="0" w:lastRow="0" w:noHBand="0" w:noVBand="1" w:val="04A0"/>
      </w:tblPr>
      <w:tblGrid>
        <w:gridCol w:w="10080"/>
      </w:tblGrid>
      <w:tr>
        <w:tc>
          <w:tcPr>
            <w:tcW w:type="dxa" w:w="10080"/>
            <w:shd w:fill="F8FAFC"/>
            <w:tcMar>
              <w:top w:w="120" w:type="dxa"/>
              <w:bottom w:w="120" w:type="dxa"/>
              <w:left w:w="180" w:type="dxa"/>
              <w:right w:w="140" w:type="dxa"/>
            </w:tcMar>
            <w:tcBorders>
              <w:top w:val="none"/>
              <w:bottom w:val="single" w:sz="24" w:space="0" w:color="E2E8F0"/>
              <w:left w:val="single" w:sz="24" w:space="0" w:color="7E22CE"/>
              <w:right w:val="none"/>
            </w:tcBorders>
          </w:tcPr>
          <w:p>
            <w:pPr>
              <w:spacing w:before="0" w:after="60"/>
            </w:pPr>
            <w:r>
              <w:rPr>
                <w:b/>
                <w:color w:val="7E22CE"/>
                <w:sz w:val="21"/>
              </w:rPr>
              <w:t>📌 QUESTION 1: Satellites cannot penetrate more than 10 centimeters. How do you claim to discover deep underground manganese?</w:t>
              <w:br/>
            </w:r>
            <w:r>
              <w:rPr>
                <w:color w:val="1E293B"/>
                <w:sz w:val="19"/>
              </w:rPr>
              <w:t>ANSWER: 'Sir, you are 100% correct. Optical and shortwave infrared satellites only observe surface gossans, iron-manganese leached caps, and hydrothermal alteration halos. That is precisely why we built our Subsurface Borehole Core Ingestion Engine. The satellite provides a spatial reconnaissance anomaly filter; we then ingest diamond core drilling logs to compute true geometric downhole thickness and composited grades, advancing the resource from UNFC 333 (Inferred) to UNFC 111 (Proved).'</w:t>
            </w:r>
          </w:p>
        </w:tc>
      </w:tr>
    </w:tbl>
    <w:p>
      <w:pPr>
        <w:spacing w:before="0" w:after="80"/>
      </w:pPr>
    </w:p>
    <w:tbl>
      <w:tblPr>
        <w:tblW w:type="auto" w:w="0"/>
        <w:jc w:val="center"/>
        <w:tblLayout w:type="fixed"/>
        <w:tblLook w:firstColumn="1" w:firstRow="1" w:lastColumn="0" w:lastRow="0" w:noHBand="0" w:noVBand="1" w:val="04A0"/>
      </w:tblPr>
      <w:tblGrid>
        <w:gridCol w:w="10080"/>
      </w:tblGrid>
      <w:tr>
        <w:tc>
          <w:tcPr>
            <w:tcW w:type="dxa" w:w="10080"/>
            <w:shd w:fill="F8FAFC"/>
            <w:tcMar>
              <w:top w:w="120" w:type="dxa"/>
              <w:bottom w:w="120" w:type="dxa"/>
              <w:left w:w="180" w:type="dxa"/>
              <w:right w:w="140" w:type="dxa"/>
            </w:tcMar>
            <w:tcBorders>
              <w:top w:val="none"/>
              <w:bottom w:val="single" w:sz="24" w:space="0" w:color="E2E8F0"/>
              <w:left w:val="single" w:sz="24" w:space="0" w:color="0F2C59"/>
              <w:right w:val="none"/>
            </w:tcBorders>
          </w:tcPr>
          <w:p>
            <w:pPr>
              <w:spacing w:before="0" w:after="60"/>
            </w:pPr>
            <w:r>
              <w:rPr>
                <w:b/>
                <w:color w:val="0F2C59"/>
                <w:sz w:val="21"/>
              </w:rPr>
              <w:t>📌 QUESTION 2: Where did you obtain 6,000 shift records to train your HistGradientBoosting shortfall regressor?</w:t>
              <w:br/>
            </w:r>
            <w:r>
              <w:rPr>
                <w:color w:val="1E293B"/>
                <w:sz w:val="19"/>
              </w:rPr>
              <w:t>ANSWER: 'Sir, due to operational confidentiality, real shift-level telematics are proprietary to MOIL. Therefore, we calibrated a physically validated multivariate operational simulator against published MOIL annual reports, DGMS safety circulars, and standard open-pit mining mechanics. The simulator models non-linear interactions such as haul-truck bunching, exponential pump head loss, and monsoon dewatering thresholds (&gt;45mm/day), producing an explainable regressor with zero data leakage.'</w:t>
            </w:r>
          </w:p>
        </w:tc>
      </w:tr>
    </w:tbl>
    <w:p>
      <w:pPr>
        <w:spacing w:before="0" w:after="80"/>
      </w:pPr>
    </w:p>
    <w:tbl>
      <w:tblPr>
        <w:tblW w:type="auto" w:w="0"/>
        <w:jc w:val="center"/>
        <w:tblLayout w:type="fixed"/>
        <w:tblLook w:firstColumn="1" w:firstRow="1" w:lastColumn="0" w:lastRow="0" w:noHBand="0" w:noVBand="1" w:val="04A0"/>
      </w:tblPr>
      <w:tblGrid>
        <w:gridCol w:w="10080"/>
      </w:tblGrid>
      <w:tr>
        <w:tc>
          <w:tcPr>
            <w:tcW w:type="dxa" w:w="10080"/>
            <w:shd w:fill="F8FAFC"/>
            <w:tcMar>
              <w:top w:w="120" w:type="dxa"/>
              <w:bottom w:w="120" w:type="dxa"/>
              <w:left w:w="180" w:type="dxa"/>
              <w:right w:w="140" w:type="dxa"/>
            </w:tcMar>
            <w:tcBorders>
              <w:top w:val="none"/>
              <w:bottom w:val="single" w:sz="24" w:space="0" w:color="E2E8F0"/>
              <w:left w:val="single" w:sz="24" w:space="0" w:color="10B981"/>
              <w:right w:val="none"/>
            </w:tcBorders>
          </w:tcPr>
          <w:p>
            <w:pPr>
              <w:spacing w:before="0" w:after="60"/>
            </w:pPr>
            <w:r>
              <w:rPr>
                <w:b/>
                <w:color w:val="10B981"/>
                <w:sz w:val="21"/>
              </w:rPr>
              <w:t>📌 QUESTION 3: How does your Net Smelter Return (NSR) model handle variable ore pricing?</w:t>
              <w:br/>
            </w:r>
            <w:r>
              <w:rPr>
                <w:color w:val="1E293B"/>
                <w:sz w:val="19"/>
              </w:rPr>
              <w:t>ANSWER: 'Sir, our engine benchmarks gross realization against MOIL's quarterly pricing notifications, which price manganese based on unit percent Mn (e.g. 30-35%, 35-40%, 44%+). We subtract the published Indian Railways Class 140 wagon-load freight tariff formula plus terminal siding handling charges. This ensures that high-grade ore from Balaghat is routed where it fetches maximum net margins after freight deduction.'</w:t>
            </w:r>
          </w:p>
        </w:tc>
      </w:tr>
    </w:tbl>
    <w:p>
      <w:pPr>
        <w:spacing w:before="0" w:after="8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