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2C59"/>
          <w:sz w:val="44"/>
        </w:rPr>
        <w:t>MOIL SMART MINING INTELLIGENCE PORTAL</w:t>
      </w:r>
    </w:p>
    <w:p>
      <w:pPr>
        <w:spacing w:before="0" w:after="280"/>
      </w:pPr>
      <w:r>
        <w:rPr>
          <w:rFonts w:ascii="Calibri" w:hAnsi="Calibri"/>
          <w:color w:val="0284C7"/>
          <w:sz w:val="26"/>
        </w:rPr>
        <w:t>Comprehensive Glossary of Units, Remote Sensing Notations, and AI Architecture</w:t>
      </w:r>
    </w:p>
    <w:p>
      <w:pPr>
        <w:spacing w:before="0" w:after="360"/>
      </w:pPr>
      <w:r>
        <w:rPr>
          <w:i/>
          <w:color w:val="64748B"/>
          <w:sz w:val="19"/>
        </w:rPr>
        <w:t>Author: Smart Mining Engineering &amp; AI Division  |  Classification: Technical Manual  |  Date: September 2026</w:t>
      </w:r>
    </w:p>
    <w:p>
      <w:pPr>
        <w:spacing w:after="240"/>
        <w:pBdr>
          <w:bottom w:val="single" w:sz="12" w:space="1" w:color="0284C7"/>
        </w:pBdr>
      </w:pPr>
    </w:p>
    <w:p>
      <w:pPr>
        <w:pStyle w:val="Heading1"/>
        <w:spacing w:before="240" w:after="120"/>
      </w:pPr>
      <w:r>
        <w:t>Executive Summary</w:t>
      </w:r>
    </w:p>
    <w:p>
      <w:pPr>
        <w:spacing w:line="276" w:lineRule="auto" w:after="240"/>
      </w:pPr>
      <w:r>
        <w:t>This document provides the definitive engineering reference for all mathematical notations, physical measurement units, satellite remote sensing indices, and machine learning architectures utilized in the MOIL Smart Mining Intelligence Portal. It is structured to provide full transparency to mine planners, geologists, and executive stakeholders regarding how space-based Copernicus Sentinel-2 data is ingested, converted into tabular geophysical features, and evaluated to predict in-situ Manganese reserves, grade percentages, and operational extraction yields.</w:t>
      </w:r>
    </w:p>
    <w:p>
      <w:pPr>
        <w:pStyle w:val="Heading1"/>
        <w:spacing w:before="280" w:after="120"/>
      </w:pPr>
      <w:r>
        <w:t>1. Mining Reserve &amp; Tonnage Units</w:t>
      </w:r>
    </w:p>
    <w:p>
      <w:r>
        <w:t>Accurate quantification of ore deposits requires rigorous adherence to standard mineral reporting units. The table below outlines the primary tonnage and spatial units used across the portal:</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728"/>
            <w:shd w:fill="0F2C59"/>
            <w:tcMar>
              <w:top w:w="120" w:type="dxa"/>
              <w:bottom w:w="120" w:type="dxa"/>
              <w:left w:w="140" w:type="dxa"/>
              <w:right w:w="140" w:type="dxa"/>
            </w:tcMar>
          </w:tcPr>
          <w:p>
            <w:r>
              <w:rPr>
                <w:b/>
                <w:color w:val="FFFFFF"/>
                <w:sz w:val="19"/>
              </w:rPr>
              <w:t>Notation / Unit</w:t>
            </w:r>
          </w:p>
        </w:tc>
        <w:tc>
          <w:tcPr>
            <w:tcW w:type="dxa" w:w="2016"/>
            <w:shd w:fill="0F2C59"/>
            <w:tcMar>
              <w:top w:w="120" w:type="dxa"/>
              <w:bottom w:w="120" w:type="dxa"/>
              <w:left w:w="140" w:type="dxa"/>
              <w:right w:w="140" w:type="dxa"/>
            </w:tcMar>
          </w:tcPr>
          <w:p>
            <w:r>
              <w:rPr>
                <w:b/>
                <w:color w:val="FFFFFF"/>
                <w:sz w:val="19"/>
              </w:rPr>
              <w:t>Full Name</w:t>
            </w:r>
          </w:p>
        </w:tc>
        <w:tc>
          <w:tcPr>
            <w:tcW w:type="dxa" w:w="2592"/>
            <w:shd w:fill="0F2C59"/>
            <w:tcMar>
              <w:top w:w="120" w:type="dxa"/>
              <w:bottom w:w="120" w:type="dxa"/>
              <w:left w:w="140" w:type="dxa"/>
              <w:right w:w="140" w:type="dxa"/>
            </w:tcMar>
          </w:tcPr>
          <w:p>
            <w:r>
              <w:rPr>
                <w:b/>
                <w:color w:val="FFFFFF"/>
                <w:sz w:val="19"/>
              </w:rPr>
              <w:t>Standard Conversion</w:t>
            </w:r>
          </w:p>
        </w:tc>
        <w:tc>
          <w:tcPr>
            <w:tcW w:type="dxa" w:w="3744"/>
            <w:shd w:fill="0F2C59"/>
            <w:tcMar>
              <w:top w:w="120" w:type="dxa"/>
              <w:bottom w:w="120" w:type="dxa"/>
              <w:left w:w="140" w:type="dxa"/>
              <w:right w:w="140" w:type="dxa"/>
            </w:tcMar>
          </w:tcPr>
          <w:p>
            <w:r>
              <w:rPr>
                <w:b/>
                <w:color w:val="FFFFFF"/>
                <w:sz w:val="19"/>
              </w:rPr>
              <w:t>Engineering Meaning in MOIL Context</w:t>
            </w:r>
          </w:p>
        </w:tc>
      </w:tr>
      <w:tr>
        <w:tc>
          <w:tcPr>
            <w:tcW w:type="dxa" w:w="1728"/>
            <w:shd w:fill="FFFFFF"/>
            <w:tcMar>
              <w:top w:w="100" w:type="dxa"/>
              <w:bottom w:w="100" w:type="dxa"/>
              <w:left w:w="140" w:type="dxa"/>
              <w:right w:w="140" w:type="dxa"/>
            </w:tcMar>
          </w:tcPr>
          <w:p>
            <w:pPr>
              <w:spacing w:line="276" w:lineRule="auto"/>
            </w:pPr>
            <w:r>
              <w:rPr>
                <w:b/>
                <w:color w:val="0284C7"/>
                <w:sz w:val="18"/>
              </w:rPr>
              <w:t>kt</w:t>
            </w:r>
          </w:p>
        </w:tc>
        <w:tc>
          <w:tcPr>
            <w:tcW w:type="dxa" w:w="2016"/>
            <w:shd w:fill="FFFFFF"/>
            <w:tcMar>
              <w:top w:w="100" w:type="dxa"/>
              <w:bottom w:w="100" w:type="dxa"/>
              <w:left w:w="140" w:type="dxa"/>
              <w:right w:w="140" w:type="dxa"/>
            </w:tcMar>
          </w:tcPr>
          <w:p>
            <w:pPr>
              <w:spacing w:line="276" w:lineRule="auto"/>
            </w:pPr>
            <w:r>
              <w:rPr>
                <w:sz w:val="18"/>
              </w:rPr>
              <w:t>Kilo-tonnes (Kilotonnes)</w:t>
            </w:r>
          </w:p>
        </w:tc>
        <w:tc>
          <w:tcPr>
            <w:tcW w:type="dxa" w:w="2592"/>
            <w:shd w:fill="FFFFFF"/>
            <w:tcMar>
              <w:top w:w="100" w:type="dxa"/>
              <w:bottom w:w="100" w:type="dxa"/>
              <w:left w:w="140" w:type="dxa"/>
              <w:right w:w="140" w:type="dxa"/>
            </w:tcMar>
          </w:tcPr>
          <w:p>
            <w:pPr>
              <w:spacing w:line="276" w:lineRule="auto"/>
            </w:pPr>
            <w:r>
              <w:rPr>
                <w:sz w:val="18"/>
              </w:rPr>
              <w:t>1 kt = 1,000 metric tonnes</w:t>
              <w:br/>
              <w:t>(10^6 kg = 1 Gg)</w:t>
            </w:r>
          </w:p>
        </w:tc>
        <w:tc>
          <w:tcPr>
            <w:tcW w:type="dxa" w:w="3744"/>
            <w:shd w:fill="FFFFFF"/>
            <w:tcMar>
              <w:top w:w="100" w:type="dxa"/>
              <w:bottom w:w="100" w:type="dxa"/>
              <w:left w:w="140" w:type="dxa"/>
              <w:right w:w="140" w:type="dxa"/>
            </w:tcMar>
          </w:tcPr>
          <w:p>
            <w:pPr>
              <w:spacing w:line="276" w:lineRule="auto"/>
            </w:pPr>
            <w:r>
              <w:rPr>
                <w:sz w:val="18"/>
              </w:rPr>
              <w:t>Standard sector &amp; block-level reserve unit. E.g., 1,094 kt = 1,094,000 tonnes of in-situ manganese ore.</w:t>
            </w:r>
          </w:p>
        </w:tc>
      </w:tr>
      <w:tr>
        <w:tc>
          <w:tcPr>
            <w:tcW w:type="dxa" w:w="1728"/>
            <w:shd w:fill="F8FAFC"/>
            <w:tcMar>
              <w:top w:w="100" w:type="dxa"/>
              <w:bottom w:w="100" w:type="dxa"/>
              <w:left w:w="140" w:type="dxa"/>
              <w:right w:w="140" w:type="dxa"/>
            </w:tcMar>
          </w:tcPr>
          <w:p>
            <w:pPr>
              <w:spacing w:line="276" w:lineRule="auto"/>
            </w:pPr>
            <w:r>
              <w:rPr>
                <w:b/>
                <w:color w:val="0284C7"/>
                <w:sz w:val="18"/>
              </w:rPr>
              <w:t>t / tonne</w:t>
            </w:r>
          </w:p>
        </w:tc>
        <w:tc>
          <w:tcPr>
            <w:tcW w:type="dxa" w:w="2016"/>
            <w:shd w:fill="F8FAFC"/>
            <w:tcMar>
              <w:top w:w="100" w:type="dxa"/>
              <w:bottom w:w="100" w:type="dxa"/>
              <w:left w:w="140" w:type="dxa"/>
              <w:right w:w="140" w:type="dxa"/>
            </w:tcMar>
          </w:tcPr>
          <w:p>
            <w:pPr>
              <w:spacing w:line="276" w:lineRule="auto"/>
            </w:pPr>
            <w:r>
              <w:rPr>
                <w:sz w:val="18"/>
              </w:rPr>
              <w:t>Metric Tonne</w:t>
            </w:r>
          </w:p>
        </w:tc>
        <w:tc>
          <w:tcPr>
            <w:tcW w:type="dxa" w:w="2592"/>
            <w:shd w:fill="F8FAFC"/>
            <w:tcMar>
              <w:top w:w="100" w:type="dxa"/>
              <w:bottom w:w="100" w:type="dxa"/>
              <w:left w:w="140" w:type="dxa"/>
              <w:right w:w="140" w:type="dxa"/>
            </w:tcMar>
          </w:tcPr>
          <w:p>
            <w:pPr>
              <w:spacing w:line="276" w:lineRule="auto"/>
            </w:pPr>
            <w:r>
              <w:rPr>
                <w:sz w:val="18"/>
              </w:rPr>
              <w:t>1 tonne = 1,000 kg</w:t>
              <w:br/>
              <w:t>(1 Mg = 2,204.6 lbs)</w:t>
            </w:r>
          </w:p>
        </w:tc>
        <w:tc>
          <w:tcPr>
            <w:tcW w:type="dxa" w:w="3744"/>
            <w:shd w:fill="F8FAFC"/>
            <w:tcMar>
              <w:top w:w="100" w:type="dxa"/>
              <w:bottom w:w="100" w:type="dxa"/>
              <w:left w:w="140" w:type="dxa"/>
              <w:right w:w="140" w:type="dxa"/>
            </w:tcMar>
          </w:tcPr>
          <w:p>
            <w:pPr>
              <w:spacing w:line="276" w:lineRule="auto"/>
            </w:pPr>
            <w:r>
              <w:rPr>
                <w:sz w:val="18"/>
              </w:rPr>
              <w:t>Base unit for weekly mining extraction targets, blast yield calculations, and daily truck dispatch logs.</w:t>
            </w:r>
          </w:p>
        </w:tc>
      </w:tr>
      <w:tr>
        <w:tc>
          <w:tcPr>
            <w:tcW w:type="dxa" w:w="1728"/>
            <w:shd w:fill="FFFFFF"/>
            <w:tcMar>
              <w:top w:w="100" w:type="dxa"/>
              <w:bottom w:w="100" w:type="dxa"/>
              <w:left w:w="140" w:type="dxa"/>
              <w:right w:w="140" w:type="dxa"/>
            </w:tcMar>
          </w:tcPr>
          <w:p>
            <w:pPr>
              <w:spacing w:line="276" w:lineRule="auto"/>
            </w:pPr>
            <w:r>
              <w:rPr>
                <w:b/>
                <w:color w:val="0284C7"/>
                <w:sz w:val="18"/>
              </w:rPr>
              <w:t>MT / Mt</w:t>
            </w:r>
          </w:p>
        </w:tc>
        <w:tc>
          <w:tcPr>
            <w:tcW w:type="dxa" w:w="2016"/>
            <w:shd w:fill="FFFFFF"/>
            <w:tcMar>
              <w:top w:w="100" w:type="dxa"/>
              <w:bottom w:w="100" w:type="dxa"/>
              <w:left w:w="140" w:type="dxa"/>
              <w:right w:w="140" w:type="dxa"/>
            </w:tcMar>
          </w:tcPr>
          <w:p>
            <w:pPr>
              <w:spacing w:line="276" w:lineRule="auto"/>
            </w:pPr>
            <w:r>
              <w:rPr>
                <w:sz w:val="18"/>
              </w:rPr>
              <w:t>Mega-tonnes (Million Tonnes)</w:t>
            </w:r>
          </w:p>
        </w:tc>
        <w:tc>
          <w:tcPr>
            <w:tcW w:type="dxa" w:w="2592"/>
            <w:shd w:fill="FFFFFF"/>
            <w:tcMar>
              <w:top w:w="100" w:type="dxa"/>
              <w:bottom w:w="100" w:type="dxa"/>
              <w:left w:w="140" w:type="dxa"/>
              <w:right w:w="140" w:type="dxa"/>
            </w:tcMar>
          </w:tcPr>
          <w:p>
            <w:pPr>
              <w:spacing w:line="276" w:lineRule="auto"/>
            </w:pPr>
            <w:r>
              <w:rPr>
                <w:sz w:val="18"/>
              </w:rPr>
              <w:t>1 MT = 1,000,000 tonnes</w:t>
              <w:br/>
              <w:t>= 1,000 kt</w:t>
            </w:r>
          </w:p>
        </w:tc>
        <w:tc>
          <w:tcPr>
            <w:tcW w:type="dxa" w:w="3744"/>
            <w:shd w:fill="FFFFFF"/>
            <w:tcMar>
              <w:top w:w="100" w:type="dxa"/>
              <w:bottom w:w="100" w:type="dxa"/>
              <w:left w:w="140" w:type="dxa"/>
              <w:right w:w="140" w:type="dxa"/>
            </w:tcMar>
          </w:tcPr>
          <w:p>
            <w:pPr>
              <w:spacing w:line="276" w:lineRule="auto"/>
            </w:pPr>
            <w:r>
              <w:rPr>
                <w:sz w:val="18"/>
              </w:rPr>
              <w:t>Used for annual mine capacities (e.g., Balaghat Mine annual production capacity of ~0.85 MT/year).</w:t>
            </w:r>
          </w:p>
        </w:tc>
      </w:tr>
      <w:tr>
        <w:tc>
          <w:tcPr>
            <w:tcW w:type="dxa" w:w="1728"/>
            <w:shd w:fill="F8FAFC"/>
            <w:tcMar>
              <w:top w:w="100" w:type="dxa"/>
              <w:bottom w:w="100" w:type="dxa"/>
              <w:left w:w="140" w:type="dxa"/>
              <w:right w:w="140" w:type="dxa"/>
            </w:tcMar>
          </w:tcPr>
          <w:p>
            <w:pPr>
              <w:spacing w:line="276" w:lineRule="auto"/>
            </w:pPr>
            <w:r>
              <w:rPr>
                <w:b/>
                <w:color w:val="0284C7"/>
                <w:sz w:val="18"/>
              </w:rPr>
              <w:t>ha</w:t>
            </w:r>
          </w:p>
        </w:tc>
        <w:tc>
          <w:tcPr>
            <w:tcW w:type="dxa" w:w="2016"/>
            <w:shd w:fill="F8FAFC"/>
            <w:tcMar>
              <w:top w:w="100" w:type="dxa"/>
              <w:bottom w:w="100" w:type="dxa"/>
              <w:left w:w="140" w:type="dxa"/>
              <w:right w:w="140" w:type="dxa"/>
            </w:tcMar>
          </w:tcPr>
          <w:p>
            <w:pPr>
              <w:spacing w:line="276" w:lineRule="auto"/>
            </w:pPr>
            <w:r>
              <w:rPr>
                <w:sz w:val="18"/>
              </w:rPr>
              <w:t>Hectare</w:t>
            </w:r>
          </w:p>
        </w:tc>
        <w:tc>
          <w:tcPr>
            <w:tcW w:type="dxa" w:w="2592"/>
            <w:shd w:fill="F8FAFC"/>
            <w:tcMar>
              <w:top w:w="100" w:type="dxa"/>
              <w:bottom w:w="100" w:type="dxa"/>
              <w:left w:w="140" w:type="dxa"/>
              <w:right w:w="140" w:type="dxa"/>
            </w:tcMar>
          </w:tcPr>
          <w:p>
            <w:pPr>
              <w:spacing w:line="276" w:lineRule="auto"/>
            </w:pPr>
            <w:r>
              <w:rPr>
                <w:sz w:val="18"/>
              </w:rPr>
              <w:t>1 ha = 10,000 m²</w:t>
              <w:br/>
              <w:t>≈ 2.471 acres</w:t>
            </w:r>
          </w:p>
        </w:tc>
        <w:tc>
          <w:tcPr>
            <w:tcW w:type="dxa" w:w="3744"/>
            <w:shd w:fill="F8FAFC"/>
            <w:tcMar>
              <w:top w:w="100" w:type="dxa"/>
              <w:bottom w:w="100" w:type="dxa"/>
              <w:left w:w="140" w:type="dxa"/>
              <w:right w:w="140" w:type="dxa"/>
            </w:tcMar>
          </w:tcPr>
          <w:p>
            <w:pPr>
              <w:spacing w:line="276" w:lineRule="auto"/>
            </w:pPr>
            <w:r>
              <w:rPr>
                <w:sz w:val="18"/>
              </w:rPr>
              <w:t>Concession lease boundary area. E.g., Balaghat lease area covers approximately 180.5 hectares.</w:t>
            </w:r>
          </w:p>
        </w:tc>
      </w:tr>
      <w:tr>
        <w:tc>
          <w:tcPr>
            <w:tcW w:type="dxa" w:w="1728"/>
            <w:shd w:fill="FFFFFF"/>
            <w:tcMar>
              <w:top w:w="100" w:type="dxa"/>
              <w:bottom w:w="100" w:type="dxa"/>
              <w:left w:w="140" w:type="dxa"/>
              <w:right w:w="140" w:type="dxa"/>
            </w:tcMar>
          </w:tcPr>
          <w:p>
            <w:pPr>
              <w:spacing w:line="276" w:lineRule="auto"/>
            </w:pPr>
            <w:r>
              <w:rPr>
                <w:b/>
                <w:color w:val="0284C7"/>
                <w:sz w:val="18"/>
              </w:rPr>
              <w:t>m (AMSL)</w:t>
            </w:r>
          </w:p>
        </w:tc>
        <w:tc>
          <w:tcPr>
            <w:tcW w:type="dxa" w:w="2016"/>
            <w:shd w:fill="FFFFFF"/>
            <w:tcMar>
              <w:top w:w="100" w:type="dxa"/>
              <w:bottom w:w="100" w:type="dxa"/>
              <w:left w:w="140" w:type="dxa"/>
              <w:right w:w="140" w:type="dxa"/>
            </w:tcMar>
          </w:tcPr>
          <w:p>
            <w:pPr>
              <w:spacing w:line="276" w:lineRule="auto"/>
            </w:pPr>
            <w:r>
              <w:rPr>
                <w:sz w:val="18"/>
              </w:rPr>
              <w:t>Meters Above Mean Sea Level</w:t>
            </w:r>
          </w:p>
        </w:tc>
        <w:tc>
          <w:tcPr>
            <w:tcW w:type="dxa" w:w="2592"/>
            <w:shd w:fill="FFFFFF"/>
            <w:tcMar>
              <w:top w:w="100" w:type="dxa"/>
              <w:bottom w:w="100" w:type="dxa"/>
              <w:left w:w="140" w:type="dxa"/>
              <w:right w:w="140" w:type="dxa"/>
            </w:tcMar>
          </w:tcPr>
          <w:p>
            <w:pPr>
              <w:spacing w:line="276" w:lineRule="auto"/>
            </w:pPr>
            <w:r>
              <w:rPr>
                <w:sz w:val="18"/>
              </w:rPr>
              <w:t>Elevation datum (WGS84 / SRTM DEM)</w:t>
            </w:r>
          </w:p>
        </w:tc>
        <w:tc>
          <w:tcPr>
            <w:tcW w:type="dxa" w:w="3744"/>
            <w:shd w:fill="FFFFFF"/>
            <w:tcMar>
              <w:top w:w="100" w:type="dxa"/>
              <w:bottom w:w="100" w:type="dxa"/>
              <w:left w:w="140" w:type="dxa"/>
              <w:right w:w="140" w:type="dxa"/>
            </w:tcMar>
          </w:tcPr>
          <w:p>
            <w:pPr>
              <w:spacing w:line="276" w:lineRule="auto"/>
            </w:pPr>
            <w:r>
              <w:rPr>
                <w:sz w:val="18"/>
              </w:rPr>
              <w:t>Vertical depth and terrain elevation slice (Z-coordinate) used in 3D Block Model reserve slicing (e.g., 75m depth).</w:t>
            </w:r>
          </w:p>
        </w:tc>
      </w:tr>
    </w:tbl>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20" w:type="dxa"/>
              <w:right w:w="200" w:type="dxa"/>
            </w:tcMar>
            <w:tcBorders>
              <w:left w:val="single" w:sz="24" w:space="0" w:color="1F4E79"/>
              <w:top w:val="none"/>
              <w:right w:val="none"/>
              <w:bottom w:val="none"/>
            </w:tcBorders>
          </w:tcPr>
          <w:p>
            <w:pPr>
              <w:spacing w:before="40" w:after="80"/>
            </w:pPr>
            <w:r>
              <w:rPr>
                <w:b/>
                <w:color w:val="1F4E79"/>
                <w:sz w:val="21"/>
              </w:rPr>
              <w:t>📌 PRACTICAL INTERPRETATION OF 'kt' IN MOIL REPORTING</w:t>
              <w:br/>
            </w:r>
          </w:p>
          <w:p>
            <w:pPr>
              <w:spacing w:before="40" w:after="40"/>
            </w:pPr>
            <w:r>
              <w:rPr>
                <w:color w:val="333333"/>
                <w:sz w:val="20"/>
              </w:rPr>
              <w:t>When the portal displays 'TOTAL AVAILABLE MN RESERVES: 1,094 kt', it signifies that within the 5 km x 5 km analyzed spatial grid, there is an estimated 1,094,000 metric tonnes of in-situ manganese ore.</w:t>
            </w:r>
          </w:p>
          <w:p>
            <w:pPr>
              <w:spacing w:before="40" w:after="40"/>
            </w:pPr>
            <w:r>
              <w:rPr>
                <w:color w:val="333333"/>
                <w:sz w:val="20"/>
              </w:rPr>
              <w:t>Economically Viable Tonnage (e.g., 962 kt @ 87.9% Yield) indicates the portion recoverable after stripping ratio, pit slope bench limits, and geological dilution are accounted for.</w:t>
            </w:r>
          </w:p>
        </w:tc>
      </w:tr>
    </w:tbl>
    <w:p/>
    <w:p>
      <w:pPr>
        <w:pStyle w:val="Heading1"/>
        <w:spacing w:before="280" w:after="120"/>
      </w:pPr>
      <w:r>
        <w:t>2. Mineral Quality, Ore Grade &amp; UNFC Classification</w:t>
      </w:r>
    </w:p>
    <w:p>
      <w:r>
        <w:t>Manganese ore commercial value is strictly governed by its chemical purity (% Mn content) and its geological classification under international reporting standards (UNFC / JORC).</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c>
          <w:tcPr>
            <w:tcW w:type="dxa" w:w="2160"/>
            <w:shd w:fill="0F2C59"/>
            <w:tcMar>
              <w:top w:w="120" w:type="dxa"/>
              <w:bottom w:w="120" w:type="dxa"/>
              <w:left w:w="140" w:type="dxa"/>
              <w:right w:w="140" w:type="dxa"/>
            </w:tcMar>
          </w:tcPr>
          <w:p>
            <w:r>
              <w:rPr>
                <w:b/>
                <w:color w:val="FFFFFF"/>
                <w:sz w:val="19"/>
              </w:rPr>
              <w:t>Notation</w:t>
            </w:r>
          </w:p>
        </w:tc>
        <w:tc>
          <w:tcPr>
            <w:tcW w:type="dxa" w:w="2880"/>
            <w:shd w:fill="0F2C59"/>
            <w:tcMar>
              <w:top w:w="120" w:type="dxa"/>
              <w:bottom w:w="120" w:type="dxa"/>
              <w:left w:w="140" w:type="dxa"/>
              <w:right w:w="140" w:type="dxa"/>
            </w:tcMar>
          </w:tcPr>
          <w:p>
            <w:r>
              <w:rPr>
                <w:b/>
                <w:color w:val="FFFFFF"/>
                <w:sz w:val="19"/>
              </w:rPr>
              <w:t>Meaning</w:t>
            </w:r>
          </w:p>
        </w:tc>
        <w:tc>
          <w:tcPr>
            <w:tcW w:type="dxa" w:w="5040"/>
            <w:shd w:fill="0F2C59"/>
            <w:tcMar>
              <w:top w:w="120" w:type="dxa"/>
              <w:bottom w:w="120" w:type="dxa"/>
              <w:left w:w="140" w:type="dxa"/>
              <w:right w:w="140" w:type="dxa"/>
            </w:tcMar>
          </w:tcPr>
          <w:p>
            <w:r>
              <w:rPr>
                <w:b/>
                <w:color w:val="FFFFFF"/>
                <w:sz w:val="19"/>
              </w:rPr>
              <w:t>Geological &amp; Operational Significance</w:t>
            </w:r>
          </w:p>
        </w:tc>
      </w:tr>
      <w:tr>
        <w:tc>
          <w:tcPr>
            <w:tcW w:type="dxa" w:w="2160"/>
            <w:shd w:fill="FFFFFF"/>
            <w:tcMar>
              <w:top w:w="100" w:type="dxa"/>
              <w:bottom w:w="100" w:type="dxa"/>
              <w:left w:w="140" w:type="dxa"/>
              <w:right w:w="140" w:type="dxa"/>
            </w:tcMar>
          </w:tcPr>
          <w:p>
            <w:pPr>
              <w:spacing w:line="276" w:lineRule="auto"/>
            </w:pPr>
            <w:r>
              <w:rPr>
                <w:b/>
                <w:color w:val="0F766E"/>
                <w:sz w:val="18"/>
              </w:rPr>
              <w:t>% Mn (Ore Grade)</w:t>
            </w:r>
          </w:p>
        </w:tc>
        <w:tc>
          <w:tcPr>
            <w:tcW w:type="dxa" w:w="2880"/>
            <w:shd w:fill="FFFFFF"/>
            <w:tcMar>
              <w:top w:w="100" w:type="dxa"/>
              <w:bottom w:w="100" w:type="dxa"/>
              <w:left w:w="140" w:type="dxa"/>
              <w:right w:w="140" w:type="dxa"/>
            </w:tcMar>
          </w:tcPr>
          <w:p>
            <w:pPr>
              <w:spacing w:line="276" w:lineRule="auto"/>
            </w:pPr>
            <w:r>
              <w:rPr>
                <w:sz w:val="18"/>
              </w:rPr>
              <w:t>Manganese Elemental Purity</w:t>
            </w:r>
          </w:p>
        </w:tc>
        <w:tc>
          <w:tcPr>
            <w:tcW w:type="dxa" w:w="5040"/>
            <w:shd w:fill="FFFFFF"/>
            <w:tcMar>
              <w:top w:w="100" w:type="dxa"/>
              <w:bottom w:w="100" w:type="dxa"/>
              <w:left w:w="140" w:type="dxa"/>
              <w:right w:w="140" w:type="dxa"/>
            </w:tcMar>
          </w:tcPr>
          <w:p>
            <w:pPr>
              <w:spacing w:line="276" w:lineRule="auto"/>
            </w:pPr>
            <w:r>
              <w:rPr>
                <w:sz w:val="18"/>
              </w:rPr>
              <w:t>Weight percentage of Manganese (Mn) in the mined rock. High Grade: &gt;= 44% Mn; Medium Grade: 35% - 43% Mn; Low/Ferro Grade: 25% - 34% Mn; Sub-grade: &lt; 25% Mn.</w:t>
            </w:r>
          </w:p>
        </w:tc>
      </w:tr>
      <w:tr>
        <w:tc>
          <w:tcPr>
            <w:tcW w:type="dxa" w:w="2160"/>
            <w:shd w:fill="F8FAFC"/>
            <w:tcMar>
              <w:top w:w="100" w:type="dxa"/>
              <w:bottom w:w="100" w:type="dxa"/>
              <w:left w:w="140" w:type="dxa"/>
              <w:right w:w="140" w:type="dxa"/>
            </w:tcMar>
          </w:tcPr>
          <w:p>
            <w:pPr>
              <w:spacing w:line="276" w:lineRule="auto"/>
            </w:pPr>
            <w:r>
              <w:rPr>
                <w:b/>
                <w:color w:val="0F766E"/>
                <w:sz w:val="18"/>
              </w:rPr>
              <w:t>Target Grade vs AI Predicted Grade</w:t>
            </w:r>
          </w:p>
        </w:tc>
        <w:tc>
          <w:tcPr>
            <w:tcW w:type="dxa" w:w="2880"/>
            <w:shd w:fill="F8FAFC"/>
            <w:tcMar>
              <w:top w:w="100" w:type="dxa"/>
              <w:bottom w:w="100" w:type="dxa"/>
              <w:left w:w="140" w:type="dxa"/>
              <w:right w:w="140" w:type="dxa"/>
            </w:tcMar>
          </w:tcPr>
          <w:p>
            <w:pPr>
              <w:spacing w:line="276" w:lineRule="auto"/>
            </w:pPr>
            <w:r>
              <w:rPr>
                <w:sz w:val="18"/>
              </w:rPr>
              <w:t>Demand Target vs Geological Reality</w:t>
            </w:r>
          </w:p>
        </w:tc>
        <w:tc>
          <w:tcPr>
            <w:tcW w:type="dxa" w:w="5040"/>
            <w:shd w:fill="F8FAFC"/>
            <w:tcMar>
              <w:top w:w="100" w:type="dxa"/>
              <w:bottom w:w="100" w:type="dxa"/>
              <w:left w:w="140" w:type="dxa"/>
              <w:right w:w="140" w:type="dxa"/>
            </w:tcMar>
          </w:tcPr>
          <w:p>
            <w:pPr>
              <w:spacing w:line="276" w:lineRule="auto"/>
            </w:pPr>
            <w:r>
              <w:rPr>
                <w:sz w:val="18"/>
              </w:rPr>
              <w:t>Target Grade is the smelting contract or blend specification (e.g., 36.5% Mn). AI Predicted Grade is the in-situ reality estimated by AI (e.g., 35.5% Mn). The portal's prescriptive AI bridges this gap via optimized blending.</w:t>
            </w:r>
          </w:p>
        </w:tc>
      </w:tr>
      <w:tr>
        <w:tc>
          <w:tcPr>
            <w:tcW w:type="dxa" w:w="2160"/>
            <w:shd w:fill="FFFFFF"/>
            <w:tcMar>
              <w:top w:w="100" w:type="dxa"/>
              <w:bottom w:w="100" w:type="dxa"/>
              <w:left w:w="140" w:type="dxa"/>
              <w:right w:w="140" w:type="dxa"/>
            </w:tcMar>
          </w:tcPr>
          <w:p>
            <w:pPr>
              <w:spacing w:line="276" w:lineRule="auto"/>
            </w:pPr>
            <w:r>
              <w:rPr>
                <w:b/>
                <w:color w:val="0F766E"/>
                <w:sz w:val="18"/>
              </w:rPr>
              <w:t>% Yield / % Recovery</w:t>
            </w:r>
          </w:p>
        </w:tc>
        <w:tc>
          <w:tcPr>
            <w:tcW w:type="dxa" w:w="2880"/>
            <w:shd w:fill="FFFFFF"/>
            <w:tcMar>
              <w:top w:w="100" w:type="dxa"/>
              <w:bottom w:w="100" w:type="dxa"/>
              <w:left w:w="140" w:type="dxa"/>
              <w:right w:w="140" w:type="dxa"/>
            </w:tcMar>
          </w:tcPr>
          <w:p>
            <w:pPr>
              <w:spacing w:line="276" w:lineRule="auto"/>
            </w:pPr>
            <w:r>
              <w:rPr>
                <w:sz w:val="18"/>
              </w:rPr>
              <w:t>Extraction Recovery Efficiency</w:t>
            </w:r>
          </w:p>
        </w:tc>
        <w:tc>
          <w:tcPr>
            <w:tcW w:type="dxa" w:w="5040"/>
            <w:shd w:fill="FFFFFF"/>
            <w:tcMar>
              <w:top w:w="100" w:type="dxa"/>
              <w:bottom w:w="100" w:type="dxa"/>
              <w:left w:w="140" w:type="dxa"/>
              <w:right w:w="140" w:type="dxa"/>
            </w:tcMar>
          </w:tcPr>
          <w:p>
            <w:pPr>
              <w:spacing w:line="276" w:lineRule="auto"/>
            </w:pPr>
            <w:r>
              <w:rPr>
                <w:sz w:val="18"/>
              </w:rPr>
              <w:t>The ratio of economically extractable ore to total in-situ reserves: (Viable Ore / Total In-Situ Ore) * 100. High yield (&gt;85%) indicates favorable pit geometry and low waste overburden.</w:t>
            </w:r>
          </w:p>
        </w:tc>
      </w:tr>
      <w:tr>
        <w:tc>
          <w:tcPr>
            <w:tcW w:type="dxa" w:w="2160"/>
            <w:shd w:fill="F8FAFC"/>
            <w:tcMar>
              <w:top w:w="100" w:type="dxa"/>
              <w:bottom w:w="100" w:type="dxa"/>
              <w:left w:w="140" w:type="dxa"/>
              <w:right w:w="140" w:type="dxa"/>
            </w:tcMar>
          </w:tcPr>
          <w:p>
            <w:pPr>
              <w:spacing w:line="276" w:lineRule="auto"/>
            </w:pPr>
            <w:r>
              <w:rPr>
                <w:b/>
                <w:color w:val="0F766E"/>
                <w:sz w:val="18"/>
              </w:rPr>
              <w:t>UNFC 111</w:t>
            </w:r>
          </w:p>
        </w:tc>
        <w:tc>
          <w:tcPr>
            <w:tcW w:type="dxa" w:w="2880"/>
            <w:shd w:fill="F8FAFC"/>
            <w:tcMar>
              <w:top w:w="100" w:type="dxa"/>
              <w:bottom w:w="100" w:type="dxa"/>
              <w:left w:w="140" w:type="dxa"/>
              <w:right w:w="140" w:type="dxa"/>
            </w:tcMar>
          </w:tcPr>
          <w:p>
            <w:pPr>
              <w:spacing w:line="276" w:lineRule="auto"/>
            </w:pPr>
            <w:r>
              <w:rPr>
                <w:sz w:val="18"/>
              </w:rPr>
              <w:t>Proven Mineral Reserve</w:t>
            </w:r>
          </w:p>
        </w:tc>
        <w:tc>
          <w:tcPr>
            <w:tcW w:type="dxa" w:w="5040"/>
            <w:shd w:fill="F8FAFC"/>
            <w:tcMar>
              <w:top w:w="100" w:type="dxa"/>
              <w:bottom w:w="100" w:type="dxa"/>
              <w:left w:w="140" w:type="dxa"/>
              <w:right w:w="140" w:type="dxa"/>
            </w:tcMar>
          </w:tcPr>
          <w:p>
            <w:pPr>
              <w:spacing w:line="276" w:lineRule="auto"/>
            </w:pPr>
            <w:r>
              <w:rPr>
                <w:sz w:val="18"/>
              </w:rPr>
              <w:t>Highest geological confidence. Validated by dense core drilling, geological mapping, and favorable feasibility economics.</w:t>
            </w:r>
          </w:p>
        </w:tc>
      </w:tr>
      <w:tr>
        <w:tc>
          <w:tcPr>
            <w:tcW w:type="dxa" w:w="2160"/>
            <w:shd w:fill="FFFFFF"/>
            <w:tcMar>
              <w:top w:w="100" w:type="dxa"/>
              <w:bottom w:w="100" w:type="dxa"/>
              <w:left w:w="140" w:type="dxa"/>
              <w:right w:w="140" w:type="dxa"/>
            </w:tcMar>
          </w:tcPr>
          <w:p>
            <w:pPr>
              <w:spacing w:line="276" w:lineRule="auto"/>
            </w:pPr>
            <w:r>
              <w:rPr>
                <w:b/>
                <w:color w:val="0F766E"/>
                <w:sz w:val="18"/>
              </w:rPr>
              <w:t>UNFC 221</w:t>
            </w:r>
          </w:p>
        </w:tc>
        <w:tc>
          <w:tcPr>
            <w:tcW w:type="dxa" w:w="2880"/>
            <w:shd w:fill="FFFFFF"/>
            <w:tcMar>
              <w:top w:w="100" w:type="dxa"/>
              <w:bottom w:w="100" w:type="dxa"/>
              <w:left w:w="140" w:type="dxa"/>
              <w:right w:w="140" w:type="dxa"/>
            </w:tcMar>
          </w:tcPr>
          <w:p>
            <w:pPr>
              <w:spacing w:line="276" w:lineRule="auto"/>
            </w:pPr>
            <w:r>
              <w:rPr>
                <w:sz w:val="18"/>
              </w:rPr>
              <w:t>Probable Mineral Reserve</w:t>
            </w:r>
          </w:p>
        </w:tc>
        <w:tc>
          <w:tcPr>
            <w:tcW w:type="dxa" w:w="5040"/>
            <w:shd w:fill="FFFFFF"/>
            <w:tcMar>
              <w:top w:w="100" w:type="dxa"/>
              <w:bottom w:w="100" w:type="dxa"/>
              <w:left w:w="140" w:type="dxa"/>
              <w:right w:w="140" w:type="dxa"/>
            </w:tcMar>
          </w:tcPr>
          <w:p>
            <w:pPr>
              <w:spacing w:line="276" w:lineRule="auto"/>
            </w:pPr>
            <w:r>
              <w:rPr>
                <w:sz w:val="18"/>
              </w:rPr>
              <w:t>Moderate geological confidence. Drilled on wider grid spacing with pre-feasibility economic viability confirmed.</w:t>
            </w:r>
          </w:p>
        </w:tc>
      </w:tr>
      <w:tr>
        <w:tc>
          <w:tcPr>
            <w:tcW w:type="dxa" w:w="2160"/>
            <w:shd w:fill="F8FAFC"/>
            <w:tcMar>
              <w:top w:w="100" w:type="dxa"/>
              <w:bottom w:w="100" w:type="dxa"/>
              <w:left w:w="140" w:type="dxa"/>
              <w:right w:w="140" w:type="dxa"/>
            </w:tcMar>
          </w:tcPr>
          <w:p>
            <w:pPr>
              <w:spacing w:line="276" w:lineRule="auto"/>
            </w:pPr>
            <w:r>
              <w:rPr>
                <w:b/>
                <w:color w:val="0F766E"/>
                <w:sz w:val="18"/>
              </w:rPr>
              <w:t>UNFC 331</w:t>
            </w:r>
          </w:p>
        </w:tc>
        <w:tc>
          <w:tcPr>
            <w:tcW w:type="dxa" w:w="2880"/>
            <w:shd w:fill="F8FAFC"/>
            <w:tcMar>
              <w:top w:w="100" w:type="dxa"/>
              <w:bottom w:w="100" w:type="dxa"/>
              <w:left w:w="140" w:type="dxa"/>
              <w:right w:w="140" w:type="dxa"/>
            </w:tcMar>
          </w:tcPr>
          <w:p>
            <w:pPr>
              <w:spacing w:line="276" w:lineRule="auto"/>
            </w:pPr>
            <w:r>
              <w:rPr>
                <w:sz w:val="18"/>
              </w:rPr>
              <w:t>Inferred Mineral Resource</w:t>
            </w:r>
          </w:p>
        </w:tc>
        <w:tc>
          <w:tcPr>
            <w:tcW w:type="dxa" w:w="5040"/>
            <w:shd w:fill="F8FAFC"/>
            <w:tcMar>
              <w:top w:w="100" w:type="dxa"/>
              <w:bottom w:w="100" w:type="dxa"/>
              <w:left w:w="140" w:type="dxa"/>
              <w:right w:w="140" w:type="dxa"/>
            </w:tcMar>
          </w:tcPr>
          <w:p>
            <w:pPr>
              <w:spacing w:line="276" w:lineRule="auto"/>
            </w:pPr>
            <w:r>
              <w:rPr>
                <w:sz w:val="18"/>
              </w:rPr>
              <w:t>Exploratory confidence based on satellite multi-spectral anomalies, geological belt continuity, and geophysical surface surveys.</w:t>
            </w:r>
          </w:p>
        </w:tc>
      </w:tr>
    </w:tbl>
    <w:p/>
    <w:p>
      <w:pPr>
        <w:pStyle w:val="Heading1"/>
        <w:spacing w:before="280" w:after="120"/>
      </w:pPr>
      <w:r>
        <w:t>3. Space Remote Sensing &amp; Multi-Spectral Satellite Indicators</w:t>
      </w:r>
    </w:p>
    <w:p>
      <w:r>
        <w:t>The portal integrates European Space Agency (ESA) Copernicus Sentinel-2 Level-2A surface reflectance data. The table below details each spectral band retrieved, its physical wavelength, and how it governs Manganese deposit detection: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160"/>
            <w:shd w:fill="0F2C59"/>
            <w:tcMar>
              <w:top w:w="120" w:type="dxa"/>
              <w:bottom w:w="120" w:type="dxa"/>
              <w:left w:w="140" w:type="dxa"/>
              <w:right w:w="140" w:type="dxa"/>
            </w:tcMar>
          </w:tcPr>
          <w:p>
            <w:r>
              <w:rPr>
                <w:b/>
                <w:color w:val="FFFFFF"/>
                <w:sz w:val="19"/>
              </w:rPr>
              <w:t>Band / Index</w:t>
            </w:r>
          </w:p>
        </w:tc>
        <w:tc>
          <w:tcPr>
            <w:tcW w:type="dxa" w:w="2016"/>
            <w:shd w:fill="0F2C59"/>
            <w:tcMar>
              <w:top w:w="120" w:type="dxa"/>
              <w:bottom w:w="120" w:type="dxa"/>
              <w:left w:w="140" w:type="dxa"/>
              <w:right w:w="140" w:type="dxa"/>
            </w:tcMar>
          </w:tcPr>
          <w:p>
            <w:r>
              <w:rPr>
                <w:b/>
                <w:color w:val="FFFFFF"/>
                <w:sz w:val="19"/>
              </w:rPr>
              <w:t>Wavelength / Unit</w:t>
            </w:r>
          </w:p>
        </w:tc>
        <w:tc>
          <w:tcPr>
            <w:tcW w:type="dxa" w:w="1728"/>
            <w:shd w:fill="0F2C59"/>
            <w:tcMar>
              <w:top w:w="120" w:type="dxa"/>
              <w:bottom w:w="120" w:type="dxa"/>
              <w:left w:w="140" w:type="dxa"/>
              <w:right w:w="140" w:type="dxa"/>
            </w:tcMar>
          </w:tcPr>
          <w:p>
            <w:r>
              <w:rPr>
                <w:b/>
                <w:color w:val="FFFFFF"/>
                <w:sz w:val="19"/>
              </w:rPr>
              <w:t>Range</w:t>
            </w:r>
          </w:p>
        </w:tc>
        <w:tc>
          <w:tcPr>
            <w:tcW w:type="dxa" w:w="4176"/>
            <w:shd w:fill="0F2C59"/>
            <w:tcMar>
              <w:top w:w="120" w:type="dxa"/>
              <w:bottom w:w="120" w:type="dxa"/>
              <w:left w:w="140" w:type="dxa"/>
              <w:right w:w="140" w:type="dxa"/>
            </w:tcMar>
          </w:tcPr>
          <w:p>
            <w:r>
              <w:rPr>
                <w:b/>
                <w:color w:val="FFFFFF"/>
                <w:sz w:val="19"/>
              </w:rPr>
              <w:t>Geological &amp; Remote Sensing Mechanism</w:t>
            </w:r>
          </w:p>
        </w:tc>
      </w:tr>
      <w:tr>
        <w:tc>
          <w:tcPr>
            <w:tcW w:type="dxa" w:w="2160"/>
            <w:shd w:fill="FFFFFF"/>
            <w:tcMar>
              <w:top w:w="100" w:type="dxa"/>
              <w:bottom w:w="100" w:type="dxa"/>
              <w:left w:w="140" w:type="dxa"/>
              <w:right w:w="140" w:type="dxa"/>
            </w:tcMar>
          </w:tcPr>
          <w:p>
            <w:pPr>
              <w:spacing w:line="276" w:lineRule="auto"/>
            </w:pPr>
            <w:r>
              <w:rPr>
                <w:b/>
                <w:color w:val="185FA5"/>
                <w:sz w:val="18"/>
              </w:rPr>
              <w:t>B02, B03, B04</w:t>
            </w:r>
          </w:p>
        </w:tc>
        <w:tc>
          <w:tcPr>
            <w:tcW w:type="dxa" w:w="2016"/>
            <w:shd w:fill="FFFFFF"/>
            <w:tcMar>
              <w:top w:w="100" w:type="dxa"/>
              <w:bottom w:w="100" w:type="dxa"/>
              <w:left w:w="140" w:type="dxa"/>
              <w:right w:w="140" w:type="dxa"/>
            </w:tcMar>
          </w:tcPr>
          <w:p>
            <w:pPr>
              <w:spacing w:line="276" w:lineRule="auto"/>
            </w:pPr>
            <w:r>
              <w:rPr>
                <w:sz w:val="18"/>
              </w:rPr>
              <w:t>490, 560, 665 nm</w:t>
              <w:br/>
              <w:t>(Visual spectrum)</w:t>
            </w:r>
          </w:p>
        </w:tc>
        <w:tc>
          <w:tcPr>
            <w:tcW w:type="dxa" w:w="1728"/>
            <w:shd w:fill="FFFFFF"/>
            <w:tcMar>
              <w:top w:w="100" w:type="dxa"/>
              <w:bottom w:w="100" w:type="dxa"/>
              <w:left w:w="140" w:type="dxa"/>
              <w:right w:w="140" w:type="dxa"/>
            </w:tcMar>
          </w:tcPr>
          <w:p>
            <w:pPr>
              <w:spacing w:line="276" w:lineRule="auto"/>
            </w:pPr>
            <w:r>
              <w:rPr>
                <w:sz w:val="18"/>
              </w:rPr>
              <w:t>0.0 – 1.0</w:t>
              <w:br/>
              <w:t>Reflectance</w:t>
            </w:r>
          </w:p>
        </w:tc>
        <w:tc>
          <w:tcPr>
            <w:tcW w:type="dxa" w:w="4176"/>
            <w:shd w:fill="FFFFFF"/>
            <w:tcMar>
              <w:top w:w="100" w:type="dxa"/>
              <w:bottom w:w="100" w:type="dxa"/>
              <w:left w:w="140" w:type="dxa"/>
              <w:right w:w="140" w:type="dxa"/>
            </w:tcMar>
          </w:tcPr>
          <w:p>
            <w:pPr>
              <w:spacing w:line="276" w:lineRule="auto"/>
            </w:pPr>
            <w:r>
              <w:rPr>
                <w:sz w:val="18"/>
              </w:rPr>
              <w:t>Blue, Green, Red bands. Stretched and stacked to construct the true-color surface satellite scene for geological visual inspection.</w:t>
            </w:r>
          </w:p>
        </w:tc>
      </w:tr>
      <w:tr>
        <w:tc>
          <w:tcPr>
            <w:tcW w:type="dxa" w:w="2160"/>
            <w:shd w:fill="F8FAFC"/>
            <w:tcMar>
              <w:top w:w="100" w:type="dxa"/>
              <w:bottom w:w="100" w:type="dxa"/>
              <w:left w:w="140" w:type="dxa"/>
              <w:right w:w="140" w:type="dxa"/>
            </w:tcMar>
          </w:tcPr>
          <w:p>
            <w:pPr>
              <w:spacing w:line="276" w:lineRule="auto"/>
            </w:pPr>
            <w:r>
              <w:rPr>
                <w:b/>
                <w:color w:val="185FA5"/>
                <w:sz w:val="18"/>
              </w:rPr>
              <w:t>B08 (NIR)</w:t>
            </w:r>
          </w:p>
        </w:tc>
        <w:tc>
          <w:tcPr>
            <w:tcW w:type="dxa" w:w="2016"/>
            <w:shd w:fill="F8FAFC"/>
            <w:tcMar>
              <w:top w:w="100" w:type="dxa"/>
              <w:bottom w:w="100" w:type="dxa"/>
              <w:left w:w="140" w:type="dxa"/>
              <w:right w:w="140" w:type="dxa"/>
            </w:tcMar>
          </w:tcPr>
          <w:p>
            <w:pPr>
              <w:spacing w:line="276" w:lineRule="auto"/>
            </w:pPr>
            <w:r>
              <w:rPr>
                <w:sz w:val="18"/>
              </w:rPr>
              <w:t>842 nm</w:t>
              <w:br/>
              <w:t>(Near-Infrared)</w:t>
            </w:r>
          </w:p>
        </w:tc>
        <w:tc>
          <w:tcPr>
            <w:tcW w:type="dxa" w:w="1728"/>
            <w:shd w:fill="F8FAFC"/>
            <w:tcMar>
              <w:top w:w="100" w:type="dxa"/>
              <w:bottom w:w="100" w:type="dxa"/>
              <w:left w:w="140" w:type="dxa"/>
              <w:right w:w="140" w:type="dxa"/>
            </w:tcMar>
          </w:tcPr>
          <w:p>
            <w:pPr>
              <w:spacing w:line="276" w:lineRule="auto"/>
            </w:pPr>
            <w:r>
              <w:rPr>
                <w:sz w:val="18"/>
              </w:rPr>
              <w:t>0.0 – 1.0</w:t>
              <w:br/>
              <w:t>Reflectance</w:t>
            </w:r>
          </w:p>
        </w:tc>
        <w:tc>
          <w:tcPr>
            <w:tcW w:type="dxa" w:w="4176"/>
            <w:shd w:fill="F8FAFC"/>
            <w:tcMar>
              <w:top w:w="100" w:type="dxa"/>
              <w:bottom w:w="100" w:type="dxa"/>
              <w:left w:w="140" w:type="dxa"/>
              <w:right w:w="140" w:type="dxa"/>
            </w:tcMar>
          </w:tcPr>
          <w:p>
            <w:pPr>
              <w:spacing w:line="276" w:lineRule="auto"/>
            </w:pPr>
            <w:r>
              <w:rPr>
                <w:sz w:val="18"/>
              </w:rPr>
              <w:t>Reflected strongly by cellular structure of green vegetation. Used with Red band (B04) to compute the NDVI vegetation mask.</w:t>
            </w:r>
          </w:p>
        </w:tc>
      </w:tr>
      <w:tr>
        <w:tc>
          <w:tcPr>
            <w:tcW w:type="dxa" w:w="2160"/>
            <w:shd w:fill="FFFFFF"/>
            <w:tcMar>
              <w:top w:w="100" w:type="dxa"/>
              <w:bottom w:w="100" w:type="dxa"/>
              <w:left w:w="140" w:type="dxa"/>
              <w:right w:w="140" w:type="dxa"/>
            </w:tcMar>
          </w:tcPr>
          <w:p>
            <w:pPr>
              <w:spacing w:line="276" w:lineRule="auto"/>
            </w:pPr>
            <w:r>
              <w:rPr>
                <w:b/>
                <w:color w:val="185FA5"/>
                <w:sz w:val="18"/>
              </w:rPr>
              <w:t>B11 (SWIR-1)</w:t>
            </w:r>
          </w:p>
        </w:tc>
        <w:tc>
          <w:tcPr>
            <w:tcW w:type="dxa" w:w="2016"/>
            <w:shd w:fill="FFFFFF"/>
            <w:tcMar>
              <w:top w:w="100" w:type="dxa"/>
              <w:bottom w:w="100" w:type="dxa"/>
              <w:left w:w="140" w:type="dxa"/>
              <w:right w:w="140" w:type="dxa"/>
            </w:tcMar>
          </w:tcPr>
          <w:p>
            <w:pPr>
              <w:spacing w:line="276" w:lineRule="auto"/>
            </w:pPr>
            <w:r>
              <w:rPr>
                <w:sz w:val="18"/>
              </w:rPr>
              <w:t>1610 nm</w:t>
              <w:br/>
              <w:t>(Short-Wave IR)</w:t>
            </w:r>
          </w:p>
        </w:tc>
        <w:tc>
          <w:tcPr>
            <w:tcW w:type="dxa" w:w="1728"/>
            <w:shd w:fill="FFFFFF"/>
            <w:tcMar>
              <w:top w:w="100" w:type="dxa"/>
              <w:bottom w:w="100" w:type="dxa"/>
              <w:left w:w="140" w:type="dxa"/>
              <w:right w:w="140" w:type="dxa"/>
            </w:tcMar>
          </w:tcPr>
          <w:p>
            <w:pPr>
              <w:spacing w:line="276" w:lineRule="auto"/>
            </w:pPr>
            <w:r>
              <w:rPr>
                <w:sz w:val="18"/>
              </w:rPr>
              <w:t>0.0 – 1.0</w:t>
              <w:br/>
              <w:t>Reflectance</w:t>
            </w:r>
          </w:p>
        </w:tc>
        <w:tc>
          <w:tcPr>
            <w:tcW w:type="dxa" w:w="4176"/>
            <w:shd w:fill="FFFFFF"/>
            <w:tcMar>
              <w:top w:w="100" w:type="dxa"/>
              <w:bottom w:w="100" w:type="dxa"/>
              <w:left w:w="140" w:type="dxa"/>
              <w:right w:w="140" w:type="dxa"/>
            </w:tcMar>
          </w:tcPr>
          <w:p>
            <w:pPr>
              <w:spacing w:line="276" w:lineRule="auto"/>
            </w:pPr>
            <w:r>
              <w:rPr>
                <w:sz w:val="18"/>
              </w:rPr>
              <w:t>Primary diagnostic band for hydroxyl-bearing minerals, clay alteration halos, and manganese oxide absorption dips.</w:t>
            </w:r>
          </w:p>
        </w:tc>
      </w:tr>
      <w:tr>
        <w:tc>
          <w:tcPr>
            <w:tcW w:type="dxa" w:w="2160"/>
            <w:shd w:fill="F8FAFC"/>
            <w:tcMar>
              <w:top w:w="100" w:type="dxa"/>
              <w:bottom w:w="100" w:type="dxa"/>
              <w:left w:w="140" w:type="dxa"/>
              <w:right w:w="140" w:type="dxa"/>
            </w:tcMar>
          </w:tcPr>
          <w:p>
            <w:pPr>
              <w:spacing w:line="276" w:lineRule="auto"/>
            </w:pPr>
            <w:r>
              <w:rPr>
                <w:b/>
                <w:color w:val="185FA5"/>
                <w:sz w:val="18"/>
              </w:rPr>
              <w:t>B12 (SWIR-2)</w:t>
            </w:r>
          </w:p>
        </w:tc>
        <w:tc>
          <w:tcPr>
            <w:tcW w:type="dxa" w:w="2016"/>
            <w:shd w:fill="F8FAFC"/>
            <w:tcMar>
              <w:top w:w="100" w:type="dxa"/>
              <w:bottom w:w="100" w:type="dxa"/>
              <w:left w:w="140" w:type="dxa"/>
              <w:right w:w="140" w:type="dxa"/>
            </w:tcMar>
          </w:tcPr>
          <w:p>
            <w:pPr>
              <w:spacing w:line="276" w:lineRule="auto"/>
            </w:pPr>
            <w:r>
              <w:rPr>
                <w:sz w:val="18"/>
              </w:rPr>
              <w:t>2190 nm</w:t>
              <w:br/>
              <w:t>(Short-Wave IR)</w:t>
            </w:r>
          </w:p>
        </w:tc>
        <w:tc>
          <w:tcPr>
            <w:tcW w:type="dxa" w:w="1728"/>
            <w:shd w:fill="F8FAFC"/>
            <w:tcMar>
              <w:top w:w="100" w:type="dxa"/>
              <w:bottom w:w="100" w:type="dxa"/>
              <w:left w:w="140" w:type="dxa"/>
              <w:right w:w="140" w:type="dxa"/>
            </w:tcMar>
          </w:tcPr>
          <w:p>
            <w:pPr>
              <w:spacing w:line="276" w:lineRule="auto"/>
            </w:pPr>
            <w:r>
              <w:rPr>
                <w:sz w:val="18"/>
              </w:rPr>
              <w:t>0.0 – 1.0</w:t>
              <w:br/>
              <w:t>Reflectance</w:t>
            </w:r>
          </w:p>
        </w:tc>
        <w:tc>
          <w:tcPr>
            <w:tcW w:type="dxa" w:w="4176"/>
            <w:shd w:fill="F8FAFC"/>
            <w:tcMar>
              <w:top w:w="100" w:type="dxa"/>
              <w:bottom w:w="100" w:type="dxa"/>
              <w:left w:w="140" w:type="dxa"/>
              <w:right w:w="140" w:type="dxa"/>
            </w:tcMar>
          </w:tcPr>
          <w:p>
            <w:pPr>
              <w:spacing w:line="276" w:lineRule="auto"/>
            </w:pPr>
            <w:r>
              <w:rPr>
                <w:sz w:val="18"/>
              </w:rPr>
              <w:t>Secondary diagnostic band. Braunite, Pyrolusite, and Psilomelane exhibit characteristic diagnostic absorption troughs across B11 &amp; B12.</w:t>
            </w:r>
          </w:p>
        </w:tc>
      </w:tr>
      <w:tr>
        <w:tc>
          <w:tcPr>
            <w:tcW w:type="dxa" w:w="2160"/>
            <w:shd w:fill="FFFFFF"/>
            <w:tcMar>
              <w:top w:w="100" w:type="dxa"/>
              <w:bottom w:w="100" w:type="dxa"/>
              <w:left w:w="140" w:type="dxa"/>
              <w:right w:w="140" w:type="dxa"/>
            </w:tcMar>
          </w:tcPr>
          <w:p>
            <w:pPr>
              <w:spacing w:line="276" w:lineRule="auto"/>
            </w:pPr>
            <w:r>
              <w:rPr>
                <w:b/>
                <w:color w:val="185FA5"/>
                <w:sz w:val="18"/>
              </w:rPr>
              <w:t>NDVI Index</w:t>
            </w:r>
          </w:p>
        </w:tc>
        <w:tc>
          <w:tcPr>
            <w:tcW w:type="dxa" w:w="2016"/>
            <w:shd w:fill="FFFFFF"/>
            <w:tcMar>
              <w:top w:w="100" w:type="dxa"/>
              <w:bottom w:w="100" w:type="dxa"/>
              <w:left w:w="140" w:type="dxa"/>
              <w:right w:w="140" w:type="dxa"/>
            </w:tcMar>
          </w:tcPr>
          <w:p>
            <w:pPr>
              <w:spacing w:line="276" w:lineRule="auto"/>
            </w:pPr>
            <w:r>
              <w:rPr>
                <w:sz w:val="18"/>
              </w:rPr>
              <w:t>(B08 - B04) / (B08 + B04)</w:t>
              <w:br/>
              <w:t>(Unitless Index)</w:t>
            </w:r>
          </w:p>
        </w:tc>
        <w:tc>
          <w:tcPr>
            <w:tcW w:type="dxa" w:w="1728"/>
            <w:shd w:fill="FFFFFF"/>
            <w:tcMar>
              <w:top w:w="100" w:type="dxa"/>
              <w:bottom w:w="100" w:type="dxa"/>
              <w:left w:w="140" w:type="dxa"/>
              <w:right w:w="140" w:type="dxa"/>
            </w:tcMar>
          </w:tcPr>
          <w:p>
            <w:pPr>
              <w:spacing w:line="276" w:lineRule="auto"/>
            </w:pPr>
            <w:r>
              <w:rPr>
                <w:sz w:val="18"/>
              </w:rPr>
              <w:t>-1.0 to +1.0</w:t>
            </w:r>
          </w:p>
        </w:tc>
        <w:tc>
          <w:tcPr>
            <w:tcW w:type="dxa" w:w="4176"/>
            <w:shd w:fill="FFFFFF"/>
            <w:tcMar>
              <w:top w:w="100" w:type="dxa"/>
              <w:bottom w:w="100" w:type="dxa"/>
              <w:left w:w="140" w:type="dxa"/>
              <w:right w:w="140" w:type="dxa"/>
            </w:tcMar>
          </w:tcPr>
          <w:p>
            <w:pPr>
              <w:spacing w:line="276" w:lineRule="auto"/>
            </w:pPr>
            <w:r>
              <w:rPr>
                <w:sz w:val="18"/>
              </w:rPr>
              <w:t>Normalized Difference Vegetation Index. High NDVI (&gt;0.5) indicates dense tree canopy; Low NDVI (&lt;0.2) highlights exposed rock outcrops and open-cast pits.</w:t>
            </w:r>
          </w:p>
        </w:tc>
      </w:tr>
      <w:tr>
        <w:tc>
          <w:tcPr>
            <w:tcW w:type="dxa" w:w="2160"/>
            <w:shd w:fill="F8FAFC"/>
            <w:tcMar>
              <w:top w:w="100" w:type="dxa"/>
              <w:bottom w:w="100" w:type="dxa"/>
              <w:left w:w="140" w:type="dxa"/>
              <w:right w:w="140" w:type="dxa"/>
            </w:tcMar>
          </w:tcPr>
          <w:p>
            <w:pPr>
              <w:spacing w:line="276" w:lineRule="auto"/>
            </w:pPr>
            <w:r>
              <w:rPr>
                <w:b/>
                <w:color w:val="185FA5"/>
                <w:sz w:val="18"/>
              </w:rPr>
              <w:t>LST (°C)</w:t>
            </w:r>
          </w:p>
        </w:tc>
        <w:tc>
          <w:tcPr>
            <w:tcW w:type="dxa" w:w="2016"/>
            <w:shd w:fill="F8FAFC"/>
            <w:tcMar>
              <w:top w:w="100" w:type="dxa"/>
              <w:bottom w:w="100" w:type="dxa"/>
              <w:left w:w="140" w:type="dxa"/>
              <w:right w:w="140" w:type="dxa"/>
            </w:tcMar>
          </w:tcPr>
          <w:p>
            <w:pPr>
              <w:spacing w:line="276" w:lineRule="auto"/>
            </w:pPr>
            <w:r>
              <w:rPr>
                <w:sz w:val="18"/>
              </w:rPr>
              <w:t>Thermal Inertia Proxy</w:t>
              <w:br/>
              <w:t>(Degrees Celsius)</w:t>
            </w:r>
          </w:p>
        </w:tc>
        <w:tc>
          <w:tcPr>
            <w:tcW w:type="dxa" w:w="1728"/>
            <w:shd w:fill="F8FAFC"/>
            <w:tcMar>
              <w:top w:w="100" w:type="dxa"/>
              <w:bottom w:w="100" w:type="dxa"/>
              <w:left w:w="140" w:type="dxa"/>
              <w:right w:w="140" w:type="dxa"/>
            </w:tcMar>
          </w:tcPr>
          <w:p>
            <w:pPr>
              <w:spacing w:line="276" w:lineRule="auto"/>
            </w:pPr>
            <w:r>
              <w:rPr>
                <w:sz w:val="18"/>
              </w:rPr>
              <w:t>20°C – 50°C</w:t>
            </w:r>
          </w:p>
        </w:tc>
        <w:tc>
          <w:tcPr>
            <w:tcW w:type="dxa" w:w="4176"/>
            <w:shd w:fill="F8FAFC"/>
            <w:tcMar>
              <w:top w:w="100" w:type="dxa"/>
              <w:bottom w:w="100" w:type="dxa"/>
              <w:left w:w="140" w:type="dxa"/>
              <w:right w:w="140" w:type="dxa"/>
            </w:tcMar>
          </w:tcPr>
          <w:p>
            <w:pPr>
              <w:spacing w:line="276" w:lineRule="auto"/>
            </w:pPr>
            <w:r>
              <w:rPr>
                <w:sz w:val="18"/>
              </w:rPr>
              <w:t>Land Surface Temperature proxy. Dense metallic manganese ore bodies have distinct thermal heat capacity compared to surrounding country rocks.</w:t>
            </w:r>
          </w:p>
        </w:tc>
      </w:tr>
      <w:tr>
        <w:tc>
          <w:tcPr>
            <w:tcW w:type="dxa" w:w="2160"/>
            <w:shd w:fill="FFFFFF"/>
            <w:tcMar>
              <w:top w:w="100" w:type="dxa"/>
              <w:bottom w:w="100" w:type="dxa"/>
              <w:left w:w="140" w:type="dxa"/>
              <w:right w:w="140" w:type="dxa"/>
            </w:tcMar>
          </w:tcPr>
          <w:p>
            <w:pPr>
              <w:spacing w:line="276" w:lineRule="auto"/>
            </w:pPr>
            <w:r>
              <w:rPr>
                <w:b/>
                <w:color w:val="185FA5"/>
                <w:sz w:val="18"/>
              </w:rPr>
              <w:t>Rainfall (mm/wk)</w:t>
            </w:r>
          </w:p>
        </w:tc>
        <w:tc>
          <w:tcPr>
            <w:tcW w:type="dxa" w:w="2016"/>
            <w:shd w:fill="FFFFFF"/>
            <w:tcMar>
              <w:top w:w="100" w:type="dxa"/>
              <w:bottom w:w="100" w:type="dxa"/>
              <w:left w:w="140" w:type="dxa"/>
              <w:right w:w="140" w:type="dxa"/>
            </w:tcMar>
          </w:tcPr>
          <w:p>
            <w:pPr>
              <w:spacing w:line="276" w:lineRule="auto"/>
            </w:pPr>
            <w:r>
              <w:rPr>
                <w:sz w:val="18"/>
              </w:rPr>
              <w:t>NASA GPM Satellite</w:t>
              <w:br/>
              <w:t>(Millimeters / week)</w:t>
            </w:r>
          </w:p>
        </w:tc>
        <w:tc>
          <w:tcPr>
            <w:tcW w:type="dxa" w:w="1728"/>
            <w:shd w:fill="FFFFFF"/>
            <w:tcMar>
              <w:top w:w="100" w:type="dxa"/>
              <w:bottom w:w="100" w:type="dxa"/>
              <w:left w:w="140" w:type="dxa"/>
              <w:right w:w="140" w:type="dxa"/>
            </w:tcMar>
          </w:tcPr>
          <w:p>
            <w:pPr>
              <w:spacing w:line="276" w:lineRule="auto"/>
            </w:pPr>
            <w:r>
              <w:rPr>
                <w:sz w:val="18"/>
              </w:rPr>
              <w:t>0 – 200 mm</w:t>
            </w:r>
          </w:p>
        </w:tc>
        <w:tc>
          <w:tcPr>
            <w:tcW w:type="dxa" w:w="4176"/>
            <w:shd w:fill="FFFFFF"/>
            <w:tcMar>
              <w:top w:w="100" w:type="dxa"/>
              <w:bottom w:w="100" w:type="dxa"/>
              <w:left w:w="140" w:type="dxa"/>
              <w:right w:w="140" w:type="dxa"/>
            </w:tcMar>
          </w:tcPr>
          <w:p>
            <w:pPr>
              <w:spacing w:line="276" w:lineRule="auto"/>
            </w:pPr>
            <w:r>
              <w:rPr>
                <w:sz w:val="18"/>
              </w:rPr>
              <w:t>Precipitation index governing pit flooding risk, bench slope stability, and heavy mining equipment haul road traction loss.</w:t>
            </w:r>
          </w:p>
        </w:tc>
      </w:tr>
      <w:tr>
        <w:tc>
          <w:tcPr>
            <w:tcW w:type="dxa" w:w="2160"/>
            <w:shd w:fill="F8FAFC"/>
            <w:tcMar>
              <w:top w:w="100" w:type="dxa"/>
              <w:bottom w:w="100" w:type="dxa"/>
              <w:left w:w="140" w:type="dxa"/>
              <w:right w:w="140" w:type="dxa"/>
            </w:tcMar>
          </w:tcPr>
          <w:p>
            <w:pPr>
              <w:spacing w:line="276" w:lineRule="auto"/>
            </w:pPr>
            <w:r>
              <w:rPr>
                <w:b/>
                <w:color w:val="185FA5"/>
                <w:sz w:val="18"/>
              </w:rPr>
              <w:t>Soil Moisture</w:t>
            </w:r>
          </w:p>
        </w:tc>
        <w:tc>
          <w:tcPr>
            <w:tcW w:type="dxa" w:w="2016"/>
            <w:shd w:fill="F8FAFC"/>
            <w:tcMar>
              <w:top w:w="100" w:type="dxa"/>
              <w:bottom w:w="100" w:type="dxa"/>
              <w:left w:w="140" w:type="dxa"/>
              <w:right w:w="140" w:type="dxa"/>
            </w:tcMar>
          </w:tcPr>
          <w:p>
            <w:pPr>
              <w:spacing w:line="276" w:lineRule="auto"/>
            </w:pPr>
            <w:r>
              <w:rPr>
                <w:sz w:val="18"/>
              </w:rPr>
              <w:t>NASA SMAP Radar</w:t>
              <w:br/>
              <w:t>(Volumetric ratio)</w:t>
            </w:r>
          </w:p>
        </w:tc>
        <w:tc>
          <w:tcPr>
            <w:tcW w:type="dxa" w:w="1728"/>
            <w:shd w:fill="F8FAFC"/>
            <w:tcMar>
              <w:top w:w="100" w:type="dxa"/>
              <w:bottom w:w="100" w:type="dxa"/>
              <w:left w:w="140" w:type="dxa"/>
              <w:right w:w="140" w:type="dxa"/>
            </w:tcMar>
          </w:tcPr>
          <w:p>
            <w:pPr>
              <w:spacing w:line="276" w:lineRule="auto"/>
            </w:pPr>
            <w:r>
              <w:rPr>
                <w:sz w:val="18"/>
              </w:rPr>
              <w:t>0.0 – 1.0</w:t>
            </w:r>
          </w:p>
        </w:tc>
        <w:tc>
          <w:tcPr>
            <w:tcW w:type="dxa" w:w="4176"/>
            <w:shd w:fill="F8FAFC"/>
            <w:tcMar>
              <w:top w:w="100" w:type="dxa"/>
              <w:bottom w:w="100" w:type="dxa"/>
              <w:left w:w="140" w:type="dxa"/>
              <w:right w:w="140" w:type="dxa"/>
            </w:tcMar>
          </w:tcPr>
          <w:p>
            <w:pPr>
              <w:spacing w:line="276" w:lineRule="auto"/>
            </w:pPr>
            <w:r>
              <w:rPr>
                <w:sz w:val="18"/>
              </w:rPr>
              <w:t>Moisture saturation of surface soil. Affects drilling dust, blasting explosive performance, and mud accumulation in open-cast benches.</w:t>
            </w:r>
          </w:p>
        </w:tc>
      </w:tr>
      <w:tr>
        <w:tc>
          <w:tcPr>
            <w:tcW w:type="dxa" w:w="2160"/>
            <w:shd w:fill="FFFFFF"/>
            <w:tcMar>
              <w:top w:w="100" w:type="dxa"/>
              <w:bottom w:w="100" w:type="dxa"/>
              <w:left w:w="140" w:type="dxa"/>
              <w:right w:w="140" w:type="dxa"/>
            </w:tcMar>
          </w:tcPr>
          <w:p>
            <w:pPr>
              <w:spacing w:line="276" w:lineRule="auto"/>
            </w:pPr>
            <w:r>
              <w:rPr>
                <w:b/>
                <w:color w:val="185FA5"/>
                <w:sz w:val="18"/>
              </w:rPr>
              <w:t>EMAG2 Magnetics</w:t>
            </w:r>
          </w:p>
        </w:tc>
        <w:tc>
          <w:tcPr>
            <w:tcW w:type="dxa" w:w="2016"/>
            <w:shd w:fill="FFFFFF"/>
            <w:tcMar>
              <w:top w:w="100" w:type="dxa"/>
              <w:bottom w:w="100" w:type="dxa"/>
              <w:left w:w="140" w:type="dxa"/>
              <w:right w:w="140" w:type="dxa"/>
            </w:tcMar>
          </w:tcPr>
          <w:p>
            <w:pPr>
              <w:spacing w:line="276" w:lineRule="auto"/>
            </w:pPr>
            <w:r>
              <w:rPr>
                <w:sz w:val="18"/>
              </w:rPr>
              <w:t>NOAA Global Earth Magnetic Anomaly (nT)</w:t>
            </w:r>
          </w:p>
        </w:tc>
        <w:tc>
          <w:tcPr>
            <w:tcW w:type="dxa" w:w="1728"/>
            <w:shd w:fill="FFFFFF"/>
            <w:tcMar>
              <w:top w:w="100" w:type="dxa"/>
              <w:bottom w:w="100" w:type="dxa"/>
              <w:left w:w="140" w:type="dxa"/>
              <w:right w:w="140" w:type="dxa"/>
            </w:tcMar>
          </w:tcPr>
          <w:p>
            <w:pPr>
              <w:spacing w:line="276" w:lineRule="auto"/>
            </w:pPr>
            <w:r>
              <w:rPr>
                <w:sz w:val="18"/>
              </w:rPr>
              <w:t>-500 to +800 nT</w:t>
            </w:r>
          </w:p>
        </w:tc>
        <w:tc>
          <w:tcPr>
            <w:tcW w:type="dxa" w:w="4176"/>
            <w:shd w:fill="FFFFFF"/>
            <w:tcMar>
              <w:top w:w="100" w:type="dxa"/>
              <w:bottom w:w="100" w:type="dxa"/>
              <w:left w:w="140" w:type="dxa"/>
              <w:right w:w="140" w:type="dxa"/>
            </w:tcMar>
          </w:tcPr>
          <w:p>
            <w:pPr>
              <w:spacing w:line="276" w:lineRule="auto"/>
            </w:pPr>
            <w:r>
              <w:rPr>
                <w:sz w:val="18"/>
              </w:rPr>
              <w:t>Magnetic anomaly in nanoTeslas. Manganese deposits associated with Jacobsite and iron formations produce distinct positive magnetic peaks.</w:t>
            </w:r>
          </w:p>
        </w:tc>
      </w:tr>
    </w:tbl>
    <w:p/>
    <w:p>
      <w:pPr>
        <w:pStyle w:val="Heading1"/>
        <w:spacing w:before="280" w:after="120"/>
      </w:pPr>
      <w:r>
        <w:t>4. Machine Learning Pipeline: Why Tabular Data, Not Raw Images</w:t>
      </w:r>
    </w:p>
    <w:p>
      <w:pPr>
        <w:spacing w:line="276" w:lineRule="auto" w:after="240"/>
      </w:pPr>
      <w:r>
        <w:t>A critical architectural principle of the MOIL portal is that the machine learning models (RandomForestClassifier and LightGBMRegressor) are trained on physical tabular indicators rather than raw 2D pixel grids. This delivers three immense advantages for mining operations:</w:t>
        <w:br/>
        <w:t>1. Full Interpretability (SHAP &amp; Permutation Feature Importance): Every prediction can be mathematically attributed to specific geophysical factors (e.g., +4.2% Mn grade due to B11 absorption dip).</w:t>
        <w:br/>
        <w:t>2. Physics &amp; Chemistry Consistency: Spectral reflectance physics (Planck's radiation laws, absorption troughs) are preserved rather than obscured inside black-box convolutional layers.</w:t>
        <w:br/>
        <w:t>3. Multi-Source Fusion: Enables seamless tabular merging of optical satellite bands, radar soil moisture, precipitation logs, DEM elevation slices, and ground magnetometer surveys.</w:t>
      </w: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20" w:type="dxa"/>
              <w:right w:w="200" w:type="dxa"/>
            </w:tcMar>
            <w:tcBorders>
              <w:left w:val="single" w:sz="24" w:space="0" w:color="1F4E79"/>
              <w:top w:val="none"/>
              <w:right w:val="none"/>
              <w:bottom w:val="none"/>
            </w:tcBorders>
          </w:tcPr>
          <w:p>
            <w:pPr>
              <w:spacing w:before="40" w:after="80"/>
            </w:pPr>
            <w:r>
              <w:rPr>
                <w:b/>
                <w:color w:val="1F4E79"/>
                <w:sz w:val="21"/>
              </w:rPr>
              <w:t>📌 END-TO-END DATAFLOW PIPELINE</w:t>
              <w:br/>
            </w:r>
          </w:p>
          <w:p>
            <w:pPr>
              <w:spacing w:before="40" w:after="40"/>
            </w:pPr>
            <w:r>
              <w:rPr>
                <w:color w:val="333333"/>
                <w:sz w:val="20"/>
              </w:rPr>
              <w:t>Step 1: User inputs Latitude and Longitude (or selects an existing MOIL mine).</w:t>
            </w:r>
          </w:p>
          <w:p>
            <w:pPr>
              <w:spacing w:before="40" w:after="40"/>
            </w:pPr>
            <w:r>
              <w:rPr>
                <w:color w:val="333333"/>
                <w:sz w:val="20"/>
              </w:rPr>
              <w:t>Step 2: Backend sends Process API request to Copernicus CDSE, retrieving 6 spectral bands: B02, B03, B04, B08, B11, B12.</w:t>
            </w:r>
          </w:p>
          <w:p>
            <w:pPr>
              <w:spacing w:before="40" w:after="40"/>
            </w:pPr>
            <w:r>
              <w:rPr>
                <w:color w:val="333333"/>
                <w:sz w:val="20"/>
              </w:rPr>
              <w:t>Step 3: Feature Extractor computes diagnostic ratios: NDVI = (B08-B04)/(B08+B04), SWIR B11/B12 absorption, LST (°C), and Soil Moisture.</w:t>
            </w:r>
          </w:p>
          <w:p>
            <w:pPr>
              <w:spacing w:before="40" w:after="40"/>
            </w:pPr>
            <w:r>
              <w:rPr>
                <w:color w:val="333333"/>
                <w:sz w:val="20"/>
              </w:rPr>
              <w:t>Step 4: Tabular Random Forest Model (mn_classifier.pkl) evaluates the 9 numerical features and outputs: Total Available Reserves (kt), Predicted Grade (% Mn), and Probability (%).</w:t>
            </w:r>
          </w:p>
          <w:p>
            <w:pPr>
              <w:spacing w:before="40" w:after="40"/>
            </w:pPr>
            <w:r>
              <w:rPr>
                <w:color w:val="333333"/>
                <w:sz w:val="20"/>
              </w:rPr>
              <w:t>Step 5: Operator clicks 'Auto-Fill Sliders &amp; Inputs' to load parameters into the production simulation engine, visualizing extraction yield vs operational constraints.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7"/>
      </w:rPr>
      <w:t>Confidential — Ministry of Mines &amp; MOIL Smart Mining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7"/>
      </w:rPr>
      <w:t>MOIL Smart Mining Intelligence Portal | Technical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