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E2132" w:rsidRDefault="008321AA">
      <w:pPr>
        <w:rPr>
          <w:rFonts w:ascii="Arial Black" w:hAnsi="Arial Black"/>
          <w:sz w:val="44"/>
          <w:szCs w:val="44"/>
          <w:u w:val="single"/>
        </w:rPr>
      </w:pPr>
      <w:r w:rsidRPr="008321AA">
        <w:rPr>
          <w:rFonts w:ascii="Arial Black" w:hAnsi="Arial Black"/>
          <w:sz w:val="44"/>
          <w:szCs w:val="44"/>
          <w:u w:val="single"/>
        </w:rPr>
        <w:t>PROJECT</w:t>
      </w:r>
    </w:p>
    <w:p w:rsidR="000331A5" w:rsidRDefault="00832117">
      <w:pPr>
        <w:rPr>
          <w:rFonts w:ascii="Aparajita" w:hAnsi="Aparajita" w:cs="Aparajita"/>
          <w:sz w:val="36"/>
          <w:szCs w:val="36"/>
        </w:rPr>
      </w:pPr>
      <w:r w:rsidRPr="00832117">
        <w:rPr>
          <w:rFonts w:ascii="Aparajita" w:hAnsi="Aparajita" w:cs="Aparajita"/>
          <w:sz w:val="36"/>
          <w:szCs w:val="36"/>
        </w:rPr>
        <w:t>RGB Color Detector Using TCS3200 Sensor Module</w:t>
      </w:r>
    </w:p>
    <w:p w:rsidR="000331A5" w:rsidRPr="00832117" w:rsidRDefault="00832117">
      <w:pPr>
        <w:rPr>
          <w:rFonts w:ascii="Aparajita" w:hAnsi="Aparajita" w:cs="Aparajita"/>
          <w:sz w:val="32"/>
          <w:szCs w:val="32"/>
        </w:rPr>
      </w:pPr>
      <w:r w:rsidRPr="00832117">
        <w:rPr>
          <w:rFonts w:ascii="Aparajita" w:hAnsi="Aparajita" w:cs="Aparajita"/>
          <w:sz w:val="32"/>
          <w:szCs w:val="32"/>
        </w:rPr>
        <w:t>This project is used for detecting primary colors (red, green and blue, or RGB)—colors that are physically available in LEDs in one package; for example, common cathode or common-cathode RGB LED. We can display primary colors and also generate specific colors by modifying the Arduino code. The project demonstrates the basic interfacing of TCS3200 sensor, Arduino Uno and common-cathode RGB LED.</w:t>
      </w:r>
    </w:p>
    <w:p w:rsidR="000331A5" w:rsidRDefault="000331A5" w:rsidP="000331A5">
      <w:pPr>
        <w:shd w:val="clear" w:color="auto" w:fill="FFFFFF"/>
        <w:spacing w:after="0" w:line="465" w:lineRule="atLeast"/>
        <w:outlineLvl w:val="2"/>
        <w:rPr>
          <w:rFonts w:ascii="Aparajita" w:eastAsia="Times New Roman" w:hAnsi="Aparajita" w:cs="Aparajita"/>
          <w:bCs/>
          <w:spacing w:val="5"/>
          <w:sz w:val="36"/>
          <w:szCs w:val="36"/>
        </w:rPr>
      </w:pPr>
      <w:r w:rsidRPr="000331A5">
        <w:rPr>
          <w:rFonts w:ascii="Aparajita" w:eastAsia="Times New Roman" w:hAnsi="Aparajita" w:cs="Aparajita"/>
          <w:bCs/>
          <w:spacing w:val="5"/>
          <w:sz w:val="36"/>
          <w:szCs w:val="36"/>
        </w:rPr>
        <w:t>Circuit and Working</w:t>
      </w:r>
    </w:p>
    <w:p w:rsidR="000331A5" w:rsidRPr="000331A5" w:rsidRDefault="000331A5" w:rsidP="000331A5">
      <w:pPr>
        <w:shd w:val="clear" w:color="auto" w:fill="FFFFFF"/>
        <w:spacing w:after="0" w:line="465" w:lineRule="atLeast"/>
        <w:outlineLvl w:val="2"/>
        <w:rPr>
          <w:rFonts w:ascii="Aparajita" w:eastAsia="Times New Roman" w:hAnsi="Aparajita" w:cs="Aparajita"/>
          <w:bCs/>
          <w:spacing w:val="5"/>
          <w:sz w:val="36"/>
          <w:szCs w:val="36"/>
        </w:rPr>
      </w:pPr>
    </w:p>
    <w:p w:rsidR="000331A5" w:rsidRDefault="00832117">
      <w:pPr>
        <w:rPr>
          <w:rFonts w:ascii="Typonine Sans Regular" w:hAnsi="Typonine Sans Regular" w:cs="Aparajita"/>
          <w:sz w:val="36"/>
          <w:szCs w:val="36"/>
        </w:rPr>
      </w:pPr>
      <w:r>
        <w:rPr>
          <w:rFonts w:ascii="Typonine Sans Regular" w:hAnsi="Typonine Sans Regular" w:cs="Aparajita"/>
          <w:noProof/>
          <w:sz w:val="36"/>
          <w:szCs w:val="36"/>
        </w:rPr>
        <w:drawing>
          <wp:inline distT="0" distB="0" distL="0" distR="0">
            <wp:extent cx="6858828" cy="4659464"/>
            <wp:effectExtent l="19050" t="0" r="0" b="0"/>
            <wp:docPr id="2" name="Picture 1" descr="color-sensor-tcs3200-arduino-hooku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lor-sensor-tcs3200-arduino-hookup.png"/>
                    <pic:cNvPicPr/>
                  </pic:nvPicPr>
                  <pic:blipFill>
                    <a:blip r:embed="rId7"/>
                    <a:srcRect t="7571"/>
                    <a:stretch>
                      <a:fillRect/>
                    </a:stretch>
                  </pic:blipFill>
                  <pic:spPr>
                    <a:xfrm>
                      <a:off x="0" y="0"/>
                      <a:ext cx="6858828" cy="4659464"/>
                    </a:xfrm>
                    <a:prstGeom prst="rect">
                      <a:avLst/>
                    </a:prstGeom>
                  </pic:spPr>
                </pic:pic>
              </a:graphicData>
            </a:graphic>
          </wp:inline>
        </w:drawing>
      </w:r>
    </w:p>
    <w:p w:rsidR="00591F6C" w:rsidRPr="00591F6C" w:rsidRDefault="00591F6C">
      <w:pPr>
        <w:rPr>
          <w:rFonts w:ascii="Typonine Sans Regular" w:hAnsi="Typonine Sans Regular" w:cs="Aparajita"/>
          <w:sz w:val="32"/>
          <w:szCs w:val="32"/>
        </w:rPr>
      </w:pPr>
      <w:r w:rsidRPr="00591F6C">
        <w:rPr>
          <w:rFonts w:ascii="Typonine Sans Regular" w:hAnsi="Typonine Sans Regular" w:cs="Aparajita"/>
          <w:sz w:val="32"/>
          <w:szCs w:val="32"/>
        </w:rPr>
        <w:t>PIN CONNECTIONS</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VCC         </w:t>
      </w:r>
      <w:r>
        <w:rPr>
          <w:rFonts w:ascii="Typonine Sans Regular" w:hAnsi="Typonine Sans Regular" w:cs="Aparajita"/>
        </w:rPr>
        <w:t>to</w:t>
      </w:r>
      <w:r w:rsidRPr="00832117">
        <w:rPr>
          <w:rFonts w:ascii="Typonine Sans Regular" w:hAnsi="Typonine Sans Regular" w:cs="Aparajita"/>
        </w:rPr>
        <w:t xml:space="preserve">      5V</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lastRenderedPageBreak/>
        <w:t xml:space="preserve"> GND          </w:t>
      </w:r>
      <w:r>
        <w:rPr>
          <w:rFonts w:ascii="Typonine Sans Regular" w:hAnsi="Typonine Sans Regular" w:cs="Aparajita"/>
        </w:rPr>
        <w:t>to</w:t>
      </w:r>
      <w:r w:rsidRPr="00832117">
        <w:rPr>
          <w:rFonts w:ascii="Typonine Sans Regular" w:hAnsi="Typonine Sans Regular" w:cs="Aparajita"/>
        </w:rPr>
        <w:t xml:space="preserve">     GND</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 s0             </w:t>
      </w:r>
      <w:r>
        <w:rPr>
          <w:rFonts w:ascii="Typonine Sans Regular" w:hAnsi="Typonine Sans Regular" w:cs="Aparajita"/>
        </w:rPr>
        <w:t>to</w:t>
      </w:r>
      <w:r w:rsidRPr="00832117">
        <w:rPr>
          <w:rFonts w:ascii="Typonine Sans Regular" w:hAnsi="Typonine Sans Regular" w:cs="Aparajita"/>
        </w:rPr>
        <w:t xml:space="preserve">   4</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 s1            </w:t>
      </w:r>
      <w:r>
        <w:rPr>
          <w:rFonts w:ascii="Typonine Sans Regular" w:hAnsi="Typonine Sans Regular" w:cs="Aparajita"/>
        </w:rPr>
        <w:t>to</w:t>
      </w:r>
      <w:r w:rsidRPr="00832117">
        <w:rPr>
          <w:rFonts w:ascii="Typonine Sans Regular" w:hAnsi="Typonine Sans Regular" w:cs="Aparajita"/>
        </w:rPr>
        <w:t xml:space="preserve">    5</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 s2          </w:t>
      </w:r>
      <w:r>
        <w:rPr>
          <w:rFonts w:ascii="Typonine Sans Regular" w:hAnsi="Typonine Sans Regular" w:cs="Aparajita"/>
        </w:rPr>
        <w:t>to</w:t>
      </w:r>
      <w:r w:rsidRPr="00832117">
        <w:rPr>
          <w:rFonts w:ascii="Typonine Sans Regular" w:hAnsi="Typonine Sans Regular" w:cs="Aparajita"/>
        </w:rPr>
        <w:t xml:space="preserve">      6</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 s3        </w:t>
      </w:r>
      <w:r>
        <w:rPr>
          <w:rFonts w:ascii="Typonine Sans Regular" w:hAnsi="Typonine Sans Regular" w:cs="Aparajita"/>
        </w:rPr>
        <w:t>to</w:t>
      </w:r>
      <w:r w:rsidRPr="00832117">
        <w:rPr>
          <w:rFonts w:ascii="Typonine Sans Regular" w:hAnsi="Typonine Sans Regular" w:cs="Aparajita"/>
        </w:rPr>
        <w:t xml:space="preserve">        7</w:t>
      </w:r>
    </w:p>
    <w:p w:rsidR="00832117" w:rsidRPr="00832117" w:rsidRDefault="00832117" w:rsidP="00832117">
      <w:pPr>
        <w:rPr>
          <w:rFonts w:ascii="Typonine Sans Regular" w:hAnsi="Typonine Sans Regular" w:cs="Aparajita"/>
        </w:rPr>
      </w:pPr>
      <w:r w:rsidRPr="00832117">
        <w:rPr>
          <w:rFonts w:ascii="Typonine Sans Regular" w:hAnsi="Typonine Sans Regular" w:cs="Aparajita"/>
        </w:rPr>
        <w:t xml:space="preserve"> OUT       </w:t>
      </w:r>
      <w:r>
        <w:rPr>
          <w:rFonts w:ascii="Typonine Sans Regular" w:hAnsi="Typonine Sans Regular" w:cs="Aparajita"/>
        </w:rPr>
        <w:t>to</w:t>
      </w:r>
      <w:r w:rsidRPr="00832117">
        <w:rPr>
          <w:rFonts w:ascii="Typonine Sans Regular" w:hAnsi="Typonine Sans Regular" w:cs="Aparajita"/>
        </w:rPr>
        <w:t xml:space="preserve">        8</w:t>
      </w:r>
    </w:p>
    <w:p w:rsidR="00832117" w:rsidRDefault="00832117" w:rsidP="00832117">
      <w:pPr>
        <w:rPr>
          <w:rFonts w:ascii="Typonine Sans Regular" w:hAnsi="Typonine Sans Regular" w:cs="Aparajita"/>
        </w:rPr>
      </w:pPr>
      <w:r w:rsidRPr="00832117">
        <w:rPr>
          <w:rFonts w:ascii="Typonine Sans Regular" w:hAnsi="Typonine Sans Regular" w:cs="Aparajita"/>
        </w:rPr>
        <w:t xml:space="preserve"> OE        </w:t>
      </w:r>
      <w:r>
        <w:rPr>
          <w:rFonts w:ascii="Typonine Sans Regular" w:hAnsi="Typonine Sans Regular" w:cs="Aparajita"/>
        </w:rPr>
        <w:t>to</w:t>
      </w:r>
      <w:r w:rsidRPr="00832117">
        <w:rPr>
          <w:rFonts w:ascii="Typonine Sans Regular" w:hAnsi="Typonine Sans Regular" w:cs="Aparajita"/>
        </w:rPr>
        <w:t xml:space="preserve">        GND</w:t>
      </w:r>
    </w:p>
    <w:p w:rsidR="00591F6C" w:rsidRDefault="00591F6C">
      <w:pPr>
        <w:rPr>
          <w:rFonts w:ascii="Typonine Sans Regular" w:hAnsi="Typonine Sans Regular" w:cs="Aparajita"/>
          <w:sz w:val="32"/>
          <w:szCs w:val="32"/>
        </w:rPr>
      </w:pPr>
      <w:r>
        <w:rPr>
          <w:rFonts w:ascii="Typonine Sans Regular" w:hAnsi="Typonine Sans Regular" w:cs="Aparajita"/>
          <w:sz w:val="32"/>
          <w:szCs w:val="32"/>
        </w:rPr>
        <w:t>WORKING</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t>TCS3200 module has eight pins as shown in Fig. 4. This module consists of programmable color light-to-frequency converters that combine configurable silicon photodiodes and current-to-frequency converter on a single monolithic CMOS integrated circuit. Output is square-wave (50 per cent duty cycle) with frequency directly proportional to light intensity (irradiance).</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drawing>
          <wp:inline distT="0" distB="0" distL="0" distR="0">
            <wp:extent cx="3331845" cy="1709420"/>
            <wp:effectExtent l="19050" t="0" r="1905" b="0"/>
            <wp:docPr id="34" name="Picture 34" descr="Pin diagram of the TCS3200 color sensor mod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Pin diagram of the TCS3200 color sensor module"/>
                    <pic:cNvPicPr>
                      <a:picLocks noChangeAspect="1" noChangeArrowheads="1"/>
                    </pic:cNvPicPr>
                  </pic:nvPicPr>
                  <pic:blipFill>
                    <a:blip r:embed="rId8"/>
                    <a:srcRect/>
                    <a:stretch>
                      <a:fillRect/>
                    </a:stretch>
                  </pic:blipFill>
                  <pic:spPr bwMode="auto">
                    <a:xfrm>
                      <a:off x="0" y="0"/>
                      <a:ext cx="3331845" cy="1709420"/>
                    </a:xfrm>
                    <a:prstGeom prst="rect">
                      <a:avLst/>
                    </a:prstGeom>
                    <a:noFill/>
                    <a:ln w="9525">
                      <a:noFill/>
                      <a:miter lim="800000"/>
                      <a:headEnd/>
                      <a:tailEnd/>
                    </a:ln>
                  </pic:spPr>
                </pic:pic>
              </a:graphicData>
            </a:graphic>
          </wp:inline>
        </w:drawing>
      </w:r>
      <w:r w:rsidRPr="00F9382A">
        <w:rPr>
          <w:rFonts w:ascii="Typonine Sans Regular" w:hAnsi="Typonine Sans Regular"/>
          <w:spacing w:val="4"/>
          <w:sz w:val="24"/>
          <w:szCs w:val="24"/>
          <w:shd w:val="clear" w:color="auto" w:fill="FFFFFF"/>
        </w:rPr>
        <w:t>Fig. 4: Pin diagram of the TCS3200 color sensor module</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t>Digital inputs and outputs allow direct interface to the MCU or other logic circuitry. Output enable (OE) places the output in high-impedance state for multiple units sharing an MCU input line. In TCS3200, the light-to-frequency converter reads an 8×8 array of photodiodes. Sixteen photodiodes have blue filters, another sixteen have green, yet another sixteen have red and remaining sixteen are clear with no filters.</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drawing>
          <wp:inline distT="0" distB="0" distL="0" distR="0">
            <wp:extent cx="4763135" cy="2059305"/>
            <wp:effectExtent l="19050" t="0" r="0" b="0"/>
            <wp:docPr id="35" name="Picture 35" descr="https://electronicsforu.com/wp-contents/uploads/2017/04/table-172-1-800x3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electronicsforu.com/wp-contents/uploads/2017/04/table-172-1-800x346.jpg"/>
                    <pic:cNvPicPr>
                      <a:picLocks noChangeAspect="1" noChangeArrowheads="1"/>
                    </pic:cNvPicPr>
                  </pic:nvPicPr>
                  <pic:blipFill>
                    <a:blip r:embed="rId9"/>
                    <a:srcRect/>
                    <a:stretch>
                      <a:fillRect/>
                    </a:stretch>
                  </pic:blipFill>
                  <pic:spPr bwMode="auto">
                    <a:xfrm>
                      <a:off x="0" y="0"/>
                      <a:ext cx="4763135" cy="2059305"/>
                    </a:xfrm>
                    <a:prstGeom prst="rect">
                      <a:avLst/>
                    </a:prstGeom>
                    <a:noFill/>
                    <a:ln w="9525">
                      <a:noFill/>
                      <a:miter lim="800000"/>
                      <a:headEnd/>
                      <a:tailEnd/>
                    </a:ln>
                  </pic:spPr>
                </pic:pic>
              </a:graphicData>
            </a:graphic>
          </wp:inline>
        </w:drawing>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lastRenderedPageBreak/>
        <w:t>All photodiodes of the same color are connected in parallel. Pins S2 and S3 of TCS3200 are used to select the group of photodiodes (red, green, blue and clear) that are active. The detailed pin description is shown in Tables I, II and III, respectively.</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drawing>
          <wp:inline distT="0" distB="0" distL="0" distR="0">
            <wp:extent cx="4763135" cy="3204210"/>
            <wp:effectExtent l="19050" t="0" r="0" b="0"/>
            <wp:docPr id="36" name="Picture 36" descr="https://electronicsforu.com/wp-contents/uploads/2017/04/table-2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electronicsforu.com/wp-contents/uploads/2017/04/table-272.jpg"/>
                    <pic:cNvPicPr>
                      <a:picLocks noChangeAspect="1" noChangeArrowheads="1"/>
                    </pic:cNvPicPr>
                  </pic:nvPicPr>
                  <pic:blipFill>
                    <a:blip r:embed="rId10"/>
                    <a:srcRect/>
                    <a:stretch>
                      <a:fillRect/>
                    </a:stretch>
                  </pic:blipFill>
                  <pic:spPr bwMode="auto">
                    <a:xfrm>
                      <a:off x="0" y="0"/>
                      <a:ext cx="4763135" cy="3204210"/>
                    </a:xfrm>
                    <a:prstGeom prst="rect">
                      <a:avLst/>
                    </a:prstGeom>
                    <a:noFill/>
                    <a:ln w="9525">
                      <a:noFill/>
                      <a:miter lim="800000"/>
                      <a:headEnd/>
                      <a:tailEnd/>
                    </a:ln>
                  </pic:spPr>
                </pic:pic>
              </a:graphicData>
            </a:graphic>
          </wp:inline>
        </w:drawing>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t>Each sensor array in these three arrays is selected separately, depending on the requirement. Hence, it is known as a programmable sensor.</w:t>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drawing>
          <wp:inline distT="0" distB="0" distL="0" distR="0">
            <wp:extent cx="4763135" cy="3204210"/>
            <wp:effectExtent l="19050" t="0" r="0" b="0"/>
            <wp:docPr id="37" name="Picture 37" descr="https://electronicsforu.com/wp-contents/uploads/2017/04/table-37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electronicsforu.com/wp-contents/uploads/2017/04/table-372.jpg"/>
                    <pic:cNvPicPr>
                      <a:picLocks noChangeAspect="1" noChangeArrowheads="1"/>
                    </pic:cNvPicPr>
                  </pic:nvPicPr>
                  <pic:blipFill>
                    <a:blip r:embed="rId11"/>
                    <a:srcRect/>
                    <a:stretch>
                      <a:fillRect/>
                    </a:stretch>
                  </pic:blipFill>
                  <pic:spPr bwMode="auto">
                    <a:xfrm>
                      <a:off x="0" y="0"/>
                      <a:ext cx="4763135" cy="3204210"/>
                    </a:xfrm>
                    <a:prstGeom prst="rect">
                      <a:avLst/>
                    </a:prstGeom>
                    <a:noFill/>
                    <a:ln w="9525">
                      <a:noFill/>
                      <a:miter lim="800000"/>
                      <a:headEnd/>
                      <a:tailEnd/>
                    </a:ln>
                  </pic:spPr>
                </pic:pic>
              </a:graphicData>
            </a:graphic>
          </wp:inline>
        </w:drawing>
      </w:r>
    </w:p>
    <w:p w:rsidR="00F9382A" w:rsidRPr="00F9382A" w:rsidRDefault="00F9382A" w:rsidP="00F9382A">
      <w:pPr>
        <w:tabs>
          <w:tab w:val="left" w:pos="1290"/>
        </w:tabs>
        <w:rPr>
          <w:rFonts w:ascii="Typonine Sans Regular" w:hAnsi="Typonine Sans Regular"/>
          <w:spacing w:val="4"/>
          <w:sz w:val="24"/>
          <w:szCs w:val="24"/>
          <w:shd w:val="clear" w:color="auto" w:fill="FFFFFF"/>
        </w:rPr>
      </w:pPr>
      <w:r w:rsidRPr="00F9382A">
        <w:rPr>
          <w:rFonts w:ascii="Typonine Sans Regular" w:hAnsi="Typonine Sans Regular"/>
          <w:spacing w:val="4"/>
          <w:sz w:val="24"/>
          <w:szCs w:val="24"/>
          <w:shd w:val="clear" w:color="auto" w:fill="FFFFFF"/>
        </w:rPr>
        <w:t>The module can be used to sense a particular color only. It contains filters for selection purpose. There is a fourth mode with no filter. With no filter, the sensor detects white light.</w:t>
      </w:r>
    </w:p>
    <w:p w:rsidR="00570365" w:rsidRDefault="00570365" w:rsidP="00591F6C">
      <w:pPr>
        <w:tabs>
          <w:tab w:val="left" w:pos="1290"/>
        </w:tabs>
        <w:rPr>
          <w:rFonts w:ascii="Typonine Sans Regular" w:hAnsi="Typonine Sans Regular"/>
          <w:spacing w:val="4"/>
          <w:sz w:val="24"/>
          <w:szCs w:val="24"/>
          <w:shd w:val="clear" w:color="auto" w:fill="FFFFFF"/>
        </w:rPr>
      </w:pPr>
    </w:p>
    <w:p w:rsidR="006535E3" w:rsidRDefault="006535E3" w:rsidP="00591F6C">
      <w:pPr>
        <w:tabs>
          <w:tab w:val="left" w:pos="1290"/>
        </w:tabs>
        <w:rPr>
          <w:rFonts w:ascii="Typonine Sans Regular" w:hAnsi="Typonine Sans Regular"/>
          <w:spacing w:val="4"/>
          <w:sz w:val="32"/>
          <w:szCs w:val="32"/>
          <w:shd w:val="clear" w:color="auto" w:fill="FFFFFF"/>
        </w:rPr>
      </w:pPr>
      <w:r w:rsidRPr="006535E3">
        <w:rPr>
          <w:rFonts w:ascii="Typonine Sans Regular" w:hAnsi="Typonine Sans Regular"/>
          <w:spacing w:val="4"/>
          <w:sz w:val="32"/>
          <w:szCs w:val="32"/>
          <w:shd w:val="clear" w:color="auto" w:fill="FFFFFF"/>
        </w:rPr>
        <w:lastRenderedPageBreak/>
        <w:t>CODE</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const int s0 = 4;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const int s1 = 5;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const int s2 = 6;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const int s3 = 7;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const int out = 8;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LED pins connected to Arduino</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int redLed = 2;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int greenLed = 3;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int blueLed = 4;</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Variables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int red = 0;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int green = 0;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int blue = 0;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void setup()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Serial.begin(9600);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pinMode(s0,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pinMode(s1,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pinMode(s2,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pinMode(s3,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pinMode(out, INPUT);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pinMode(redLed,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pinMode(greenLed,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pinMode(blueLed, OUTPUT);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digitalWrite(s0,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lastRenderedPageBreak/>
        <w:t xml:space="preserve">  digitalWrite(s1,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void loop()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color();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Serial.print("R Intensity:");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Serial.print(red, DEC);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 G Intensity: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Serial.print(green, DEC);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 B Intensity :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Serial.print(blue, DEC);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//Serial.println();  </w:t>
      </w:r>
    </w:p>
    <w:p w:rsidR="00F9382A" w:rsidRPr="00F9382A" w:rsidRDefault="00F9382A" w:rsidP="00F9382A">
      <w:pPr>
        <w:tabs>
          <w:tab w:val="left" w:pos="1290"/>
        </w:tabs>
        <w:rPr>
          <w:rFonts w:ascii="Typonine Sans Regular" w:hAnsi="Typonine Sans Regular" w:cs="Aparajita"/>
          <w:sz w:val="24"/>
          <w:szCs w:val="24"/>
        </w:rPr>
      </w:pP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if (red &lt; blue &amp;&amp; red &lt; green &amp;&amp; red &lt; 20)</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Serial.println(" - (Red Color)");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digitalWrite(redLed, HIGH); // Turn RED LED ON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digitalWrite(greenLed,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digitalWrite(blueLed,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else if (blue &lt; red &amp;&amp; blue &lt; green)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Serial.println(" - (Blue Color)");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digitalWrite(redLed,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digitalWrite(greenLed,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lastRenderedPageBreak/>
        <w:t xml:space="preserve">   digitalWrite(blueLed, HIGH); // Turn BLUE LED ON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else if (green &lt; red &amp;&amp; green &lt; blue)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Serial.println(" - (Green Color)");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digitalWrite(redLed,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digitalWrite(greenLed, HIGH); // Turn GREEN LED ON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digitalWrite(blueLed,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else{</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Serial.println();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delay(300);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digitalWrite(redLed,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digitalWrite(greenLed,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digitalWrite(blueLed,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void color()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digitalWrite(s2,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digitalWrite(s3, LOW);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//count OUT, pRed, RED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red = pulseIn(out, digitalRead(out) == HIGH ? LOW :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digitalWrite(s3,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//count OUT, pBLUE, BLUE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lastRenderedPageBreak/>
        <w:t xml:space="preserve">  blue = pulseIn(out, digitalRead(out) == HIGH ? LOW :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digitalWrite(s2, HIGH);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//count OUT, pGreen, GREEN  </w:t>
      </w:r>
    </w:p>
    <w:p w:rsidR="00F9382A" w:rsidRPr="00F9382A"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 xml:space="preserve">  green = pulseIn(out, digitalRead(out) == HIGH ? LOW : HIGH);  </w:t>
      </w:r>
    </w:p>
    <w:p w:rsidR="00591F6C" w:rsidRDefault="00F9382A" w:rsidP="00F9382A">
      <w:pPr>
        <w:tabs>
          <w:tab w:val="left" w:pos="1290"/>
        </w:tabs>
        <w:rPr>
          <w:rFonts w:ascii="Typonine Sans Regular" w:hAnsi="Typonine Sans Regular" w:cs="Aparajita"/>
          <w:sz w:val="24"/>
          <w:szCs w:val="24"/>
        </w:rPr>
      </w:pPr>
      <w:r w:rsidRPr="00F9382A">
        <w:rPr>
          <w:rFonts w:ascii="Typonine Sans Regular" w:hAnsi="Typonine Sans Regular" w:cs="Aparajita"/>
          <w:sz w:val="24"/>
          <w:szCs w:val="24"/>
        </w:rPr>
        <w:t>}</w:t>
      </w:r>
    </w:p>
    <w:p w:rsidR="00F9382A" w:rsidRPr="00591F6C" w:rsidRDefault="00F9382A" w:rsidP="00F9382A">
      <w:pPr>
        <w:tabs>
          <w:tab w:val="left" w:pos="1290"/>
        </w:tabs>
        <w:rPr>
          <w:rFonts w:ascii="Typonine Sans Regular" w:hAnsi="Typonine Sans Regular" w:cs="Aparajita"/>
          <w:sz w:val="24"/>
          <w:szCs w:val="24"/>
        </w:rPr>
      </w:pPr>
      <w:r>
        <w:rPr>
          <w:rFonts w:ascii="Typonine Sans Regular" w:hAnsi="Typonine Sans Regular" w:cs="Aparajita"/>
          <w:noProof/>
          <w:sz w:val="24"/>
          <w:szCs w:val="24"/>
        </w:rPr>
        <w:drawing>
          <wp:inline distT="0" distB="0" distL="0" distR="0">
            <wp:extent cx="6858000" cy="5143500"/>
            <wp:effectExtent l="19050" t="0" r="0" b="0"/>
            <wp:docPr id="5" name="Picture 4" descr="WhatsApp Image 2019-07-05 at 1.55.47 PM.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hatsApp Image 2019-07-05 at 1.55.47 PM.jpeg"/>
                    <pic:cNvPicPr/>
                  </pic:nvPicPr>
                  <pic:blipFill>
                    <a:blip r:embed="rId12"/>
                    <a:stretch>
                      <a:fillRect/>
                    </a:stretch>
                  </pic:blipFill>
                  <pic:spPr>
                    <a:xfrm>
                      <a:off x="0" y="0"/>
                      <a:ext cx="6858000" cy="5143500"/>
                    </a:xfrm>
                    <a:prstGeom prst="rect">
                      <a:avLst/>
                    </a:prstGeom>
                  </pic:spPr>
                </pic:pic>
              </a:graphicData>
            </a:graphic>
          </wp:inline>
        </w:drawing>
      </w:r>
    </w:p>
    <w:sectPr w:rsidR="00F9382A" w:rsidRPr="00591F6C" w:rsidSect="008321AA">
      <w:headerReference w:type="even" r:id="rId13"/>
      <w:headerReference w:type="default" r:id="rId14"/>
      <w:footerReference w:type="even" r:id="rId15"/>
      <w:footerReference w:type="default" r:id="rId16"/>
      <w:headerReference w:type="first" r:id="rId17"/>
      <w:footerReference w:type="first" r:id="rId18"/>
      <w:pgSz w:w="12240" w:h="15840"/>
      <w:pgMar w:top="720" w:right="720" w:bottom="720" w:left="72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C932B8" w:rsidRDefault="00C932B8" w:rsidP="008321AA">
      <w:pPr>
        <w:spacing w:after="0" w:line="240" w:lineRule="auto"/>
      </w:pPr>
      <w:r>
        <w:separator/>
      </w:r>
    </w:p>
  </w:endnote>
  <w:endnote w:type="continuationSeparator" w:id="1">
    <w:p w:rsidR="00C932B8" w:rsidRDefault="00C932B8" w:rsidP="008321AA">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Times New Roman">
    <w:panose1 w:val="02020603050405020304"/>
    <w:charset w:val="00"/>
    <w:family w:val="roman"/>
    <w:pitch w:val="variable"/>
    <w:sig w:usb0="E0002AFF" w:usb1="C0007841"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Aparajita">
    <w:panose1 w:val="020B0604020202020204"/>
    <w:charset w:val="00"/>
    <w:family w:val="swiss"/>
    <w:pitch w:val="variable"/>
    <w:sig w:usb0="00008003" w:usb1="00000000" w:usb2="00000000" w:usb3="00000000" w:csb0="00000001" w:csb1="00000000"/>
  </w:font>
  <w:font w:name="Typonine Sans Regular">
    <w:altName w:val="Times New Roman"/>
    <w:panose1 w:val="00000000000000000000"/>
    <w:charset w:val="00"/>
    <w:family w:val="roman"/>
    <w:notTrueType/>
    <w:pitch w:val="default"/>
    <w:sig w:usb0="00000000" w:usb1="00000000" w:usb2="00000000" w:usb3="00000000" w:csb0="00000000"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Footer"/>
    </w:pP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C932B8" w:rsidRDefault="00C932B8" w:rsidP="008321AA">
      <w:pPr>
        <w:spacing w:after="0" w:line="240" w:lineRule="auto"/>
      </w:pPr>
      <w:r>
        <w:separator/>
      </w:r>
    </w:p>
  </w:footnote>
  <w:footnote w:type="continuationSeparator" w:id="1">
    <w:p w:rsidR="00C932B8" w:rsidRDefault="00C932B8" w:rsidP="008321AA">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Header"/>
    </w:pP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Heade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321AA" w:rsidRDefault="008321AA">
    <w:pPr>
      <w:pStyle w:val="Header"/>
    </w:pPr>
  </w:p>
</w:hdr>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footnotePr>
    <w:footnote w:id="0"/>
    <w:footnote w:id="1"/>
  </w:footnotePr>
  <w:endnotePr>
    <w:endnote w:id="0"/>
    <w:endnote w:id="1"/>
  </w:endnotePr>
  <w:compat/>
  <w:rsids>
    <w:rsidRoot w:val="008321AA"/>
    <w:rsid w:val="000331A5"/>
    <w:rsid w:val="00464A8E"/>
    <w:rsid w:val="0054213B"/>
    <w:rsid w:val="00547987"/>
    <w:rsid w:val="00570365"/>
    <w:rsid w:val="00591F6C"/>
    <w:rsid w:val="006535E3"/>
    <w:rsid w:val="006D3849"/>
    <w:rsid w:val="006E2132"/>
    <w:rsid w:val="00832117"/>
    <w:rsid w:val="008321AA"/>
    <w:rsid w:val="00C054B0"/>
    <w:rsid w:val="00C932B8"/>
    <w:rsid w:val="00CB044A"/>
    <w:rsid w:val="00F9382A"/>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6E2132"/>
  </w:style>
  <w:style w:type="paragraph" w:styleId="Heading3">
    <w:name w:val="heading 3"/>
    <w:basedOn w:val="Normal"/>
    <w:link w:val="Heading3Char"/>
    <w:uiPriority w:val="9"/>
    <w:qFormat/>
    <w:rsid w:val="000331A5"/>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noteText">
    <w:name w:val="footnote text"/>
    <w:basedOn w:val="Normal"/>
    <w:link w:val="FootnoteTextChar"/>
    <w:uiPriority w:val="99"/>
    <w:semiHidden/>
    <w:unhideWhenUsed/>
    <w:rsid w:val="008321AA"/>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8321AA"/>
    <w:rPr>
      <w:sz w:val="20"/>
      <w:szCs w:val="20"/>
    </w:rPr>
  </w:style>
  <w:style w:type="character" w:styleId="FootnoteReference">
    <w:name w:val="footnote reference"/>
    <w:basedOn w:val="DefaultParagraphFont"/>
    <w:uiPriority w:val="99"/>
    <w:semiHidden/>
    <w:unhideWhenUsed/>
    <w:rsid w:val="008321AA"/>
    <w:rPr>
      <w:vertAlign w:val="superscript"/>
    </w:rPr>
  </w:style>
  <w:style w:type="paragraph" w:styleId="Header">
    <w:name w:val="header"/>
    <w:basedOn w:val="Normal"/>
    <w:link w:val="HeaderChar"/>
    <w:uiPriority w:val="99"/>
    <w:semiHidden/>
    <w:unhideWhenUsed/>
    <w:rsid w:val="008321AA"/>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8321AA"/>
  </w:style>
  <w:style w:type="paragraph" w:styleId="Footer">
    <w:name w:val="footer"/>
    <w:basedOn w:val="Normal"/>
    <w:link w:val="FooterChar"/>
    <w:uiPriority w:val="99"/>
    <w:semiHidden/>
    <w:unhideWhenUsed/>
    <w:rsid w:val="008321AA"/>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8321AA"/>
  </w:style>
  <w:style w:type="paragraph" w:styleId="NormalWeb">
    <w:name w:val="Normal (Web)"/>
    <w:basedOn w:val="Normal"/>
    <w:uiPriority w:val="99"/>
    <w:semiHidden/>
    <w:unhideWhenUsed/>
    <w:rsid w:val="000331A5"/>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3Char">
    <w:name w:val="Heading 3 Char"/>
    <w:basedOn w:val="DefaultParagraphFont"/>
    <w:link w:val="Heading3"/>
    <w:uiPriority w:val="9"/>
    <w:rsid w:val="000331A5"/>
    <w:rPr>
      <w:rFonts w:ascii="Times New Roman" w:eastAsia="Times New Roman" w:hAnsi="Times New Roman" w:cs="Times New Roman"/>
      <w:b/>
      <w:bCs/>
      <w:sz w:val="27"/>
      <w:szCs w:val="27"/>
    </w:rPr>
  </w:style>
  <w:style w:type="paragraph" w:styleId="BalloonText">
    <w:name w:val="Balloon Text"/>
    <w:basedOn w:val="Normal"/>
    <w:link w:val="BalloonTextChar"/>
    <w:uiPriority w:val="99"/>
    <w:semiHidden/>
    <w:unhideWhenUsed/>
    <w:rsid w:val="00591F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91F6C"/>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108621434">
      <w:bodyDiv w:val="1"/>
      <w:marLeft w:val="0"/>
      <w:marRight w:val="0"/>
      <w:marTop w:val="0"/>
      <w:marBottom w:val="0"/>
      <w:divBdr>
        <w:top w:val="none" w:sz="0" w:space="0" w:color="auto"/>
        <w:left w:val="none" w:sz="0" w:space="0" w:color="auto"/>
        <w:bottom w:val="none" w:sz="0" w:space="0" w:color="auto"/>
        <w:right w:val="none" w:sz="0" w:space="0" w:color="auto"/>
      </w:divBdr>
    </w:div>
    <w:div w:id="195429516">
      <w:bodyDiv w:val="1"/>
      <w:marLeft w:val="0"/>
      <w:marRight w:val="0"/>
      <w:marTop w:val="0"/>
      <w:marBottom w:val="0"/>
      <w:divBdr>
        <w:top w:val="none" w:sz="0" w:space="0" w:color="auto"/>
        <w:left w:val="none" w:sz="0" w:space="0" w:color="auto"/>
        <w:bottom w:val="none" w:sz="0" w:space="0" w:color="auto"/>
        <w:right w:val="none" w:sz="0" w:space="0" w:color="auto"/>
      </w:divBdr>
    </w:div>
    <w:div w:id="388505001">
      <w:bodyDiv w:val="1"/>
      <w:marLeft w:val="0"/>
      <w:marRight w:val="0"/>
      <w:marTop w:val="0"/>
      <w:marBottom w:val="0"/>
      <w:divBdr>
        <w:top w:val="none" w:sz="0" w:space="0" w:color="auto"/>
        <w:left w:val="none" w:sz="0" w:space="0" w:color="auto"/>
        <w:bottom w:val="none" w:sz="0" w:space="0" w:color="auto"/>
        <w:right w:val="none" w:sz="0" w:space="0" w:color="auto"/>
      </w:divBdr>
    </w:div>
    <w:div w:id="520322926">
      <w:bodyDiv w:val="1"/>
      <w:marLeft w:val="0"/>
      <w:marRight w:val="0"/>
      <w:marTop w:val="0"/>
      <w:marBottom w:val="0"/>
      <w:divBdr>
        <w:top w:val="none" w:sz="0" w:space="0" w:color="auto"/>
        <w:left w:val="none" w:sz="0" w:space="0" w:color="auto"/>
        <w:bottom w:val="none" w:sz="0" w:space="0" w:color="auto"/>
        <w:right w:val="none" w:sz="0" w:space="0" w:color="auto"/>
      </w:divBdr>
    </w:div>
    <w:div w:id="998922016">
      <w:bodyDiv w:val="1"/>
      <w:marLeft w:val="0"/>
      <w:marRight w:val="0"/>
      <w:marTop w:val="0"/>
      <w:marBottom w:val="0"/>
      <w:divBdr>
        <w:top w:val="none" w:sz="0" w:space="0" w:color="auto"/>
        <w:left w:val="none" w:sz="0" w:space="0" w:color="auto"/>
        <w:bottom w:val="none" w:sz="0" w:space="0" w:color="auto"/>
        <w:right w:val="none" w:sz="0" w:space="0" w:color="auto"/>
      </w:divBdr>
    </w:div>
    <w:div w:id="1514415909">
      <w:bodyDiv w:val="1"/>
      <w:marLeft w:val="0"/>
      <w:marRight w:val="0"/>
      <w:marTop w:val="0"/>
      <w:marBottom w:val="0"/>
      <w:divBdr>
        <w:top w:val="none" w:sz="0" w:space="0" w:color="auto"/>
        <w:left w:val="none" w:sz="0" w:space="0" w:color="auto"/>
        <w:bottom w:val="none" w:sz="0" w:space="0" w:color="auto"/>
        <w:right w:val="none" w:sz="0" w:space="0" w:color="auto"/>
      </w:divBdr>
    </w:div>
    <w:div w:id="1523124814">
      <w:bodyDiv w:val="1"/>
      <w:marLeft w:val="0"/>
      <w:marRight w:val="0"/>
      <w:marTop w:val="0"/>
      <w:marBottom w:val="0"/>
      <w:divBdr>
        <w:top w:val="none" w:sz="0" w:space="0" w:color="auto"/>
        <w:left w:val="none" w:sz="0" w:space="0" w:color="auto"/>
        <w:bottom w:val="none" w:sz="0" w:space="0" w:color="auto"/>
        <w:right w:val="none" w:sz="0" w:space="0" w:color="auto"/>
      </w:divBdr>
    </w:div>
    <w:div w:id="1605452787">
      <w:bodyDiv w:val="1"/>
      <w:marLeft w:val="0"/>
      <w:marRight w:val="0"/>
      <w:marTop w:val="0"/>
      <w:marBottom w:val="0"/>
      <w:divBdr>
        <w:top w:val="none" w:sz="0" w:space="0" w:color="auto"/>
        <w:left w:val="none" w:sz="0" w:space="0" w:color="auto"/>
        <w:bottom w:val="none" w:sz="0" w:space="0" w:color="auto"/>
        <w:right w:val="none" w:sz="0" w:space="0" w:color="auto"/>
      </w:divBdr>
    </w:div>
    <w:div w:id="1644188333">
      <w:bodyDiv w:val="1"/>
      <w:marLeft w:val="0"/>
      <w:marRight w:val="0"/>
      <w:marTop w:val="0"/>
      <w:marBottom w:val="0"/>
      <w:divBdr>
        <w:top w:val="none" w:sz="0" w:space="0" w:color="auto"/>
        <w:left w:val="none" w:sz="0" w:space="0" w:color="auto"/>
        <w:bottom w:val="none" w:sz="0" w:space="0" w:color="auto"/>
        <w:right w:val="none" w:sz="0" w:space="0" w:color="auto"/>
      </w:divBdr>
    </w:div>
    <w:div w:id="200816402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header" Target="header1.xml"/><Relationship Id="rId18" Type="http://schemas.openxmlformats.org/officeDocument/2006/relationships/footer" Target="footer3.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jpeg"/><Relationship Id="rId17" Type="http://schemas.openxmlformats.org/officeDocument/2006/relationships/header" Target="header3.xml"/><Relationship Id="rId2" Type="http://schemas.openxmlformats.org/officeDocument/2006/relationships/styles" Target="styles.xml"/><Relationship Id="rId16" Type="http://schemas.openxmlformats.org/officeDocument/2006/relationships/footer" Target="footer2.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jpe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0567BD60-F2AB-4707-A2EE-B9C1352860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7</Pages>
  <Words>622</Words>
  <Characters>3546</Characters>
  <Application>Microsoft Office Word</Application>
  <DocSecurity>0</DocSecurity>
  <Lines>29</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4160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abc</dc:creator>
  <cp:lastModifiedBy>abc</cp:lastModifiedBy>
  <cp:revision>2</cp:revision>
  <dcterms:created xsi:type="dcterms:W3CDTF">2019-07-05T08:40:00Z</dcterms:created>
  <dcterms:modified xsi:type="dcterms:W3CDTF">2019-07-05T08:40:00Z</dcterms:modified>
</cp:coreProperties>
</file>