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Vyaya Expense Tracker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Frontend State Management Decision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Frontend architecture</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Repository architecture review</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Unassigned</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FRONTEND.md; AGENTS.md; packages/shared schemas</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 ownership and data-flow design for the Vyaya Next.js frontend.</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Vyaya should keep server data, URL state, ephemeral UI state, and durable offline work separate as the expense tracker grows. The current Next.js shell is a sound starting point, but it has no feature-owned data layer yet. This design keeps server components as the first read path, introduces a typed API boundary and, only when client-side cache is needed, Redux Toolkit with RTK Query. This avoids adopting Redux, TanStack Query, and Zustand together.</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covers authenticated web flows backed by the existing Nest REST API. It does not add a global client store today, offline list synchronization, or a new backend state service. Money remains integer paise; ledger writes remain API-owned, transactional, and idempotent.</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owner per state class: URL, server/RSC, RTK Query, local form/UI, or offline outbox.</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client-side ledger source of truth or three-library state stack.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first reads server-rendered; add RTK Query only to client interactions that need caching/refetching.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offline synchronization for transaction lists or balances.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mutations idempotent, observable, and RTK-tag invalidation-complete.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server actions for business writes.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Permit Redux slices only for globally shared, mutable client workflows that cannot be URL/local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Zustand by default; no dependency without a demonstrated need.</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Today, apps/web has App Router route groups, server session access, Better Auth, shared UI primitives, and placeholder ledger routes. It has no generated business API client, query-cache provider, feature data hooks, or ownership rules for filters, mutations, and invalidation. Adding endpoint calls directly to pages would couple rendering to transport details and make future transactions, transfers, assets, and reports hard to evolve.</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frontend boundary is: routes compose features; features own domain queries and mutations; the API client owns transport and problem parsing; shared schemas own data shapes. The guiding invariant is one authoritative owner for each state class: URL for shareable filters, server/query cache for remote data, component state for ephemera, form state for drafts, RTK Query for client-cached API data, and IndexedDB only for explicitly offline-capable writes.</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Server-first reads with an optional Redux Toolkit + RTK Query client boundary.</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 routes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Compose layouts and feature public APIs; server-render first reads.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 params + searchParams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an error boundary; never fabricate business data.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Feature slice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Owns a domain's server loader, RTK endpoints, components, and tag rules.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RTK tags + local UI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Falls back to feature error/empty states; no cross-feature deep imports.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API adapters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Forward session/request ID, parse zod responses, map problem+json errors.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 only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 closed with typed network/auth/domain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Redux Toolkit + RTK Query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Caches client API data; Redux slices exist only for proven shared mutable workflows.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In-memory Redux 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Rollback optimistic rows; invalidate tags and refetch after uncertainty.</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Offline outbox (Phase 5)</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Stores only quick-add payload plus idempotency key; drains foreground-first.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IndexedDB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Keeps entries on 401/422; reports repair state, never silently drops money.</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route receives params and searchParams. It renders the first authenticated read on the server through the typed server API adapter.</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Better Auth session verification remains at the API. The proxy performs only the cookie-presence redirect; zod parses API data at the frontend boundary.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feature loader derives filters from the URL and creates a canonical query key. It does not read business state from a global store.</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server returns the first read. A client feature uses RTK Query only for interactive pagination, refetching, or mutation coordination; it does not duplicate server-rendered data by default.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mutation creates an idempotency UUID when its form mounts, validates with the shared schema, and sends the request through the typed client.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RTK Query invalidation is feature-owned through tags: transaction writes invalidate affected transaction lists, account balances, and rollups. Retries are visible policy, not hidden behavior.</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UI resolves optimistic state or rolls it back. Request IDs, problem types, and scrubbed breadcrumbs support diagnosis; no ledger payload is sent to client telemetry.</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URL filters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search params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Shareable account, category, date, text, cursor, and page-size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RTK endpoint + tags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endpoint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Feature-local cache identity and invalidation derived from validated filters.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response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zod 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Parsed remote data; RTK Query cache is a view, not source of truth.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Mutation input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zod 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Form values; amountMinor stays positive integer paise.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Idempotency 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 header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Writes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Generated on form mount; reused until confirmed success.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Form draft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react-hook-form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Ephemeral input state; never used as a ledger record.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Offline entry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IndexedDB record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Quick add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Future scope: payload, key, createdAt, attempts, last error.</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remote response is parsed at the client boundary; zod schemas in packages/shared are the single contract source.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Query keys are deterministic and include only canonical filters. Mutation idempotency keys are generated once per form mount and reused for retries.</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URL filters, query key, request ID, and idempotency key are retained only for their operational purpose; ledger values remain in the API audit trail.</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RTK Query is a cached view of API data, never the ledger source of truth. Redux slices are permitted only for durable, cross-feature mutable client workflows; component and form state stay local.</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contract source is</w:t>
      </w:r>
      <w:r>
        <w:rPr>
          <w:rtl w:val="0"/>
        </w:rPr>
      </w:r>
    </w:p>
    <w:p w14:paraId="0000008E">
      <w:pPr>
        <w:spacing w:after="110" w:line="300" w:lineRule="auto"/>
        <w:rPr>
          <w:rFonts w:ascii="Helvetica Neue" w:cs="Helvetica Neue" w:eastAsia="Helvetica Neue" w:hAnsi="Helvetica Neue"/>
        </w:rPr>
      </w:pPr>
      <w:r>
        <w:t>Research basis (16 Jul 2026): Next.js App Router docs; Redux Toolkit Next.js guide; RTK Query overview; Zustand Next.js guide; TanStack Query SSR guide. Sources: nextjs.org/docs/app, redux-toolkit.js.org/usage/nextjs, zustand.docs.pmnd.rs/learn/guides/nextjs, tanstack.com/query/latest/docs/framework/react/guides/ssr.</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Reads may be stale for the configured query-cache window; writes are never inferred locally as ledger truth. A successful mutation returns the API result and invalidates dependent keys. An optimistic row is explicitly marked pending and rolls back on error. Duplicate submissions reuse the same idempotency key, so the API returns the original result without another effect.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Double submit / replay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idempotency key; API returns original result; RTK invalidates the same tags.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monetary effect; UI converges on API result.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Rollback optimistic RTK cache; retain form and show typed error.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client cache entry is treated as posted.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Timeout / offline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retry blindly in fetch; reuse the same key on explicit retry. Future quick-add queues only offline capture.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duplicate effects while preserving a repair path.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Filter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URL changes derive RTK endpoint arguments; in-flight old result cannot overwrite the current 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 remains explainable and back-button safe.</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Session identity comes from Better Auth only. Routes do not accept userId in client payloads; the API scopes every repository query by the authenticated user.</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Query cache and browser diagnostics contain no raw ledger contents beyond what is required to render. Sentry scrubbers remove amountMinor, descriptions, passwords, and form-like payloads.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Browser code uses relative /api paths. Internal API URLs and observability DSNs come from validated deployment configuration, not client code literals.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Server Actions remain limited to Next-local concerns such as the theme cookie. Business mutations use the Nest API, shared schema validation, and idempotency headers.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frontend does not own deletion or audit retention. Offline queue entries, when introduced, must survive logout without storing credentials and must surface invalid entries for repair.</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Transaction mutation success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duplicate money effect; investigate unexpected rollback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 + API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First read / query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Measure by route and connection type before setting an alert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Network / mutation error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Breadcrumb + typed error; no console-only diagnosis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Contract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Generated client/schema diff blocks adoption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Frontend + API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Balance / offline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invariants pass; queued quick-adds resolve or remain visible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 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ship state infrastructure behind feature adoption; each mutation needs idempotency, invalidation, unit coverage, and browser coverage before use.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TanStack Query + Zustand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Remote cache plus UI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second client boundary.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Redux Toolkit + RTK Query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Typed store, tags, DevTools.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only after need proof.</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Zustand alone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Small hooks-first store.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SSR overhead; little added value.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client cache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Lowest dependency surface.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Current baseline.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Phase 1 interaction proves the RTK Query need?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Does future reconciliation need Redux DevTools auditability?</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Can M2 be measured without adding a client state library?</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Who approves the written adoption record?</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Remain server-first and URL-first. If interactive client caching is proven necessary, use Redux Toolkit + RTK Query alone; Redux slices need written justification.</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adapter and URL filters.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Adapter tests; no client store.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Prove cache need in transactions.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Written record; one-effect 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RTK base API and endpoints.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Tags/hydration tests; no extra store.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Quick-add outbox.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resolution or repair path.</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Vyaya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