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Calibri" w:cs="Calibri" w:eastAsia="Calibri" w:hAnsi="Calibri"/>
          <w:b/>
          <w:bCs/>
          <w:color w:val="1F3A5F"/>
          <w:sz w:val="56"/>
          <w:szCs w:val="56"/>
        </w:rPr>
        <w:t xml:space="preserve">Library Management Application</w:t>
      </w:r>
    </w:p>
    <w:p>
      <w:pPr>
        <w:spacing w:after="80" w:before="120"/>
        <w:jc w:val="center"/>
      </w:pPr>
      <w:r>
        <w:rPr>
          <w:rFonts w:ascii="Calibri" w:cs="Calibri" w:eastAsia="Calibri" w:hAnsi="Calibri"/>
          <w:color w:val="555555"/>
          <w:sz w:val="28"/>
          <w:szCs w:val="28"/>
        </w:rPr>
        <w:t xml:space="preserve">Lucknow Public Library Network</w:t>
      </w:r>
    </w:p>
    <w:p>
      <w:pPr>
        <w:spacing w:after="600"/>
        <w:jc w:val="center"/>
      </w:pPr>
      <w:r>
        <w:rPr>
          <w:rFonts w:ascii="Calibri" w:cs="Calibri" w:eastAsia="Calibri" w:hAnsi="Calibri"/>
          <w:color w:val="555555"/>
          <w:sz w:val="24"/>
          <w:szCs w:val="24"/>
        </w:rPr>
        <w:t xml:space="preserve">A transactional lending, reservation and fines system built in Python with SQLite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Language / DB</w:t>
            </w:r>
          </w:p>
        </w:tc>
        <w:tc>
          <w:tcPr>
            <w:tcW w:type="dxa" w:w="70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Python 3.12, SQLite (relational, migration-managed)</w:t>
            </w:r>
          </w:p>
        </w:tc>
      </w:tr>
      <w:tr>
        <w:trPr>
          <w:cantSplit/>
          <w:tblHeader w:val="false"/>
        </w:trPr>
        <w:tc>
          <w:tcPr>
            <w:tcW w:type="dxa" w:w="26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Architecture</w:t>
            </w:r>
          </w:p>
        </w:tc>
        <w:tc>
          <w:tcPr>
            <w:tcW w:type="dxa" w:w="70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Domain model, repository layer, service layer, CLI</w:t>
            </w:r>
          </w:p>
        </w:tc>
      </w:tr>
      <w:tr>
        <w:trPr>
          <w:cantSplit/>
          <w:tblHeader w:val="false"/>
        </w:trPr>
        <w:tc>
          <w:tcPr>
            <w:tcW w:type="dxa" w:w="26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Patterns used</w:t>
            </w:r>
          </w:p>
        </w:tc>
        <w:tc>
          <w:tcPr>
            <w:tcW w:type="dxa" w:w="70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Repository, Unit of Work, Strategy, Factory</w:t>
            </w:r>
          </w:p>
        </w:tc>
      </w:tr>
      <w:tr>
        <w:trPr>
          <w:cantSplit/>
          <w:tblHeader w:val="false"/>
        </w:trPr>
        <w:tc>
          <w:tcPr>
            <w:tcW w:type="dxa" w:w="26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Tests</w:t>
            </w:r>
          </w:p>
        </w:tc>
        <w:tc>
          <w:tcPr>
            <w:tcW w:type="dxa" w:w="70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64 unit and integration tests, all passing</w:t>
            </w:r>
          </w:p>
        </w:tc>
      </w:tr>
      <w:tr>
        <w:trPr>
          <w:cantSplit/>
          <w:tblHeader w:val="false"/>
        </w:trPr>
        <w:tc>
          <w:tcPr>
            <w:tcW w:type="dxa" w:w="26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Sample data</w:t>
            </w:r>
          </w:p>
        </w:tc>
        <w:tc>
          <w:tcPr>
            <w:tcW w:type="dxa" w:w="70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2,000 books, 4,744 copies, 500 members, 7,079 loan-history rows</w:t>
            </w:r>
          </w:p>
        </w:tc>
      </w:tr>
    </w:tbl>
    <w:p>
      <w:r>
        <w:br w:type="page"/>
      </w:r>
    </w:p>
    <w:p>
      <w:pPr>
        <w:pStyle w:val="Heading1"/>
        <w:spacing w:after="140" w:before="280"/>
      </w:pPr>
      <w:r>
        <w:rPr>
          <w:rFonts w:ascii="Calibri" w:cs="Calibri" w:eastAsia="Calibri" w:hAnsi="Calibri"/>
          <w:b/>
          <w:bCs/>
          <w:color w:val="1F3A5F"/>
          <w:sz w:val="32"/>
          <w:szCs w:val="32"/>
        </w:rPr>
        <w:t xml:space="preserve">1. What I set out to build</w:t>
      </w:r>
    </w:p>
    <w:p>
      <w:pPr>
        <w:spacing w:after="140" w:line="300"/>
      </w:pPr>
      <w:r>
        <w:rPr>
          <w:rFonts w:ascii="Calibri" w:cs="Calibri" w:eastAsia="Calibri" w:hAnsi="Calibri"/>
          <w:sz w:val="22"/>
          <w:szCs w:val="22"/>
        </w:rPr>
        <w:t xml:space="preserve">The brief was a fictional three-branch library network in Lucknow (Hazratganj, Aminabad and Gomti Nagar) that still runs on paper registers. It needed an application that could handle lending, reservations and fines without anyone having to cross-check a notebook. I decided early that the interesting part of this project was not the screens but the rules: who may borrow what, when a book counts as late, and how to make sure a failure halfway through a transaction never leaves the data in a strange state. So I put most of my effort into the business logic, the database design and the tests, and kept the interface to a clean command-line tool.</w:t>
      </w:r>
    </w:p>
    <w:p>
      <w:pPr>
        <w:pStyle w:val="Heading1"/>
        <w:spacing w:after="140" w:before="280"/>
      </w:pPr>
      <w:r>
        <w:rPr>
          <w:rFonts w:ascii="Calibri" w:cs="Calibri" w:eastAsia="Calibri" w:hAnsi="Calibri"/>
          <w:b/>
          <w:bCs/>
          <w:color w:val="1F3A5F"/>
          <w:sz w:val="32"/>
          <w:szCs w:val="32"/>
        </w:rPr>
        <w:t xml:space="preserve">2. How the code is organised</w:t>
      </w:r>
    </w:p>
    <w:p>
      <w:pPr>
        <w:spacing w:after="140" w:line="300"/>
      </w:pPr>
      <w:r>
        <w:rPr>
          <w:rFonts w:ascii="Calibri" w:cs="Calibri" w:eastAsia="Calibri" w:hAnsi="Calibri"/>
          <w:sz w:val="22"/>
          <w:szCs w:val="22"/>
        </w:rPr>
        <w:t xml:space="preserve">I split the code into layers so each piece has one job. The domain classes (</w:t>
      </w:r>
      <w:r>
        <w:rPr>
          <w:rFonts w:ascii="Calibri" w:cs="Calibri" w:eastAsia="Calibri" w:hAnsi="Calibri"/>
          <w:i/>
          <w:iCs/>
          <w:sz w:val="22"/>
          <w:szCs w:val="22"/>
        </w:rPr>
        <w:t xml:space="preserve">Member, Book, Copy, Loan, Reservation, Tier</w:t>
      </w:r>
      <w:r>
        <w:rPr>
          <w:rFonts w:ascii="Calibri" w:cs="Calibri" w:eastAsia="Calibri" w:hAnsi="Calibri"/>
          <w:sz w:val="22"/>
          <w:szCs w:val="22"/>
        </w:rPr>
        <w:t xml:space="preserve">) just describe things. The repository layer is the only place with SQL. The service layer holds every business rule, and the command-line interface only translates typed commands into service calls. This made testing easy: almost every rule is checked against a fresh in-memory database in a few milliseconds, with no interface involved.</w:t>
      </w:r>
    </w:p>
    <w:p>
      <w:pPr>
        <w:pStyle w:val="Heading2"/>
        <w:spacing w:after="80" w:before="200"/>
      </w:pPr>
      <w:r>
        <w:rPr>
          <w:rFonts w:ascii="Calibri" w:cs="Calibri" w:eastAsia="Calibri" w:hAnsi="Calibri"/>
          <w:b/>
          <w:bCs/>
          <w:color w:val="2B5C8A"/>
          <w:sz w:val="25"/>
          <w:szCs w:val="25"/>
        </w:rPr>
        <w:t xml:space="preserve">Design patterns, and why each one earns its place</w:t>
      </w:r>
    </w:p>
    <w:p>
      <w:pPr>
        <w:pStyle w:val="ListParagraph"/>
        <w:numPr>
          <w:ilvl w:val="0"/>
          <w:numId w:val="2"/>
        </w:numPr>
        <w:spacing w:after="60" w:line="290"/>
      </w:pPr>
      <w:r>
        <w:rPr>
          <w:rFonts w:ascii="Calibri" w:cs="Calibri" w:eastAsia="Calibri" w:hAnsi="Calibri"/>
          <w:b/>
          <w:bCs/>
          <w:sz w:val="22"/>
          <w:szCs w:val="22"/>
        </w:rPr>
        <w:t xml:space="preserve">Repository:</w:t>
      </w:r>
      <w:r>
        <w:rPr>
          <w:rFonts w:ascii="Calibri" w:cs="Calibri" w:eastAsia="Calibri" w:hAnsi="Calibri"/>
          <w:sz w:val="22"/>
          <w:szCs w:val="22"/>
        </w:rPr>
        <w:t xml:space="preserve"> keeps SQL out of the rules, so a rule reads like a sentence instead of a query.</w:t>
      </w:r>
    </w:p>
    <w:p>
      <w:pPr>
        <w:pStyle w:val="ListParagraph"/>
        <w:numPr>
          <w:ilvl w:val="0"/>
          <w:numId w:val="2"/>
        </w:numPr>
        <w:spacing w:after="60" w:line="290"/>
      </w:pPr>
      <w:r>
        <w:rPr>
          <w:rFonts w:ascii="Calibri" w:cs="Calibri" w:eastAsia="Calibri" w:hAnsi="Calibri"/>
          <w:b/>
          <w:bCs/>
          <w:sz w:val="22"/>
          <w:szCs w:val="22"/>
        </w:rPr>
        <w:t xml:space="preserve">Unit of Work:</w:t>
      </w:r>
      <w:r>
        <w:rPr>
          <w:rFonts w:ascii="Calibri" w:cs="Calibri" w:eastAsia="Calibri" w:hAnsi="Calibri"/>
          <w:sz w:val="22"/>
          <w:szCs w:val="22"/>
        </w:rPr>
        <w:t xml:space="preserve"> one business action equals one database transaction. If issuing a book fails at the last step, the earlier steps are undone automatically. It also nests safely when one service calls another.</w:t>
      </w:r>
    </w:p>
    <w:p>
      <w:pPr>
        <w:pStyle w:val="ListParagraph"/>
        <w:numPr>
          <w:ilvl w:val="0"/>
          <w:numId w:val="2"/>
        </w:numPr>
        <w:spacing w:after="60" w:line="290"/>
      </w:pPr>
      <w:r>
        <w:rPr>
          <w:rFonts w:ascii="Calibri" w:cs="Calibri" w:eastAsia="Calibri" w:hAnsi="Calibri"/>
          <w:b/>
          <w:bCs/>
          <w:sz w:val="22"/>
          <w:szCs w:val="22"/>
        </w:rPr>
        <w:t xml:space="preserve">Strategy:</w:t>
      </w:r>
      <w:r>
        <w:rPr>
          <w:rFonts w:ascii="Calibri" w:cs="Calibri" w:eastAsia="Calibri" w:hAnsi="Calibri"/>
          <w:sz w:val="22"/>
          <w:szCs w:val="22"/>
        </w:rPr>
        <w:t xml:space="preserve"> the calendar decides which days count as late, while a separate fine policy decides what those days cost. Basic members have an escalating rate, Standard and Premium a flat one. Adding a new rule means adding a small class, not editing date code.</w:t>
      </w:r>
    </w:p>
    <w:p>
      <w:pPr>
        <w:pStyle w:val="ListParagraph"/>
        <w:numPr>
          <w:ilvl w:val="0"/>
          <w:numId w:val="2"/>
        </w:numPr>
        <w:spacing w:after="60" w:line="290"/>
      </w:pPr>
      <w:r>
        <w:rPr>
          <w:rFonts w:ascii="Calibri" w:cs="Calibri" w:eastAsia="Calibri" w:hAnsi="Calibri"/>
          <w:b/>
          <w:bCs/>
          <w:sz w:val="22"/>
          <w:szCs w:val="22"/>
        </w:rPr>
        <w:t xml:space="preserve">Factory:</w:t>
      </w:r>
      <w:r>
        <w:rPr>
          <w:rFonts w:ascii="Calibri" w:cs="Calibri" w:eastAsia="Calibri" w:hAnsi="Calibri"/>
          <w:sz w:val="22"/>
          <w:szCs w:val="22"/>
        </w:rPr>
        <w:t xml:space="preserve"> a small function turns a tier record into the right fine policy object.</w:t>
      </w:r>
    </w:p>
    <w:p>
      <w:pPr>
        <w:pStyle w:val="Heading1"/>
        <w:spacing w:after="140" w:before="280"/>
      </w:pPr>
      <w:r>
        <w:rPr>
          <w:rFonts w:ascii="Calibri" w:cs="Calibri" w:eastAsia="Calibri" w:hAnsi="Calibri"/>
          <w:b/>
          <w:bCs/>
          <w:color w:val="1F3A5F"/>
          <w:sz w:val="32"/>
          <w:szCs w:val="32"/>
        </w:rPr>
        <w:t xml:space="preserve">3. Features delivered</w:t>
      </w:r>
    </w:p>
    <w:p>
      <w:pPr>
        <w:pStyle w:val="ListParagraph"/>
        <w:numPr>
          <w:ilvl w:val="0"/>
          <w:numId w:val="2"/>
        </w:numPr>
        <w:spacing w:after="60" w:line="290"/>
      </w:pPr>
      <w:r>
        <w:rPr>
          <w:rFonts w:ascii="Calibri" w:cs="Calibri" w:eastAsia="Calibri" w:hAnsi="Calibri"/>
          <w:sz w:val="22"/>
          <w:szCs w:val="22"/>
        </w:rPr>
        <w:t xml:space="preserve">Catalogue with books and physical copies per branch; ISBN-13 check-digit validation.</w:t>
      </w:r>
    </w:p>
    <w:p>
      <w:pPr>
        <w:pStyle w:val="ListParagraph"/>
        <w:numPr>
          <w:ilvl w:val="0"/>
          <w:numId w:val="2"/>
        </w:numPr>
        <w:spacing w:after="60" w:line="290"/>
      </w:pPr>
      <w:r>
        <w:rPr>
          <w:rFonts w:ascii="Calibri" w:cs="Calibri" w:eastAsia="Calibri" w:hAnsi="Calibri"/>
          <w:sz w:val="22"/>
          <w:szCs w:val="22"/>
        </w:rPr>
        <w:t xml:space="preserve">Member registration with Basic, Standard and Premium tiers, each with its own loan limit, loan period, renewal limit and fine policy.</w:t>
      </w:r>
    </w:p>
    <w:p>
      <w:pPr>
        <w:pStyle w:val="ListParagraph"/>
        <w:numPr>
          <w:ilvl w:val="0"/>
          <w:numId w:val="2"/>
        </w:numPr>
        <w:spacing w:after="60" w:line="290"/>
      </w:pPr>
      <w:r>
        <w:rPr>
          <w:rFonts w:ascii="Calibri" w:cs="Calibri" w:eastAsia="Calibri" w:hAnsi="Calibri"/>
          <w:sz w:val="22"/>
          <w:szCs w:val="22"/>
        </w:rPr>
        <w:t xml:space="preserve">Issue, return and renewal with full rule enforcement.</w:t>
      </w:r>
    </w:p>
    <w:p>
      <w:pPr>
        <w:pStyle w:val="ListParagraph"/>
        <w:numPr>
          <w:ilvl w:val="0"/>
          <w:numId w:val="2"/>
        </w:numPr>
        <w:spacing w:after="60" w:line="290"/>
      </w:pPr>
      <w:r>
        <w:rPr>
          <w:rFonts w:ascii="Calibri" w:cs="Calibri" w:eastAsia="Calibri" w:hAnsi="Calibri"/>
          <w:sz w:val="22"/>
          <w:szCs w:val="22"/>
        </w:rPr>
        <w:t xml:space="preserve">Reservation queues that are strictly first-come-first-served, with a 3-day hold on a returned copy and automatic hand-over if it is not collected.</w:t>
      </w:r>
    </w:p>
    <w:p>
      <w:pPr>
        <w:pStyle w:val="ListParagraph"/>
        <w:numPr>
          <w:ilvl w:val="0"/>
          <w:numId w:val="2"/>
        </w:numPr>
        <w:spacing w:after="60" w:line="290"/>
      </w:pPr>
      <w:r>
        <w:rPr>
          <w:rFonts w:ascii="Calibri" w:cs="Calibri" w:eastAsia="Calibri" w:hAnsi="Calibri"/>
          <w:sz w:val="22"/>
          <w:szCs w:val="22"/>
        </w:rPr>
        <w:t xml:space="preserve">Fine calculation that skips Sundays and public holidays, slides a due date that lands on a closed day to the next open day, applies a grace period and stops at a per-tier cap.</w:t>
      </w:r>
    </w:p>
    <w:p>
      <w:pPr>
        <w:pStyle w:val="ListParagraph"/>
        <w:numPr>
          <w:ilvl w:val="0"/>
          <w:numId w:val="2"/>
        </w:numPr>
        <w:spacing w:after="60" w:line="290"/>
      </w:pPr>
      <w:r>
        <w:rPr>
          <w:rFonts w:ascii="Calibri" w:cs="Calibri" w:eastAsia="Calibri" w:hAnsi="Calibri"/>
          <w:sz w:val="22"/>
          <w:szCs w:val="22"/>
        </w:rPr>
        <w:t xml:space="preserve">Search by title, author and ISBN, plus an overdue report per branch showing days late and the fine accrued so far.</w:t>
      </w:r>
    </w:p>
    <w:p>
      <w:pPr>
        <w:pStyle w:val="Heading1"/>
        <w:spacing w:after="140" w:before="280"/>
      </w:pPr>
      <w:r>
        <w:rPr>
          <w:rFonts w:ascii="Calibri" w:cs="Calibri" w:eastAsia="Calibri" w:hAnsi="Calibri"/>
          <w:b/>
          <w:bCs/>
          <w:color w:val="1F3A5F"/>
          <w:sz w:val="32"/>
          <w:szCs w:val="32"/>
        </w:rPr>
        <w:t xml:space="preserve">4. Business rules and how they are enforced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538"/>
        <w:gridCol w:w="3100"/>
      </w:tblGrid>
      <w:tr>
        <w:trPr>
          <w:cantSplit/>
          <w:tblHeader/>
        </w:trPr>
        <w:tc>
          <w:tcPr>
            <w:tcW w:type="dxa" w:w="2000"/>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Rule</w:t>
            </w:r>
          </w:p>
        </w:tc>
        <w:tc>
          <w:tcPr>
            <w:tcW w:type="dxa" w:w="4538"/>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Behaviour</w:t>
            </w:r>
          </w:p>
        </w:tc>
        <w:tc>
          <w:tcPr>
            <w:tcW w:type="dxa" w:w="3100"/>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Exception raised</w:t>
            </w:r>
          </w:p>
        </w:tc>
      </w:tr>
      <w:tr>
        <w:trPr>
          <w:cantSplit/>
          <w:tblHeader w:val="false"/>
        </w:trPr>
        <w:tc>
          <w:tcPr>
            <w:tcW w:type="dxa" w:w="20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Borrowing limit</w:t>
            </w:r>
          </w:p>
        </w:tc>
        <w:tc>
          <w:tcPr>
            <w:tcW w:type="dxa" w:w="45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Basic 3, Standard 5, Premium 10 books at a time</w:t>
            </w:r>
          </w:p>
        </w:tc>
        <w:tc>
          <w:tcPr>
            <w:tcW w:type="dxa" w:w="31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BorrowLimitExceededError</w:t>
            </w:r>
          </w:p>
        </w:tc>
      </w:tr>
      <w:tr>
        <w:trPr>
          <w:cantSplit/>
          <w:tblHeader w:val="false"/>
        </w:trPr>
        <w:tc>
          <w:tcPr>
            <w:tcW w:type="dxa" w:w="20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Unpaid fines</w:t>
            </w:r>
          </w:p>
        </w:tc>
        <w:tc>
          <w:tcPr>
            <w:tcW w:type="dxa" w:w="45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Any unpaid fine blocks issue, renewal and new reservations</w:t>
            </w:r>
          </w:p>
        </w:tc>
        <w:tc>
          <w:tcPr>
            <w:tcW w:type="dxa" w:w="31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UnpaidFinesError</w:t>
            </w:r>
          </w:p>
        </w:tc>
      </w:tr>
      <w:tr>
        <w:trPr>
          <w:cantSplit/>
          <w:tblHeader w:val="false"/>
        </w:trPr>
        <w:tc>
          <w:tcPr>
            <w:tcW w:type="dxa" w:w="20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Reserved copy</w:t>
            </w:r>
          </w:p>
        </w:tc>
        <w:tc>
          <w:tcPr>
            <w:tcW w:type="dxa" w:w="45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A held copy can only be issued to the member it is held for</w:t>
            </w:r>
          </w:p>
        </w:tc>
        <w:tc>
          <w:tcPr>
            <w:tcW w:type="dxa" w:w="31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CopyReservedError</w:t>
            </w:r>
          </w:p>
        </w:tc>
      </w:tr>
      <w:tr>
        <w:trPr>
          <w:cantSplit/>
          <w:tblHeader w:val="false"/>
        </w:trPr>
        <w:tc>
          <w:tcPr>
            <w:tcW w:type="dxa" w:w="20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Copy availability</w:t>
            </w:r>
          </w:p>
        </w:tc>
        <w:tc>
          <w:tcPr>
            <w:tcW w:type="dxa" w:w="45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On-loan or lost copies cannot be issued</w:t>
            </w:r>
          </w:p>
        </w:tc>
        <w:tc>
          <w:tcPr>
            <w:tcW w:type="dxa" w:w="31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CopyNotAvailableError</w:t>
            </w:r>
          </w:p>
        </w:tc>
      </w:tr>
      <w:tr>
        <w:trPr>
          <w:cantSplit/>
          <w:tblHeader w:val="false"/>
        </w:trPr>
        <w:tc>
          <w:tcPr>
            <w:tcW w:type="dxa" w:w="20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Membership status</w:t>
            </w:r>
          </w:p>
        </w:tc>
        <w:tc>
          <w:tcPr>
            <w:tcW w:type="dxa" w:w="45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Suspended or expired members cannot borrow</w:t>
            </w:r>
          </w:p>
        </w:tc>
        <w:tc>
          <w:tcPr>
            <w:tcW w:type="dxa" w:w="31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MembershipInactiveError</w:t>
            </w:r>
          </w:p>
        </w:tc>
      </w:tr>
      <w:tr>
        <w:trPr>
          <w:cantSplit/>
          <w:tblHeader w:val="false"/>
        </w:trPr>
        <w:tc>
          <w:tcPr>
            <w:tcW w:type="dxa" w:w="20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Same title twice</w:t>
            </w:r>
          </w:p>
        </w:tc>
        <w:tc>
          <w:tcPr>
            <w:tcW w:type="dxa" w:w="45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A member cannot hold two copies of one title</w:t>
            </w:r>
          </w:p>
        </w:tc>
        <w:tc>
          <w:tcPr>
            <w:tcW w:type="dxa" w:w="31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DuplicateError</w:t>
            </w:r>
          </w:p>
        </w:tc>
      </w:tr>
      <w:tr>
        <w:trPr>
          <w:cantSplit/>
          <w:tblHeader w:val="false"/>
        </w:trPr>
        <w:tc>
          <w:tcPr>
            <w:tcW w:type="dxa" w:w="20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Renewals</w:t>
            </w:r>
          </w:p>
        </w:tc>
        <w:tc>
          <w:tcPr>
            <w:tcW w:type="dxa" w:w="45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Tier limit (1/2/3); not if overdue, or if someone is waiting</w:t>
            </w:r>
          </w:p>
        </w:tc>
        <w:tc>
          <w:tcPr>
            <w:tcW w:type="dxa" w:w="31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RenewalNotAllowedError</w:t>
            </w:r>
          </w:p>
        </w:tc>
      </w:tr>
      <w:tr>
        <w:trPr>
          <w:cantSplit/>
          <w:tblHeader w:val="false"/>
        </w:trPr>
        <w:tc>
          <w:tcPr>
            <w:tcW w:type="dxa" w:w="20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Reservations</w:t>
            </w:r>
          </w:p>
        </w:tc>
        <w:tc>
          <w:tcPr>
            <w:tcW w:type="dxa" w:w="45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Not allowed if a copy is free, or if already queued</w:t>
            </w:r>
          </w:p>
        </w:tc>
        <w:tc>
          <w:tcPr>
            <w:tcW w:type="dxa" w:w="31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ReservationError / DuplicateError</w:t>
            </w:r>
          </w:p>
        </w:tc>
      </w:tr>
    </w:tbl>
    <w:p>
      <w:pPr>
        <w:pStyle w:val="Heading2"/>
        <w:spacing w:after="80" w:before="200"/>
      </w:pPr>
      <w:r>
        <w:rPr>
          <w:rFonts w:ascii="Calibri" w:cs="Calibri" w:eastAsia="Calibri" w:hAnsi="Calibri"/>
          <w:b/>
          <w:bCs/>
          <w:color w:val="2B5C8A"/>
          <w:sz w:val="25"/>
          <w:szCs w:val="25"/>
        </w:rPr>
        <w:t xml:space="preserve">Fine calculation in detail</w:t>
      </w:r>
    </w:p>
    <w:p>
      <w:pPr>
        <w:spacing w:after="140" w:line="300"/>
      </w:pPr>
      <w:r>
        <w:rPr>
          <w:rFonts w:ascii="Calibri" w:cs="Calibri" w:eastAsia="Calibri" w:hAnsi="Calibri"/>
          <w:sz w:val="22"/>
          <w:szCs w:val="22"/>
        </w:rPr>
        <w:t xml:space="preserve">Fines are worked out when a book comes back. The calculator first moves the due date forward if it lands on a Sunday or holiday, then counts only the open days after it. The tier's grace days are subtracted from that count (so a Standard member returning 3 open days late pays nothing, while 5 days late pays for 2). Escalating pricing doubles the daily rate after 14 billable days, and every result is clipped to the tier's cap. Money is stored as whole paise to avoid floating-point rounding surprises.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200"/>
        <w:gridCol w:w="1100"/>
        <w:gridCol w:w="2438"/>
        <w:gridCol w:w="1200"/>
      </w:tblGrid>
      <w:tr>
        <w:trPr>
          <w:cantSplit/>
          <w:tblHeader/>
        </w:trPr>
        <w:tc>
          <w:tcPr>
            <w:tcW w:type="dxa" w:w="1300"/>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Tier</w:t>
            </w:r>
          </w:p>
        </w:tc>
        <w:tc>
          <w:tcPr>
            <w:tcW w:type="dxa" w:w="1200"/>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Loan limit</w:t>
            </w:r>
          </w:p>
        </w:tc>
        <w:tc>
          <w:tcPr>
            <w:tcW w:type="dxa" w:w="1200"/>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Loan days</w:t>
            </w:r>
          </w:p>
        </w:tc>
        <w:tc>
          <w:tcPr>
            <w:tcW w:type="dxa" w:w="1200"/>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Renewals</w:t>
            </w:r>
          </w:p>
        </w:tc>
        <w:tc>
          <w:tcPr>
            <w:tcW w:type="dxa" w:w="1100"/>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Grace</w:t>
            </w:r>
          </w:p>
        </w:tc>
        <w:tc>
          <w:tcPr>
            <w:tcW w:type="dxa" w:w="2438"/>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Rate/day</w:t>
            </w:r>
          </w:p>
        </w:tc>
        <w:tc>
          <w:tcPr>
            <w:tcW w:type="dxa" w:w="1200"/>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Cap</w:t>
            </w:r>
          </w:p>
        </w:tc>
      </w:tr>
      <w:tr>
        <w:trPr>
          <w:cantSplit/>
          <w:tblHeader w:val="false"/>
        </w:trPr>
        <w:tc>
          <w:tcPr>
            <w:tcW w:type="dxa" w:w="13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Basic</w:t>
            </w:r>
          </w:p>
        </w:tc>
        <w:tc>
          <w:tcPr>
            <w:tcW w:type="dxa" w:w="12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3</w:t>
            </w:r>
          </w:p>
        </w:tc>
        <w:tc>
          <w:tcPr>
            <w:tcW w:type="dxa" w:w="12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14</w:t>
            </w:r>
          </w:p>
        </w:tc>
        <w:tc>
          <w:tcPr>
            <w:tcW w:type="dxa" w:w="12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1</w:t>
            </w:r>
          </w:p>
        </w:tc>
        <w:tc>
          <w:tcPr>
            <w:tcW w:type="dxa" w:w="11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2 days</w:t>
            </w:r>
          </w:p>
        </w:tc>
        <w:tc>
          <w:tcPr>
            <w:tcW w:type="dxa" w:w="24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Rs 2 (x2 after 14 days)</w:t>
            </w:r>
          </w:p>
        </w:tc>
        <w:tc>
          <w:tcPr>
            <w:tcW w:type="dxa" w:w="12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Rs 200</w:t>
            </w:r>
          </w:p>
        </w:tc>
      </w:tr>
      <w:tr>
        <w:trPr>
          <w:cantSplit/>
          <w:tblHeader w:val="false"/>
        </w:trPr>
        <w:tc>
          <w:tcPr>
            <w:tcW w:type="dxa" w:w="13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Standard</w:t>
            </w:r>
          </w:p>
        </w:tc>
        <w:tc>
          <w:tcPr>
            <w:tcW w:type="dxa" w:w="12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5</w:t>
            </w:r>
          </w:p>
        </w:tc>
        <w:tc>
          <w:tcPr>
            <w:tcW w:type="dxa" w:w="12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21</w:t>
            </w:r>
          </w:p>
        </w:tc>
        <w:tc>
          <w:tcPr>
            <w:tcW w:type="dxa" w:w="12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2</w:t>
            </w:r>
          </w:p>
        </w:tc>
        <w:tc>
          <w:tcPr>
            <w:tcW w:type="dxa" w:w="11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3 days</w:t>
            </w:r>
          </w:p>
        </w:tc>
        <w:tc>
          <w:tcPr>
            <w:tcW w:type="dxa" w:w="24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Rs 2 flat</w:t>
            </w:r>
          </w:p>
        </w:tc>
        <w:tc>
          <w:tcPr>
            <w:tcW w:type="dxa" w:w="12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Rs 200</w:t>
            </w:r>
          </w:p>
        </w:tc>
      </w:tr>
      <w:tr>
        <w:trPr>
          <w:cantSplit/>
          <w:tblHeader w:val="false"/>
        </w:trPr>
        <w:tc>
          <w:tcPr>
            <w:tcW w:type="dxa" w:w="13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Premium</w:t>
            </w:r>
          </w:p>
        </w:tc>
        <w:tc>
          <w:tcPr>
            <w:tcW w:type="dxa" w:w="12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10</w:t>
            </w:r>
          </w:p>
        </w:tc>
        <w:tc>
          <w:tcPr>
            <w:tcW w:type="dxa" w:w="12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28</w:t>
            </w:r>
          </w:p>
        </w:tc>
        <w:tc>
          <w:tcPr>
            <w:tcW w:type="dxa" w:w="12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3</w:t>
            </w:r>
          </w:p>
        </w:tc>
        <w:tc>
          <w:tcPr>
            <w:tcW w:type="dxa" w:w="11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5 days</w:t>
            </w:r>
          </w:p>
        </w:tc>
        <w:tc>
          <w:tcPr>
            <w:tcW w:type="dxa" w:w="24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Rs 1.50 flat</w:t>
            </w:r>
          </w:p>
        </w:tc>
        <w:tc>
          <w:tcPr>
            <w:tcW w:type="dxa" w:w="12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Rs 100</w:t>
            </w:r>
          </w:p>
        </w:tc>
      </w:tr>
    </w:tbl>
    <w:p>
      <w:pPr>
        <w:pStyle w:val="Heading1"/>
        <w:spacing w:after="140" w:before="280"/>
      </w:pPr>
      <w:r>
        <w:rPr>
          <w:rFonts w:ascii="Calibri" w:cs="Calibri" w:eastAsia="Calibri" w:hAnsi="Calibri"/>
          <w:b/>
          <w:bCs/>
          <w:color w:val="1F3A5F"/>
          <w:sz w:val="32"/>
          <w:szCs w:val="32"/>
        </w:rPr>
        <w:t xml:space="preserve">5. Database, migrations and sample data</w:t>
      </w:r>
    </w:p>
    <w:p>
      <w:pPr>
        <w:spacing w:after="140" w:line="300"/>
      </w:pPr>
      <w:r>
        <w:rPr>
          <w:rFonts w:ascii="Calibri" w:cs="Calibri" w:eastAsia="Calibri" w:hAnsi="Calibri"/>
          <w:sz w:val="22"/>
          <w:szCs w:val="22"/>
        </w:rPr>
        <w:t xml:space="preserve">The schema is managed by numbered migration files that a small runner applies in order, each inside its own transaction. A deliberately broken migration is part of the test suite to prove that a failure leaves no half-built tables behind. Migration 001 builds the schema, 002 loads branches, tiers and holidays, and 003 generates the synthetic data with a fixed random seed so everyone gets identical results.</w:t>
      </w:r>
    </w:p>
    <w:p>
      <w:pPr>
        <w:pStyle w:val="Heading2"/>
        <w:spacing w:after="80" w:before="200"/>
      </w:pPr>
      <w:r>
        <w:rPr>
          <w:rFonts w:ascii="Calibri" w:cs="Calibri" w:eastAsia="Calibri" w:hAnsi="Calibri"/>
          <w:b/>
          <w:bCs/>
          <w:color w:val="2B5C8A"/>
          <w:sz w:val="25"/>
          <w:szCs w:val="25"/>
        </w:rPr>
        <w:t xml:space="preserve">The messy loan history</w:t>
      </w:r>
    </w:p>
    <w:p>
      <w:pPr>
        <w:spacing w:after="140" w:line="300"/>
      </w:pPr>
      <w:r>
        <w:rPr>
          <w:rFonts w:ascii="Calibri" w:cs="Calibri" w:eastAsia="Calibri" w:hAnsi="Calibri"/>
          <w:sz w:val="22"/>
          <w:szCs w:val="22"/>
        </w:rPr>
        <w:t xml:space="preserve">I wanted the inconsistent records to feel realistic, so I injected the mistakes a paper register would contain and then wrote a cleaning step instead of pretending the data was perfect. Raw rows land in an unconstrained staging table, and each one is validated before it reaches the real </w:t>
      </w:r>
      <w:r>
        <w:rPr>
          <w:rFonts w:ascii="Calibri" w:cs="Calibri" w:eastAsia="Calibri" w:hAnsi="Calibri"/>
          <w:i/>
          <w:iCs/>
          <w:sz w:val="22"/>
          <w:szCs w:val="22"/>
        </w:rPr>
        <w:t xml:space="preserve">loans</w:t>
      </w:r>
      <w:r>
        <w:rPr>
          <w:rFonts w:ascii="Calibri" w:cs="Calibri" w:eastAsia="Calibri" w:hAnsi="Calibri"/>
          <w:sz w:val="22"/>
          <w:szCs w:val="22"/>
        </w:rPr>
        <w:t xml:space="preserv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0"/>
        <w:gridCol w:w="3038"/>
      </w:tblGrid>
      <w:tr>
        <w:trPr>
          <w:cantSplit/>
          <w:tblHeader/>
        </w:trPr>
        <w:tc>
          <w:tcPr>
            <w:tcW w:type="dxa" w:w="6600"/>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Measure</w:t>
            </w:r>
          </w:p>
        </w:tc>
        <w:tc>
          <w:tcPr>
            <w:tcW w:type="dxa" w:w="3038"/>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Count</w:t>
            </w:r>
          </w:p>
        </w:tc>
      </w:tr>
      <w:tr>
        <w:trPr>
          <w:cantSplit/>
          <w:tblHeader w:val="false"/>
        </w:trPr>
        <w:tc>
          <w:tcPr>
            <w:tcW w:type="dxa" w:w="66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Raw history rows</w:t>
            </w:r>
          </w:p>
        </w:tc>
        <w:tc>
          <w:tcPr>
            <w:tcW w:type="dxa" w:w="30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7,079</w:t>
            </w:r>
          </w:p>
        </w:tc>
      </w:tr>
      <w:tr>
        <w:trPr>
          <w:cantSplit/>
          <w:tblHeader w:val="false"/>
        </w:trPr>
        <w:tc>
          <w:tcPr>
            <w:tcW w:type="dxa" w:w="66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Loans loaded after cleaning</w:t>
            </w:r>
          </w:p>
        </w:tc>
        <w:tc>
          <w:tcPr>
            <w:tcW w:type="dxa" w:w="30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6,907</w:t>
            </w:r>
          </w:p>
        </w:tc>
      </w:tr>
      <w:tr>
        <w:trPr>
          <w:cantSplit/>
          <w:tblHeader w:val="false"/>
        </w:trPr>
        <w:tc>
          <w:tcPr>
            <w:tcW w:type="dxa" w:w="66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Rejected into quarantine (with a reason)</w:t>
            </w:r>
          </w:p>
        </w:tc>
        <w:tc>
          <w:tcPr>
            <w:tcW w:type="dxa" w:w="30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172</w:t>
            </w:r>
          </w:p>
        </w:tc>
      </w:tr>
      <w:tr>
        <w:trPr>
          <w:cantSplit/>
          <w:tblHeader w:val="false"/>
        </w:trPr>
        <w:tc>
          <w:tcPr>
            <w:tcW w:type="dxa" w:w="66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Repaired (missing due date recomputed)</w:t>
            </w:r>
          </w:p>
        </w:tc>
        <w:tc>
          <w:tcPr>
            <w:tcW w:type="dxa" w:w="30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40</w:t>
            </w:r>
          </w:p>
        </w:tc>
      </w:tr>
      <w:tr>
        <w:trPr>
          <w:cantSplit/>
          <w:tblHeader w:val="false"/>
        </w:trPr>
        <w:tc>
          <w:tcPr>
            <w:tcW w:type="dxa" w:w="66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Loans still open at the cut-off date</w:t>
            </w:r>
          </w:p>
        </w:tc>
        <w:tc>
          <w:tcPr>
            <w:tcW w:type="dxa" w:w="30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331</w:t>
            </w:r>
          </w:p>
        </w:tc>
      </w:tr>
      <w:tr>
        <w:trPr>
          <w:cantSplit/>
          <w:tblHeader w:val="false"/>
        </w:trPr>
        <w:tc>
          <w:tcPr>
            <w:tcW w:type="dxa" w:w="66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Live reservations seeded</w:t>
            </w:r>
          </w:p>
        </w:tc>
        <w:tc>
          <w:tcPr>
            <w:tcW w:type="dxa" w:w="30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50</w:t>
            </w:r>
          </w:p>
        </w:tc>
      </w:tr>
    </w:tbl>
    <w:p>
      <w:pPr>
        <w:spacing w:after="120"/>
      </w:pPr>
    </w:p>
    <w:p>
      <w:pPr>
        <w:spacing w:after="140" w:line="300"/>
      </w:pPr>
      <w:r>
        <w:rPr>
          <w:rFonts w:ascii="Calibri" w:cs="Calibri" w:eastAsia="Calibri" w:hAnsi="Calibri"/>
          <w:sz w:val="22"/>
          <w:szCs w:val="22"/>
        </w:rPr>
        <w:t xml:space="preserve">Rejection reasons include: returned before it was issued, unknown member, unknown copy, return date in the future, exact duplicates, overlapping loans, and a second open loan on the same copy. Every rejected row stays in </w:t>
      </w:r>
      <w:r>
        <w:rPr>
          <w:rFonts w:ascii="Calibri" w:cs="Calibri" w:eastAsia="Calibri" w:hAnsi="Calibri"/>
          <w:i/>
          <w:iCs/>
          <w:sz w:val="22"/>
          <w:szCs w:val="22"/>
        </w:rPr>
        <w:t xml:space="preserve">loan_quarantine</w:t>
      </w:r>
      <w:r>
        <w:rPr>
          <w:rFonts w:ascii="Calibri" w:cs="Calibri" w:eastAsia="Calibri" w:hAnsi="Calibri"/>
          <w:sz w:val="22"/>
          <w:szCs w:val="22"/>
        </w:rPr>
        <w:t xml:space="preserve">, so nothing disappears silently.</w:t>
      </w:r>
    </w:p>
    <w:p>
      <w:r>
        <w:br w:type="page"/>
      </w:r>
    </w:p>
    <w:p>
      <w:pPr>
        <w:pStyle w:val="Heading1"/>
        <w:spacing w:after="140" w:before="280"/>
      </w:pPr>
      <w:r>
        <w:rPr>
          <w:rFonts w:ascii="Calibri" w:cs="Calibri" w:eastAsia="Calibri" w:hAnsi="Calibri"/>
          <w:b/>
          <w:bCs/>
          <w:color w:val="1F3A5F"/>
          <w:sz w:val="32"/>
          <w:szCs w:val="32"/>
        </w:rPr>
        <w:t xml:space="preserve">6. Diagrams</w:t>
      </w:r>
    </w:p>
    <w:p>
      <w:pPr>
        <w:pStyle w:val="Heading2"/>
        <w:spacing w:after="80" w:before="200"/>
      </w:pPr>
      <w:r>
        <w:rPr>
          <w:rFonts w:ascii="Calibri" w:cs="Calibri" w:eastAsia="Calibri" w:hAnsi="Calibri"/>
          <w:b/>
          <w:bCs/>
          <w:color w:val="2B5C8A"/>
          <w:sz w:val="25"/>
          <w:szCs w:val="25"/>
        </w:rPr>
        <w:t xml:space="preserve">Class diagram</w:t>
      </w:r>
    </w:p>
    <w:p>
      <w:pPr>
        <w:jc w:val="center"/>
      </w:pPr>
      <w:r>
        <w:drawing>
          <wp:inline distT="0" distB="0" distL="0" distR="0">
            <wp:extent cx="5943600" cy="3692874"/>
            <wp:effectExtent t="0" r="0" b="0" l="0"/>
            <wp:docPr id="1" name="class_diagram.png" descr="class_diagram.png" title="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92874"/>
                    </a:xfrm>
                    <a:prstGeom prst="rect">
                      <a:avLst/>
                    </a:prstGeom>
                  </pic:spPr>
                </pic:pic>
              </a:graphicData>
            </a:graphic>
          </wp:inline>
        </w:drawing>
      </w:r>
    </w:p>
    <w:p>
      <w:r>
        <w:br w:type="page"/>
      </w:r>
    </w:p>
    <w:p>
      <w:pPr>
        <w:pStyle w:val="Heading2"/>
        <w:spacing w:after="80" w:before="200"/>
      </w:pPr>
      <w:r>
        <w:rPr>
          <w:rFonts w:ascii="Calibri" w:cs="Calibri" w:eastAsia="Calibri" w:hAnsi="Calibri"/>
          <w:b/>
          <w:bCs/>
          <w:color w:val="2B5C8A"/>
          <w:sz w:val="25"/>
          <w:szCs w:val="25"/>
        </w:rPr>
        <w:t xml:space="preserve">Entity-relationship diagram</w:t>
      </w:r>
    </w:p>
    <w:p>
      <w:pPr>
        <w:jc w:val="center"/>
      </w:pPr>
      <w:r>
        <w:drawing>
          <wp:inline distT="0" distB="0" distL="0" distR="0">
            <wp:extent cx="5943600" cy="4193708"/>
            <wp:effectExtent t="0" r="0" b="0" l="0"/>
            <wp:docPr id="1" name="er_diagram.png" descr="er_diagram.png" title="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193708"/>
                    </a:xfrm>
                    <a:prstGeom prst="rect">
                      <a:avLst/>
                    </a:prstGeom>
                  </pic:spPr>
                </pic:pic>
              </a:graphicData>
            </a:graphic>
          </wp:inline>
        </w:drawing>
      </w:r>
    </w:p>
    <w:p>
      <w:r>
        <w:br w:type="page"/>
      </w:r>
    </w:p>
    <w:p>
      <w:pPr>
        <w:pStyle w:val="Heading1"/>
        <w:spacing w:after="140" w:before="280"/>
      </w:pPr>
      <w:r>
        <w:rPr>
          <w:rFonts w:ascii="Calibri" w:cs="Calibri" w:eastAsia="Calibri" w:hAnsi="Calibri"/>
          <w:b/>
          <w:bCs/>
          <w:color w:val="1F3A5F"/>
          <w:sz w:val="32"/>
          <w:szCs w:val="32"/>
        </w:rPr>
        <w:t xml:space="preserve">7. Testing</w:t>
      </w:r>
    </w:p>
    <w:p>
      <w:pPr>
        <w:spacing w:after="140" w:line="300"/>
      </w:pPr>
      <w:r>
        <w:rPr>
          <w:rFonts w:ascii="Calibri" w:cs="Calibri" w:eastAsia="Calibri" w:hAnsi="Calibri"/>
          <w:sz w:val="22"/>
          <w:szCs w:val="22"/>
        </w:rPr>
        <w:t xml:space="preserve">The suite has 64 tests and all of them pass in about one second. I wrote a test for every business rule, plus integration tests that run the real migrations (including the 2,000-book load) and the command-line tool end to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438"/>
      </w:tblGrid>
      <w:tr>
        <w:trPr>
          <w:cantSplit/>
          <w:tblHeader/>
        </w:trPr>
        <w:tc>
          <w:tcPr>
            <w:tcW w:type="dxa" w:w="3300"/>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Test file</w:t>
            </w:r>
          </w:p>
        </w:tc>
        <w:tc>
          <w:tcPr>
            <w:tcW w:type="dxa" w:w="900"/>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Tests</w:t>
            </w:r>
          </w:p>
        </w:tc>
        <w:tc>
          <w:tcPr>
            <w:tcW w:type="dxa" w:w="5438"/>
            <w:tcBorders>
              <w:top w:val="single" w:color="B8C4D6" w:sz="4"/>
              <w:left w:val="single" w:color="B8C4D6" w:sz="4"/>
              <w:bottom w:val="single" w:color="B8C4D6" w:sz="4"/>
              <w:right w:val="single" w:color="B8C4D6" w:sz="4"/>
            </w:tcBorders>
            <w:shd w:fill="DDEBFF" w:val="clear"/>
            <w:tcMar>
              <w:top w:type="dxa" w:w="70"/>
              <w:left w:type="dxa" w:w="110"/>
              <w:bottom w:type="dxa" w:w="70"/>
              <w:right w:type="dxa" w:w="110"/>
            </w:tcMar>
          </w:tcPr>
          <w:p>
            <w:r>
              <w:rPr>
                <w:rFonts w:ascii="Calibri" w:cs="Calibri" w:eastAsia="Calibri" w:hAnsi="Calibri"/>
                <w:b/>
                <w:bCs/>
                <w:sz w:val="19"/>
                <w:szCs w:val="19"/>
              </w:rPr>
              <w:t xml:space="preserve">What it covers</w:t>
            </w:r>
          </w:p>
        </w:tc>
      </w:tr>
      <w:tr>
        <w:trPr>
          <w:cantSplit/>
          <w:tblHeader w:val="false"/>
        </w:trPr>
        <w:tc>
          <w:tcPr>
            <w:tcW w:type="dxa" w:w="33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test_fines.py</w:t>
            </w:r>
          </w:p>
        </w:tc>
        <w:tc>
          <w:tcPr>
            <w:tcW w:type="dxa" w:w="9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11</w:t>
            </w:r>
          </w:p>
        </w:tc>
        <w:tc>
          <w:tcPr>
            <w:tcW w:type="dxa" w:w="54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Grace, caps, Sundays, holidays, due-on-closed-day, tier policies</w:t>
            </w:r>
          </w:p>
        </w:tc>
      </w:tr>
      <w:tr>
        <w:trPr>
          <w:cantSplit/>
          <w:tblHeader w:val="false"/>
        </w:trPr>
        <w:tc>
          <w:tcPr>
            <w:tcW w:type="dxa" w:w="33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test_lending.py</w:t>
            </w:r>
          </w:p>
        </w:tc>
        <w:tc>
          <w:tcPr>
            <w:tcW w:type="dxa" w:w="9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14</w:t>
            </w:r>
          </w:p>
        </w:tc>
        <w:tc>
          <w:tcPr>
            <w:tcW w:type="dxa" w:w="54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Tier limits (parameterised), unpaid fines, availability, inactive members, returns</w:t>
            </w:r>
          </w:p>
        </w:tc>
      </w:tr>
      <w:tr>
        <w:trPr>
          <w:cantSplit/>
          <w:tblHeader w:val="false"/>
        </w:trPr>
        <w:tc>
          <w:tcPr>
            <w:tcW w:type="dxa" w:w="33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test_reservations_renewals.py</w:t>
            </w:r>
          </w:p>
        </w:tc>
        <w:tc>
          <w:tcPr>
            <w:tcW w:type="dxa" w:w="9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14</w:t>
            </w:r>
          </w:p>
        </w:tc>
        <w:tc>
          <w:tcPr>
            <w:tcW w:type="dxa" w:w="54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Queue order, held copies, expiry, cancellation, every renewal restriction</w:t>
            </w:r>
          </w:p>
        </w:tc>
      </w:tr>
      <w:tr>
        <w:trPr>
          <w:cantSplit/>
          <w:tblHeader w:val="false"/>
        </w:trPr>
        <w:tc>
          <w:tcPr>
            <w:tcW w:type="dxa" w:w="33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test_transactions.py</w:t>
            </w:r>
          </w:p>
        </w:tc>
        <w:tc>
          <w:tcPr>
            <w:tcW w:type="dxa" w:w="9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5</w:t>
            </w:r>
          </w:p>
        </w:tc>
        <w:tc>
          <w:tcPr>
            <w:tcW w:type="dxa" w:w="54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Rollback on failure in issue and return, nesting, database safety net</w:t>
            </w:r>
          </w:p>
        </w:tc>
      </w:tr>
      <w:tr>
        <w:trPr>
          <w:cantSplit/>
          <w:tblHeader w:val="false"/>
        </w:trPr>
        <w:tc>
          <w:tcPr>
            <w:tcW w:type="dxa" w:w="33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test_catalog_members.py</w:t>
            </w:r>
          </w:p>
        </w:tc>
        <w:tc>
          <w:tcPr>
            <w:tcW w:type="dxa" w:w="900"/>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13</w:t>
            </w:r>
          </w:p>
        </w:tc>
        <w:tc>
          <w:tcPr>
            <w:tcW w:type="dxa" w:w="5438"/>
            <w:tcBorders>
              <w:top w:val="single" w:color="B8C4D6" w:sz="4"/>
              <w:left w:val="single" w:color="B8C4D6" w:sz="4"/>
              <w:bottom w:val="single" w:color="B8C4D6" w:sz="4"/>
              <w:right w:val="single" w:color="B8C4D6" w:sz="4"/>
            </w:tcBorders>
            <w:shd w:fill="FFFFFF" w:val="clear"/>
            <w:tcMar>
              <w:top w:type="dxa" w:w="70"/>
              <w:left w:type="dxa" w:w="110"/>
              <w:bottom w:type="dxa" w:w="70"/>
              <w:right w:type="dxa" w:w="110"/>
            </w:tcMar>
          </w:tcPr>
          <w:p>
            <w:r>
              <w:rPr>
                <w:rFonts w:ascii="Calibri" w:cs="Calibri" w:eastAsia="Calibri" w:hAnsi="Calibri"/>
                <w:b w:val="false"/>
                <w:bCs w:val="false"/>
                <w:sz w:val="19"/>
                <w:szCs w:val="19"/>
              </w:rPr>
              <w:t xml:space="preserve">Registration, validation, tier changes, ISBN, search, overdue report</w:t>
            </w:r>
          </w:p>
        </w:tc>
      </w:tr>
      <w:tr>
        <w:trPr>
          <w:cantSplit/>
          <w:tblHeader w:val="false"/>
        </w:trPr>
        <w:tc>
          <w:tcPr>
            <w:tcW w:type="dxa" w:w="33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test_migrations_integration.py</w:t>
            </w:r>
          </w:p>
        </w:tc>
        <w:tc>
          <w:tcPr>
            <w:tcW w:type="dxa" w:w="900"/>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7</w:t>
            </w:r>
          </w:p>
        </w:tc>
        <w:tc>
          <w:tcPr>
            <w:tcW w:type="dxa" w:w="5438"/>
            <w:tcBorders>
              <w:top w:val="single" w:color="B8C4D6" w:sz="4"/>
              <w:left w:val="single" w:color="B8C4D6" w:sz="4"/>
              <w:bottom w:val="single" w:color="B8C4D6" w:sz="4"/>
              <w:right w:val="single" w:color="B8C4D6" w:sz="4"/>
            </w:tcBorders>
            <w:shd w:fill="F4F6FA" w:val="clear"/>
            <w:tcMar>
              <w:top w:type="dxa" w:w="70"/>
              <w:left w:type="dxa" w:w="110"/>
              <w:bottom w:type="dxa" w:w="70"/>
              <w:right w:type="dxa" w:w="110"/>
            </w:tcMar>
          </w:tcPr>
          <w:p>
            <w:r>
              <w:rPr>
                <w:rFonts w:ascii="Calibri" w:cs="Calibri" w:eastAsia="Calibri" w:hAnsi="Calibri"/>
                <w:b w:val="false"/>
                <w:bCs w:val="false"/>
                <w:sz w:val="19"/>
                <w:szCs w:val="19"/>
              </w:rPr>
              <w:t xml:space="preserve">Zero-error migrations, data volumes, quarantine accounting, rollback, CLI</w:t>
            </w:r>
          </w:p>
        </w:tc>
      </w:tr>
    </w:tbl>
    <w:p>
      <w:pPr>
        <w:spacing w:after="120"/>
      </w:pPr>
    </w:p>
    <w:p>
      <w:pPr>
        <w:spacing w:after="140" w:line="300"/>
      </w:pPr>
      <w:r>
        <w:rPr>
          <w:rFonts w:ascii="Calibri" w:cs="Calibri" w:eastAsia="Calibri" w:hAnsi="Calibri"/>
          <w:sz w:val="22"/>
          <w:szCs w:val="22"/>
        </w:rPr>
        <w:t xml:space="preserve">The most satisfying tests are the rollback ones. I force a failure in the middle of an issue or a return (using a monkeypatched repository) and then check that the copy status, loan and fine are all exactly as they were. That is the real proof that the transaction handling works.</w:t>
      </w:r>
    </w:p>
    <w:p>
      <w:pPr>
        <w:pStyle w:val="Heading1"/>
        <w:spacing w:after="140" w:before="280"/>
      </w:pPr>
      <w:r>
        <w:rPr>
          <w:rFonts w:ascii="Calibri" w:cs="Calibri" w:eastAsia="Calibri" w:hAnsi="Calibri"/>
          <w:b/>
          <w:bCs/>
          <w:color w:val="1F3A5F"/>
          <w:sz w:val="32"/>
          <w:szCs w:val="32"/>
        </w:rPr>
        <w:t xml:space="preserve">8. Key decisions and trade-offs</w:t>
      </w:r>
    </w:p>
    <w:p>
      <w:pPr>
        <w:pStyle w:val="ListParagraph"/>
        <w:numPr>
          <w:ilvl w:val="0"/>
          <w:numId w:val="2"/>
        </w:numPr>
        <w:spacing w:after="60" w:line="290"/>
      </w:pPr>
      <w:r>
        <w:rPr>
          <w:rFonts w:ascii="Calibri" w:cs="Calibri" w:eastAsia="Calibri" w:hAnsi="Calibri"/>
          <w:b/>
          <w:bCs/>
          <w:sz w:val="22"/>
          <w:szCs w:val="22"/>
        </w:rPr>
        <w:t xml:space="preserve">SQLite:</w:t>
      </w:r>
      <w:r>
        <w:rPr>
          <w:rFonts w:ascii="Calibri" w:cs="Calibri" w:eastAsia="Calibri" w:hAnsi="Calibri"/>
          <w:sz w:val="22"/>
          <w:szCs w:val="22"/>
        </w:rPr>
        <w:t xml:space="preserve"> zero setup for anyone reviewing the project, and it fully supports transactions. The trade-off is a single writer at a time, which suits three branches but would need a server database to scale.</w:t>
      </w:r>
    </w:p>
    <w:p>
      <w:pPr>
        <w:pStyle w:val="ListParagraph"/>
        <w:numPr>
          <w:ilvl w:val="0"/>
          <w:numId w:val="2"/>
        </w:numPr>
        <w:spacing w:after="60" w:line="290"/>
      </w:pPr>
      <w:r>
        <w:rPr>
          <w:rFonts w:ascii="Calibri" w:cs="Calibri" w:eastAsia="Calibri" w:hAnsi="Calibri"/>
          <w:b/>
          <w:bCs/>
          <w:sz w:val="22"/>
          <w:szCs w:val="22"/>
        </w:rPr>
        <w:t xml:space="preserve">Constraints in the database as well as the code:</w:t>
      </w:r>
      <w:r>
        <w:rPr>
          <w:rFonts w:ascii="Calibri" w:cs="Calibri" w:eastAsia="Calibri" w:hAnsi="Calibri"/>
          <w:sz w:val="22"/>
          <w:szCs w:val="22"/>
        </w:rPr>
        <w:t xml:space="preserve"> partial unique indexes stop two open loans on one copy even if a service bug slips through. This duplicates a few rules, but data integrity matters more than avoiding repetition.</w:t>
      </w:r>
    </w:p>
    <w:p>
      <w:pPr>
        <w:pStyle w:val="ListParagraph"/>
        <w:numPr>
          <w:ilvl w:val="0"/>
          <w:numId w:val="2"/>
        </w:numPr>
        <w:spacing w:after="60" w:line="290"/>
      </w:pPr>
      <w:r>
        <w:rPr>
          <w:rFonts w:ascii="Calibri" w:cs="Calibri" w:eastAsia="Calibri" w:hAnsi="Calibri"/>
          <w:b/>
          <w:bCs/>
          <w:sz w:val="22"/>
          <w:szCs w:val="22"/>
        </w:rPr>
        <w:t xml:space="preserve">Holds as a copy status:</w:t>
      </w:r>
      <w:r>
        <w:rPr>
          <w:rFonts w:ascii="Calibri" w:cs="Calibri" w:eastAsia="Calibri" w:hAnsi="Calibri"/>
          <w:sz w:val="22"/>
          <w:szCs w:val="22"/>
        </w:rPr>
        <w:t xml:space="preserve"> marking a returned copy as </w:t>
      </w:r>
      <w:r>
        <w:rPr>
          <w:rFonts w:ascii="Calibri" w:cs="Calibri" w:eastAsia="Calibri" w:hAnsi="Calibri"/>
          <w:i/>
          <w:iCs/>
          <w:sz w:val="22"/>
          <w:szCs w:val="22"/>
        </w:rPr>
        <w:t xml:space="preserve">held</w:t>
      </w:r>
      <w:r>
        <w:rPr>
          <w:rFonts w:ascii="Calibri" w:cs="Calibri" w:eastAsia="Calibri" w:hAnsi="Calibri"/>
          <w:sz w:val="22"/>
          <w:szCs w:val="22"/>
        </w:rPr>
        <w:t xml:space="preserve"> makes the rule 'don't issue reserved copies' a single check. The queue is per title across the network, so a member may collect from another branch.</w:t>
      </w:r>
    </w:p>
    <w:p>
      <w:pPr>
        <w:pStyle w:val="ListParagraph"/>
        <w:numPr>
          <w:ilvl w:val="0"/>
          <w:numId w:val="2"/>
        </w:numPr>
        <w:spacing w:after="60" w:line="290"/>
      </w:pPr>
      <w:r>
        <w:rPr>
          <w:rFonts w:ascii="Calibri" w:cs="Calibri" w:eastAsia="Calibri" w:hAnsi="Calibri"/>
          <w:b/>
          <w:bCs/>
          <w:sz w:val="22"/>
          <w:szCs w:val="22"/>
        </w:rPr>
        <w:t xml:space="preserve">Fines at return time:</w:t>
      </w:r>
      <w:r>
        <w:rPr>
          <w:rFonts w:ascii="Calibri" w:cs="Calibri" w:eastAsia="Calibri" w:hAnsi="Calibri"/>
          <w:sz w:val="22"/>
          <w:szCs w:val="22"/>
        </w:rPr>
        <w:t xml:space="preserve"> simple and predictable, but fines are not accrued nightly, so the overdue report calculates 'fine so far' on the fly.</w:t>
      </w:r>
    </w:p>
    <w:p>
      <w:pPr>
        <w:pStyle w:val="ListParagraph"/>
        <w:numPr>
          <w:ilvl w:val="0"/>
          <w:numId w:val="2"/>
        </w:numPr>
        <w:spacing w:after="60" w:line="290"/>
      </w:pPr>
      <w:r>
        <w:rPr>
          <w:rFonts w:ascii="Calibri" w:cs="Calibri" w:eastAsia="Calibri" w:hAnsi="Calibri"/>
          <w:b/>
          <w:bCs/>
          <w:sz w:val="22"/>
          <w:szCs w:val="22"/>
        </w:rPr>
        <w:t xml:space="preserve">Quarantine instead of deletion:</w:t>
      </w:r>
      <w:r>
        <w:rPr>
          <w:rFonts w:ascii="Calibri" w:cs="Calibri" w:eastAsia="Calibri" w:hAnsi="Calibri"/>
          <w:sz w:val="22"/>
          <w:szCs w:val="22"/>
        </w:rPr>
        <w:t xml:space="preserve"> adds tables and migration length, but the legacy data stays auditable.</w:t>
      </w:r>
    </w:p>
    <w:p>
      <w:pPr>
        <w:pStyle w:val="ListParagraph"/>
        <w:numPr>
          <w:ilvl w:val="0"/>
          <w:numId w:val="2"/>
        </w:numPr>
        <w:spacing w:after="60" w:line="290"/>
      </w:pPr>
      <w:r>
        <w:rPr>
          <w:rFonts w:ascii="Calibri" w:cs="Calibri" w:eastAsia="Calibri" w:hAnsi="Calibri"/>
          <w:b/>
          <w:bCs/>
          <w:sz w:val="22"/>
          <w:szCs w:val="22"/>
        </w:rPr>
        <w:t xml:space="preserve">Command line over web UI:</w:t>
      </w:r>
      <w:r>
        <w:rPr>
          <w:rFonts w:ascii="Calibri" w:cs="Calibri" w:eastAsia="Calibri" w:hAnsi="Calibri"/>
          <w:sz w:val="22"/>
          <w:szCs w:val="22"/>
        </w:rPr>
        <w:t xml:space="preserve"> the stretch goal was either; I chose the CLI so time went into rules and tests. Because the services know nothing about the interface, a web front end could be added without touching them.</w:t>
      </w:r>
    </w:p>
    <w:p>
      <w:pPr>
        <w:pStyle w:val="Heading1"/>
        <w:spacing w:after="140" w:before="280"/>
      </w:pPr>
      <w:r>
        <w:rPr>
          <w:rFonts w:ascii="Calibri" w:cs="Calibri" w:eastAsia="Calibri" w:hAnsi="Calibri"/>
          <w:b/>
          <w:bCs/>
          <w:color w:val="1F3A5F"/>
          <w:sz w:val="32"/>
          <w:szCs w:val="32"/>
        </w:rPr>
        <w:t xml:space="preserve">9. Limitations and next steps</w:t>
      </w:r>
    </w:p>
    <w:p>
      <w:pPr>
        <w:pStyle w:val="ListParagraph"/>
        <w:numPr>
          <w:ilvl w:val="0"/>
          <w:numId w:val="2"/>
        </w:numPr>
        <w:spacing w:after="60" w:line="290"/>
      </w:pPr>
      <w:r>
        <w:rPr>
          <w:rFonts w:ascii="Calibri" w:cs="Calibri" w:eastAsia="Calibri" w:hAnsi="Calibri"/>
          <w:sz w:val="22"/>
          <w:szCs w:val="22"/>
        </w:rPr>
        <w:t xml:space="preserve">No user login or staff roles; the CLI trusts its operator.</w:t>
      </w:r>
    </w:p>
    <w:p>
      <w:pPr>
        <w:pStyle w:val="ListParagraph"/>
        <w:numPr>
          <w:ilvl w:val="0"/>
          <w:numId w:val="2"/>
        </w:numPr>
        <w:spacing w:after="60" w:line="290"/>
      </w:pPr>
      <w:r>
        <w:rPr>
          <w:rFonts w:ascii="Calibri" w:cs="Calibri" w:eastAsia="Calibri" w:hAnsi="Calibri"/>
          <w:sz w:val="22"/>
          <w:szCs w:val="22"/>
        </w:rPr>
        <w:t xml:space="preserve">No partial fine payments, lost-book charges or membership-fee billing.</w:t>
      </w:r>
    </w:p>
    <w:p>
      <w:pPr>
        <w:pStyle w:val="ListParagraph"/>
        <w:numPr>
          <w:ilvl w:val="0"/>
          <w:numId w:val="2"/>
        </w:numPr>
        <w:spacing w:after="60" w:line="290"/>
      </w:pPr>
      <w:r>
        <w:rPr>
          <w:rFonts w:ascii="Calibri" w:cs="Calibri" w:eastAsia="Calibri" w:hAnsi="Calibri"/>
          <w:sz w:val="22"/>
          <w:szCs w:val="22"/>
        </w:rPr>
        <w:t xml:space="preserve">Holiday dates are approximate because lunar festivals shift each year.</w:t>
      </w:r>
    </w:p>
    <w:p>
      <w:pPr>
        <w:pStyle w:val="ListParagraph"/>
        <w:numPr>
          <w:ilvl w:val="0"/>
          <w:numId w:val="2"/>
        </w:numPr>
        <w:spacing w:after="60" w:line="290"/>
      </w:pPr>
      <w:r>
        <w:rPr>
          <w:rFonts w:ascii="Calibri" w:cs="Calibri" w:eastAsia="Calibri" w:hAnsi="Calibri"/>
          <w:sz w:val="22"/>
          <w:szCs w:val="22"/>
        </w:rPr>
        <w:t xml:space="preserve">Next: a small web interface, scheduled fine accrual and email reminders for holds about to expire.</w:t>
      </w:r>
    </w:p>
    <w:p>
      <w:pPr>
        <w:pStyle w:val="Heading1"/>
        <w:spacing w:after="140" w:before="280"/>
      </w:pPr>
      <w:r>
        <w:rPr>
          <w:rFonts w:ascii="Calibri" w:cs="Calibri" w:eastAsia="Calibri" w:hAnsi="Calibri"/>
          <w:b/>
          <w:bCs/>
          <w:color w:val="1F3A5F"/>
          <w:sz w:val="32"/>
          <w:szCs w:val="32"/>
        </w:rPr>
        <w:t xml:space="preserve">10. How to run it</w:t>
      </w:r>
    </w:p>
    <w:p>
      <w:pPr>
        <w:shd w:fill="F4F6FA" w:val="clear"/>
        <w:spacing w:after="20"/>
      </w:pPr>
      <w:r>
        <w:rPr>
          <w:rFonts w:ascii="Consolas" w:cs="Consolas" w:eastAsia="Consolas" w:hAnsi="Consolas"/>
          <w:sz w:val="19"/>
          <w:szCs w:val="19"/>
        </w:rPr>
        <w:t xml:space="preserve">python -m library_app migrate     # create DB and load sample data</w:t>
      </w:r>
    </w:p>
    <w:p>
      <w:pPr>
        <w:shd w:fill="F4F6FA" w:val="clear"/>
        <w:spacing w:after="20"/>
      </w:pPr>
      <w:r>
        <w:rPr>
          <w:rFonts w:ascii="Consolas" w:cs="Consolas" w:eastAsia="Consolas" w:hAnsi="Consolas"/>
          <w:sz w:val="19"/>
          <w:szCs w:val="19"/>
        </w:rPr>
        <w:t xml:space="preserve">python -m pytest -v               # run all 64 tests</w:t>
      </w:r>
    </w:p>
    <w:p>
      <w:pPr>
        <w:shd w:fill="F4F6FA" w:val="clear"/>
        <w:spacing w:after="20"/>
      </w:pPr>
      <w:r>
        <w:rPr>
          <w:rFonts w:ascii="Consolas" w:cs="Consolas" w:eastAsia="Consolas" w:hAnsi="Consolas"/>
          <w:sz w:val="19"/>
          <w:szCs w:val="19"/>
        </w:rPr>
        <w:t xml:space="preserve">python -m library_app search --title "Silent"</w:t>
      </w:r>
    </w:p>
    <w:p>
      <w:pPr>
        <w:shd w:fill="F4F6FA" w:val="clear"/>
        <w:spacing w:after="20"/>
      </w:pPr>
      <w:r>
        <w:rPr>
          <w:rFonts w:ascii="Consolas" w:cs="Consolas" w:eastAsia="Consolas" w:hAnsi="Consolas"/>
          <w:sz w:val="19"/>
          <w:szCs w:val="19"/>
        </w:rPr>
        <w:t xml:space="preserve">python -m library_app overdue --branch 2</w:t>
      </w:r>
    </w:p>
    <w:p>
      <w:pPr>
        <w:spacing w:after="120"/>
      </w:pPr>
    </w:p>
    <w:p>
      <w:pPr>
        <w:pStyle w:val="Heading1"/>
        <w:spacing w:after="140" w:before="280"/>
      </w:pPr>
      <w:r>
        <w:rPr>
          <w:rFonts w:ascii="Calibri" w:cs="Calibri" w:eastAsia="Calibri" w:hAnsi="Calibri"/>
          <w:b/>
          <w:bCs/>
          <w:color w:val="1F3A5F"/>
          <w:sz w:val="32"/>
          <w:szCs w:val="32"/>
        </w:rPr>
        <w:t xml:space="preserve">11. What I learned</w:t>
      </w:r>
    </w:p>
    <w:p>
      <w:pPr>
        <w:spacing w:after="140" w:line="300"/>
      </w:pPr>
      <w:r>
        <w:rPr>
          <w:rFonts w:ascii="Calibri" w:cs="Calibri" w:eastAsia="Calibri" w:hAnsi="Calibri"/>
          <w:sz w:val="22"/>
          <w:szCs w:val="22"/>
        </w:rPr>
        <w:t xml:space="preserve">The biggest lesson was how much easier everything became once transactions and rules were separated from the interface. I also learned to treat dirty data as a normal part of the job: staging, validating and quarantining it was more reliable (and more honest) than quietly fixing or discarding rows. Finally, writing the tests alongside the rules caught real mistakes early, including some incorrect ISBN check digits in my own test fixtures, which the validator correctly rejected.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7"/>
        <w:szCs w:val="17"/>
      </w:rPr>
      <w:t xml:space="preserve">Lucknow Public Library Management System - Project Report   |   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0a07ecd2df9e8a6bbe57f44a93d3cdc9498716.png"/><Relationship Id="rId9" Type="http://schemas.openxmlformats.org/officeDocument/2006/relationships/image" Target="media/20d6e186bf16103a2a613731f48f451580133f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Application - Project Report</dc:title>
  <dc:creator>Library Intern</dc:creator>
  <cp:lastModifiedBy>Un-named</cp:lastModifiedBy>
  <cp:revision>1</cp:revision>
  <dcterms:created xsi:type="dcterms:W3CDTF">2026-10-28T06:40:03.522Z</dcterms:created>
  <dcterms:modified xsi:type="dcterms:W3CDTF">2026-10-28T06:40:03.522Z</dcterms:modified>
</cp:coreProperties>
</file>

<file path=docProps/custom.xml><?xml version="1.0" encoding="utf-8"?>
<Properties xmlns="http://schemas.openxmlformats.org/officeDocument/2006/custom-properties" xmlns:vt="http://schemas.openxmlformats.org/officeDocument/2006/docPropsVTypes"/>
</file>