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0"/>
      </w:pPr>
    </w:p>
    <w:p>
      <w:pPr>
        <w:spacing w:after="200"/>
      </w:pPr>
      <w:r>
        <w:rPr>
          <w:rFonts w:ascii="Arial" w:cs="Arial" w:eastAsia="Arial" w:hAnsi="Arial"/>
          <w:b/>
          <w:bCs/>
          <w:color w:val="B8901A"/>
          <w:spacing w:val="40"/>
          <w:sz w:val="20"/>
          <w:szCs w:val="20"/>
        </w:rPr>
        <w:t xml:space="preserve">SMART INDIA HACKATHON 2026  ·  PS 26214</w:t>
      </w:r>
    </w:p>
    <w:p>
      <w:pPr>
        <w:spacing w:after="60"/>
      </w:pPr>
      <w:r>
        <w:rPr>
          <w:rFonts w:ascii="Arial" w:cs="Arial" w:eastAsia="Arial" w:hAnsi="Arial"/>
          <w:b/>
          <w:bCs/>
          <w:color w:val="7A1F1F"/>
          <w:spacing w:val="50"/>
          <w:sz w:val="84"/>
          <w:szCs w:val="84"/>
        </w:rPr>
        <w:t xml:space="preserve">PARAMPARA 2.0</w:t>
      </w:r>
    </w:p>
    <w:p>
      <w:pPr>
        <w:spacing w:after="240"/>
      </w:pPr>
      <w:r>
        <w:rPr>
          <w:rFonts w:ascii="Arial" w:cs="Arial" w:eastAsia="Arial" w:hAnsi="Arial"/>
          <w:color w:val="1F4E79"/>
          <w:sz w:val="40"/>
          <w:szCs w:val="40"/>
        </w:rPr>
        <w:t xml:space="preserve">Feel the Guru's Hand</w:t>
      </w:r>
    </w:p>
    <w:p>
      <w:pPr>
        <w:pBdr>
          <w:left w:val="single" w:color="B8901A" w:sz="24" w:space="12"/>
        </w:pBdr>
        <w:spacing w:after="480"/>
        <w:ind w:left="240"/>
      </w:pPr>
      <w:r>
        <w:rPr>
          <w:rFonts w:ascii="Arial" w:cs="Arial" w:eastAsia="Arial" w:hAnsi="Arial"/>
          <w:color w:val="222222"/>
          <w:sz w:val="26"/>
          <w:szCs w:val="26"/>
        </w:rPr>
        <w:t xml:space="preserve">Measure a master's rhythmic fingerprint. Teach it through touch, sound and sight. Step back until the student plays alone. Keep the master's consent and credit attached.</w:t>
      </w:r>
    </w:p>
    <w:p>
      <w:pPr>
        <w:spacing w:after="80"/>
      </w:pPr>
      <w:r>
        <w:rPr>
          <w:rFonts w:ascii="Arial" w:cs="Arial" w:eastAsia="Arial" w:hAnsi="Arial"/>
          <w:b/>
          <w:bCs/>
          <w:color w:val="222222"/>
          <w:sz w:val="24"/>
          <w:szCs w:val="24"/>
        </w:rPr>
        <w:t xml:space="preserve">Final research dossier, version 2.0 (red-team revision)</w:t>
      </w:r>
    </w:p>
    <w:p>
      <w:pPr>
        <w:spacing w:after="80"/>
      </w:pPr>
      <w:r>
        <w:rPr>
          <w:rFonts w:ascii="Arial" w:cs="Arial" w:eastAsia="Arial" w:hAnsi="Arial"/>
          <w:color w:val="5E5E5E"/>
          <w:sz w:val="20"/>
          <w:szCs w:val="20"/>
        </w:rPr>
        <w:t xml:space="preserve">AICTE · MIC Student Innovation · Heritage &amp; Culture · Hardware</w:t>
      </w:r>
    </w:p>
    <w:p>
      <w:pPr>
        <w:spacing w:after="560"/>
      </w:pPr>
      <w:r>
        <w:rPr>
          <w:rFonts w:ascii="Arial" w:cs="Arial" w:eastAsia="Arial" w:hAnsi="Arial"/>
          <w:color w:val="5E5E5E"/>
          <w:sz w:val="20"/>
          <w:szCs w:val="20"/>
        </w:rPr>
        <w:t xml:space="preserve">Version 2.0 · 5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7A1F1F" w:sz="24"/>
              <w:bottom w:val="single" w:color="D9CFC0" w:sz="4"/>
              <w:right w:val="single" w:color="D9CFC0" w:sz="4"/>
            </w:tcBorders>
            <w:shd w:fill="FBF6EC" w:color="auto" w:val="clear"/>
            <w:tcMar>
              <w:top w:type="dxa" w:w="120"/>
              <w:left w:type="dxa" w:w="200"/>
              <w:bottom w:type="dxa" w:w="100"/>
              <w:right w:type="dxa" w:w="160"/>
            </w:tcMar>
          </w:tcPr>
          <w:p>
            <w:pPr>
              <w:spacing w:after="80"/>
            </w:pPr>
            <w:r>
              <w:rPr>
                <w:rFonts w:ascii="Arial" w:cs="Arial" w:eastAsia="Arial" w:hAnsi="Arial"/>
                <w:b/>
                <w:bCs/>
                <w:color w:val="7A1F1F"/>
                <w:sz w:val="21"/>
                <w:szCs w:val="21"/>
              </w:rPr>
              <w:t xml:space="preserve">What changed from version 1</w:t>
            </w:r>
          </w:p>
          <w:p>
            <w:pPr>
              <w:pStyle w:val="ListParagraph"/>
              <w:numPr>
                <w:ilvl w:val="0"/>
                <w:numId w:val="2"/>
              </w:numPr>
              <w:spacing w:after="50" w:line="262"/>
            </w:pPr>
            <w:r>
              <w:rPr>
                <w:rFonts w:ascii="Arial" w:cs="Arial" w:eastAsia="Arial" w:hAnsi="Arial"/>
                <w:color w:val="222222"/>
                <w:sz w:val="19"/>
                <w:szCs w:val="19"/>
              </w:rPr>
              <w:t xml:space="preserve">Every weakness from our own harsh SIH-judge review (v1 ≈ 59/100) is answered in Section 2, with evidence and the risk that remains.</w:t>
            </w:r>
          </w:p>
          <w:p>
            <w:pPr>
              <w:pStyle w:val="ListParagraph"/>
              <w:numPr>
                <w:ilvl w:val="0"/>
                <w:numId w:val="2"/>
              </w:numPr>
              <w:spacing w:after="50" w:line="262"/>
            </w:pPr>
            <w:r>
              <w:rPr>
                <w:rFonts w:ascii="Arial" w:cs="Arial" w:eastAsia="Arial" w:hAnsi="Arial"/>
                <w:color w:val="222222"/>
                <w:sz w:val="19"/>
                <w:szCs w:val="19"/>
              </w:rPr>
              <w:t xml:space="preserve">New core: the Gharana Fingerprint, a measurable signature of each master, and a three-tier curriculum that gives touch, hearing and vision the jobs the research says they do best.</w:t>
            </w:r>
          </w:p>
          <w:p>
            <w:pPr>
              <w:pStyle w:val="ListParagraph"/>
              <w:numPr>
                <w:ilvl w:val="0"/>
                <w:numId w:val="2"/>
              </w:numPr>
              <w:spacing w:after="50" w:line="262"/>
            </w:pPr>
            <w:r>
              <w:rPr>
                <w:rFonts w:ascii="Arial" w:cs="Arial" w:eastAsia="Arial" w:hAnsi="Arial"/>
                <w:color w:val="222222"/>
                <w:sz w:val="19"/>
                <w:szCs w:val="19"/>
              </w:rPr>
              <w:t xml:space="preserve">Movement-aware haptics, Fade Engine 2.1, fingerprint signing by passkey, CARE-based consent, a custom PCB with volume pricing, and a public showcase kiosk.</w:t>
            </w:r>
          </w:p>
          <w:p>
            <w:pPr>
              <w:pStyle w:val="ListParagraph"/>
              <w:numPr>
                <w:ilvl w:val="0"/>
                <w:numId w:val="2"/>
              </w:numPr>
              <w:spacing w:after="50" w:line="262"/>
            </w:pPr>
            <w:r>
              <w:rPr>
                <w:rFonts w:ascii="Arial" w:cs="Arial" w:eastAsia="Arial" w:hAnsi="Arial"/>
                <w:color w:val="222222"/>
                <w:sz w:val="19"/>
                <w:szCs w:val="19"/>
              </w:rPr>
              <w:t xml:space="preserve">Four decisive experiments (E1–E4) with ready analysis code, two new simulations and about 30 new sources.</w:t>
            </w:r>
          </w:p>
        </w:tc>
      </w:tr>
    </w:tbl>
    <w:p>
      <w:pPr>
        <w:spacing w:after="100"/>
      </w:pPr>
    </w:p>
    <w:p>
      <w:r>
        <w:br w:type="page"/>
      </w:r>
    </w:p>
    <w:p>
      <w:pPr>
        <w:pStyle w:val="Heading2"/>
        <w:keepNext/>
      </w:pPr>
      <w:r>
        <w:rPr>
          <w:rFonts w:ascii="Arial" w:cs="Arial" w:eastAsia="Arial" w:hAnsi="Arial"/>
        </w:rP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7943"/>
      </w:tblGrid>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Executive summary</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2</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Red-team review: 14 attacks and how version 2 answers them</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3</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The problem, with honest numbers</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4</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The core insight: a master's style is measurable (Gharana Fingerprint)</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5</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The solution: PARAMPARA 2.0</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6</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Learning-science and perception foundation</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7</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Simulations: fade controller and fingerprint planning</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8</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Innovation: where exactly we innovate</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9</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Novelty: evidence and prior-art matrix</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10</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Evidence plan: four decisive experiments, then trials</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11</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Feasibility</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12</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Viability</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13</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Impact</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14</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Where else PARAMPARA works: tabla, pottery, puppetry, dance and more</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15</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How PARAMPARA will fascinate the jury</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16</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Limitations and honest risks</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17</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Roadmap</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18</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Pre-submission checklist</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19</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Source merge decisions and reference audit (from v1)</w:t>
            </w:r>
          </w:p>
        </w:tc>
      </w:tr>
      <w:tr>
        <w:trPr>
          <w:cantSplit/>
        </w:trPr>
        <w:tc>
          <w:tcPr>
            <w:tcW w:type="dxa" w:w="108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20</w:t>
            </w:r>
          </w:p>
        </w:tc>
        <w:tc>
          <w:tcPr>
            <w:tcW w:type="dxa" w:w="794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References</w:t>
            </w:r>
          </w:p>
        </w:tc>
      </w:tr>
      <w:tr>
        <w:trPr>
          <w:cantSplit/>
        </w:trPr>
        <w:tc>
          <w:tcPr>
            <w:tcW w:type="dxa" w:w="108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A–C</w:t>
            </w:r>
          </w:p>
        </w:tc>
        <w:tc>
          <w:tcPr>
            <w:tcW w:type="dxa" w:w="794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8"/>
                <w:szCs w:val="18"/>
              </w:rPr>
              <w:t xml:space="preserve">Appendices: parameters, pseudo-code, glossary</w:t>
            </w:r>
          </w:p>
        </w:tc>
      </w:tr>
    </w:tbl>
    <w:p>
      <w:pPr>
        <w:spacing w:after="80"/>
      </w:pPr>
    </w:p>
    <w:p>
      <w:pPr>
        <w:pStyle w:val="Heading1"/>
        <w:keepNext/>
        <w:pageBreakBefore/>
        <w:spacing w:after="200" w:before="0"/>
      </w:pPr>
      <w:r>
        <w:rPr>
          <w:rFonts w:ascii="Arial" w:cs="Arial" w:eastAsia="Arial" w:hAnsi="Arial"/>
        </w:rPr>
        <w:t xml:space="preserve">0. How to read this document</w:t>
      </w:r>
    </w:p>
    <w:p>
      <w:pPr>
        <w:spacing w:after="120" w:before="0" w:line="276"/>
        <w:jc w:val="left"/>
      </w:pPr>
      <w:r>
        <w:rPr>
          <w:rFonts w:ascii="Arial" w:cs="Arial" w:eastAsia="Arial" w:hAnsi="Arial"/>
          <w:color w:val="222222"/>
          <w:sz w:val="20"/>
          <w:szCs w:val="20"/>
        </w:rPr>
        <w:t xml:space="preserve">This is </w:t>
      </w:r>
      <w:r>
        <w:rPr>
          <w:rFonts w:ascii="Arial" w:cs="Arial" w:eastAsia="Arial" w:hAnsi="Arial"/>
          <w:b/>
          <w:bCs/>
          <w:color w:val="222222"/>
          <w:sz w:val="20"/>
          <w:szCs w:val="20"/>
        </w:rPr>
        <w:t xml:space="preserve">version 2.0</w:t>
      </w:r>
      <w:r>
        <w:rPr>
          <w:rFonts w:ascii="Arial" w:cs="Arial" w:eastAsia="Arial" w:hAnsi="Arial"/>
          <w:color w:val="222222"/>
          <w:sz w:val="20"/>
          <w:szCs w:val="20"/>
        </w:rPr>
        <w:t xml:space="preserve"> of the PARAMPARA dossier. Version 1 merged the team's two documents and fact-checked them. We then rated v1 ourselves as a harsh SIH judge (about 59/100) and found six serious weaknesses. </w:t>
      </w:r>
      <w:r>
        <w:rPr>
          <w:rFonts w:ascii="Arial" w:cs="Arial" w:eastAsia="Arial" w:hAnsi="Arial"/>
          <w:b/>
          <w:bCs/>
          <w:color w:val="222222"/>
          <w:sz w:val="20"/>
          <w:szCs w:val="20"/>
        </w:rPr>
        <w:t xml:space="preserve">Version 2 redesigns the idea to answer every one of them</w:t>
      </w:r>
      <w:r>
        <w:rPr>
          <w:rFonts w:ascii="Arial" w:cs="Arial" w:eastAsia="Arial" w:hAnsi="Arial"/>
          <w:color w:val="222222"/>
          <w:sz w:val="20"/>
          <w:szCs w:val="20"/>
        </w:rPr>
        <w:t xml:space="preserve">, adds about 30 new sources, two new simulations and a ready-to-run analysis pipeline. Section 2 maps each attack to its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14"/>
        <w:gridCol w:w="6812"/>
      </w:tblGrid>
      <w:tr>
        <w:trPr>
          <w:cantSplit/>
          <w:tblHeader/>
        </w:trPr>
        <w:tc>
          <w:tcPr>
            <w:tcW w:type="dxa" w:w="221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Label</w:t>
            </w:r>
          </w:p>
        </w:tc>
        <w:tc>
          <w:tcPr>
            <w:tcW w:type="dxa" w:w="681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Meaning</w:t>
            </w:r>
          </w:p>
        </w:tc>
      </w:tr>
      <w:tr>
        <w:trPr>
          <w:cantSplit/>
        </w:trPr>
        <w:tc>
          <w:tcPr>
            <w:tcW w:type="dxa" w:w="22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[Established]</w:t>
            </w:r>
          </w:p>
        </w:tc>
        <w:tc>
          <w:tcPr>
            <w:tcW w:type="dxa" w:w="68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Well replicated in the literature or standard engineering practice.</w:t>
            </w:r>
          </w:p>
        </w:tc>
      </w:tr>
      <w:tr>
        <w:trPr>
          <w:cantSplit/>
        </w:trPr>
        <w:tc>
          <w:tcPr>
            <w:tcW w:type="dxa" w:w="221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[Plausible]</w:t>
            </w:r>
          </w:p>
        </w:tc>
        <w:tc>
          <w:tcPr>
            <w:tcW w:type="dxa" w:w="68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Reasonable inference, or the evidence is mixed.</w:t>
            </w:r>
          </w:p>
        </w:tc>
      </w:tr>
      <w:tr>
        <w:trPr>
          <w:cantSplit/>
        </w:trPr>
        <w:tc>
          <w:tcPr>
            <w:tcW w:type="dxa" w:w="22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[Design choice]</w:t>
            </w:r>
          </w:p>
        </w:tc>
        <w:tc>
          <w:tcPr>
            <w:tcW w:type="dxa" w:w="68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Our decision. It can be changed.</w:t>
            </w:r>
          </w:p>
        </w:tc>
      </w:tr>
      <w:tr>
        <w:trPr>
          <w:cantSplit/>
        </w:trPr>
        <w:tc>
          <w:tcPr>
            <w:tcW w:type="dxa" w:w="221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[Target]</w:t>
            </w:r>
          </w:p>
        </w:tc>
        <w:tc>
          <w:tcPr>
            <w:tcW w:type="dxa" w:w="68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A number we must measure on our prototype. It is not a result yet.</w:t>
            </w:r>
          </w:p>
        </w:tc>
      </w:tr>
      <w:tr>
        <w:trPr>
          <w:cantSplit/>
        </w:trPr>
        <w:tc>
          <w:tcPr>
            <w:tcW w:type="dxa" w:w="22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[To validate]</w:t>
            </w:r>
          </w:p>
        </w:tc>
        <w:tc>
          <w:tcPr>
            <w:tcW w:type="dxa" w:w="68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Needs interviews, a bench test or an experiment before we can claim it.</w:t>
            </w:r>
          </w:p>
        </w:tc>
      </w:tr>
    </w:tbl>
    <w:p>
      <w:pPr>
        <w:spacing w:after="80"/>
      </w:pPr>
    </w:p>
    <w:p>
      <w:pPr>
        <w:spacing w:after="120" w:before="0" w:line="276"/>
        <w:jc w:val="left"/>
      </w:pPr>
      <w:r>
        <w:rPr>
          <w:rFonts w:ascii="Arial" w:cs="Arial" w:eastAsia="Arial" w:hAnsi="Arial"/>
          <w:color w:val="222222"/>
          <w:sz w:val="20"/>
          <w:szCs w:val="20"/>
        </w:rPr>
        <w:t xml:space="preserve">Reference status in Section 20: </w:t>
      </w:r>
      <w:r>
        <w:rPr>
          <w:rFonts w:ascii="Arial" w:cs="Arial" w:eastAsia="Arial" w:hAnsi="Arial"/>
          <w:b/>
          <w:bCs/>
          <w:color w:val="222222"/>
          <w:sz w:val="20"/>
          <w:szCs w:val="20"/>
        </w:rPr>
        <w:t xml:space="preserve">V</w:t>
      </w:r>
      <w:r>
        <w:rPr>
          <w:rFonts w:ascii="Arial" w:cs="Arial" w:eastAsia="Arial" w:hAnsi="Arial"/>
          <w:color w:val="222222"/>
          <w:sz w:val="20"/>
          <w:szCs w:val="20"/>
        </w:rPr>
        <w:t xml:space="preserve"> verified in this session by live web search (October 2026); </w:t>
      </w:r>
      <w:r>
        <w:rPr>
          <w:rFonts w:ascii="Arial" w:cs="Arial" w:eastAsia="Arial" w:hAnsi="Arial"/>
          <w:b/>
          <w:bCs/>
          <w:color w:val="222222"/>
          <w:sz w:val="20"/>
          <w:szCs w:val="20"/>
        </w:rPr>
        <w:t xml:space="preserve">P</w:t>
      </w:r>
      <w:r>
        <w:rPr>
          <w:rFonts w:ascii="Arial" w:cs="Arial" w:eastAsia="Arial" w:hAnsi="Arial"/>
          <w:color w:val="222222"/>
          <w:sz w:val="20"/>
          <w:szCs w:val="20"/>
        </w:rPr>
        <w:t xml:space="preserve"> existence verified, some details from memory; </w:t>
      </w:r>
      <w:r>
        <w:rPr>
          <w:rFonts w:ascii="Arial" w:cs="Arial" w:eastAsia="Arial" w:hAnsi="Arial"/>
          <w:b/>
          <w:bCs/>
          <w:color w:val="222222"/>
          <w:sz w:val="20"/>
          <w:szCs w:val="20"/>
        </w:rPr>
        <w:t xml:space="preserve">S</w:t>
      </w:r>
      <w:r>
        <w:rPr>
          <w:rFonts w:ascii="Arial" w:cs="Arial" w:eastAsia="Arial" w:hAnsi="Arial"/>
          <w:color w:val="222222"/>
          <w:sz w:val="20"/>
          <w:szCs w:val="20"/>
        </w:rPr>
        <w:t xml:space="preserve"> standard reference carried over, not re-checked.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1F4E79" w:sz="24"/>
              <w:bottom w:val="single" w:color="D9CFC0" w:sz="4"/>
              <w:right w:val="single" w:color="D9CFC0" w:sz="4"/>
            </w:tcBorders>
            <w:shd w:fill="EEF3F8" w:color="auto" w:val="clear"/>
            <w:tcMar>
              <w:top w:type="dxa" w:w="120"/>
              <w:left w:type="dxa" w:w="200"/>
              <w:bottom w:type="dxa" w:w="100"/>
              <w:right w:type="dxa" w:w="160"/>
            </w:tcMar>
          </w:tcPr>
          <w:p>
            <w:pPr>
              <w:spacing w:after="80"/>
            </w:pPr>
            <w:r>
              <w:rPr>
                <w:rFonts w:ascii="Arial" w:cs="Arial" w:eastAsia="Arial" w:hAnsi="Arial"/>
                <w:b/>
                <w:bCs/>
                <w:color w:val="1F4E79"/>
                <w:sz w:val="21"/>
                <w:szCs w:val="21"/>
              </w:rPr>
              <w:t xml:space="preserve">Honesty rules</w:t>
            </w:r>
          </w:p>
          <w:p>
            <w:pPr>
              <w:pStyle w:val="ListParagraph"/>
              <w:numPr>
                <w:ilvl w:val="0"/>
                <w:numId w:val="2"/>
              </w:numPr>
              <w:spacing w:after="50" w:line="262"/>
            </w:pPr>
            <w:r>
              <w:rPr>
                <w:rFonts w:ascii="Arial" w:cs="Arial" w:eastAsia="Arial" w:hAnsi="Arial"/>
                <w:color w:val="222222"/>
                <w:sz w:val="19"/>
                <w:szCs w:val="19"/>
              </w:rPr>
              <w:t xml:space="preserve">Nothing here is a measured result from our prototype unless it says so. Bench and experiment numbers are written as [Target].</w:t>
            </w:r>
          </w:p>
          <w:p>
            <w:pPr>
              <w:pStyle w:val="ListParagraph"/>
              <w:numPr>
                <w:ilvl w:val="0"/>
                <w:numId w:val="2"/>
              </w:numPr>
              <w:spacing w:after="50" w:line="262"/>
            </w:pPr>
            <w:r>
              <w:rPr>
                <w:rFonts w:ascii="Arial" w:cs="Arial" w:eastAsia="Arial" w:hAnsi="Arial"/>
                <w:color w:val="222222"/>
                <w:sz w:val="19"/>
                <w:szCs w:val="19"/>
              </w:rPr>
              <w:t xml:space="preserve">Our simulations test the controller and plan sample sizes. They are not evidence that people learn.</w:t>
            </w:r>
          </w:p>
          <w:p>
            <w:pPr>
              <w:pStyle w:val="ListParagraph"/>
              <w:numPr>
                <w:ilvl w:val="0"/>
                <w:numId w:val="2"/>
              </w:numPr>
              <w:spacing w:after="50" w:line="262"/>
            </w:pPr>
            <w:r>
              <w:rPr>
                <w:rFonts w:ascii="Arial" w:cs="Arial" w:eastAsia="Arial" w:hAnsi="Arial"/>
                <w:color w:val="222222"/>
                <w:sz w:val="19"/>
                <w:szCs w:val="19"/>
              </w:rPr>
              <w:t xml:space="preserve">No open tabla dataset was reachable from our build environment, so the fingerprint analysis code is tested on synthetic data only. Experiment E1 (Section 10) produces the real numbers.</w:t>
            </w:r>
          </w:p>
          <w:p>
            <w:pPr>
              <w:pStyle w:val="ListParagraph"/>
              <w:numPr>
                <w:ilvl w:val="0"/>
                <w:numId w:val="2"/>
              </w:numPr>
              <w:spacing w:after="50" w:line="262"/>
            </w:pPr>
            <w:r>
              <w:rPr>
                <w:rFonts w:ascii="Arial" w:cs="Arial" w:eastAsia="Arial" w:hAnsi="Arial"/>
                <w:color w:val="222222"/>
                <w:sz w:val="19"/>
                <w:szCs w:val="19"/>
              </w:rPr>
              <w:t xml:space="preserve">Rupee figures are indicative October 2026 estimates; only the component prices marked V were checked.</w:t>
            </w:r>
          </w:p>
        </w:tc>
      </w:tr>
    </w:tbl>
    <w:p>
      <w:pPr>
        <w:spacing w:after="100"/>
      </w:pPr>
    </w:p>
    <w:p>
      <w:pPr>
        <w:pStyle w:val="Heading1"/>
        <w:keepNext/>
        <w:pageBreakBefore/>
        <w:spacing w:after="200" w:before="0"/>
      </w:pPr>
      <w:r>
        <w:rPr>
          <w:rFonts w:ascii="Arial" w:cs="Arial" w:eastAsia="Arial" w:hAnsi="Arial"/>
        </w:rPr>
        <w:t xml:space="preserve">1. Executive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7A1F1F" w:sz="24"/>
              <w:bottom w:val="single" w:color="D9CFC0" w:sz="4"/>
              <w:right w:val="single" w:color="D9CFC0" w:sz="4"/>
            </w:tcBorders>
            <w:shd w:fill="FBF6EC" w:color="auto" w:val="clear"/>
            <w:tcMar>
              <w:top w:type="dxa" w:w="120"/>
              <w:left w:type="dxa" w:w="200"/>
              <w:bottom w:type="dxa" w:w="100"/>
              <w:right w:type="dxa" w:w="160"/>
            </w:tcMar>
          </w:tcPr>
          <w:p>
            <w:pPr>
              <w:spacing w:after="80"/>
            </w:pPr>
            <w:r>
              <w:rPr>
                <w:rFonts w:ascii="Arial" w:cs="Arial" w:eastAsia="Arial" w:hAnsi="Arial"/>
                <w:b/>
                <w:bCs/>
                <w:color w:val="7A1F1F"/>
                <w:sz w:val="21"/>
                <w:szCs w:val="21"/>
              </w:rPr>
              <w:t xml:space="preserve">One-line pitch</w:t>
            </w:r>
          </w:p>
          <w:p>
            <w:pPr>
              <w:spacing w:after="70" w:line="266"/>
            </w:pPr>
            <w:r>
              <w:rPr>
                <w:rFonts w:ascii="Arial" w:cs="Arial" w:eastAsia="Arial" w:hAnsi="Arial"/>
                <w:b/>
                <w:bCs/>
                <w:color w:val="222222"/>
                <w:sz w:val="19"/>
                <w:szCs w:val="19"/>
              </w:rPr>
              <w:t xml:space="preserve">Every master plays the same theka differently. PARAMPARA measures that difference, teaches it through touch and sound, steps back until the student plays alone, and keeps the master's consent and credit attached to the data.</w:t>
            </w:r>
          </w:p>
        </w:tc>
      </w:tr>
    </w:tbl>
    <w:p>
      <w:pPr>
        <w:spacing w:after="100"/>
      </w:pPr>
    </w:p>
    <w:p>
      <w:pPr>
        <w:pStyle w:val="Heading3"/>
        <w:keepNext/>
      </w:pPr>
      <w:r>
        <w:rPr>
          <w:rFonts w:ascii="Arial" w:cs="Arial" w:eastAsia="Arial" w:hAnsi="Arial"/>
        </w:rPr>
        <w:t xml:space="preserve">The problem</w:t>
      </w:r>
    </w:p>
    <w:p>
      <w:pPr>
        <w:pStyle w:val="ListParagraph"/>
        <w:numPr>
          <w:ilvl w:val="0"/>
          <w:numId w:val="2"/>
        </w:numPr>
        <w:spacing w:after="60" w:line="268"/>
      </w:pPr>
      <w:r>
        <w:rPr>
          <w:rFonts w:ascii="Arial" w:cs="Arial" w:eastAsia="Arial" w:hAnsi="Arial"/>
          <w:color w:val="222222"/>
          <w:sz w:val="20"/>
          <w:szCs w:val="20"/>
        </w:rPr>
        <w:t xml:space="preserve">Tabla is learned through </w:t>
      </w:r>
      <w:r>
        <w:rPr>
          <w:rFonts w:ascii="Arial" w:cs="Arial" w:eastAsia="Arial" w:hAnsi="Arial"/>
          <w:i/>
          <w:iCs/>
          <w:color w:val="222222"/>
          <w:sz w:val="20"/>
          <w:szCs w:val="20"/>
        </w:rPr>
        <w:t xml:space="preserve">talim</w:t>
      </w:r>
      <w:r>
        <w:rPr>
          <w:rFonts w:ascii="Arial" w:cs="Arial" w:eastAsia="Arial" w:hAnsi="Arial"/>
          <w:color w:val="222222"/>
          <w:sz w:val="20"/>
          <w:szCs w:val="20"/>
        </w:rPr>
        <w:t xml:space="preserve">: years of face-to-face imitation. A guru's timing, accents and touch are </w:t>
      </w:r>
      <w:r>
        <w:rPr>
          <w:rFonts w:ascii="Arial" w:cs="Arial" w:eastAsia="Arial" w:hAnsi="Arial"/>
          <w:b/>
          <w:bCs/>
          <w:color w:val="222222"/>
          <w:sz w:val="20"/>
          <w:szCs w:val="20"/>
        </w:rPr>
        <w:t xml:space="preserve">tacit knowledge</w:t>
      </w:r>
      <w:r>
        <w:rPr>
          <w:rFonts w:ascii="Arial" w:cs="Arial" w:eastAsia="Arial" w:hAnsi="Arial"/>
          <w:color w:val="222222"/>
          <w:sz w:val="20"/>
          <w:szCs w:val="20"/>
        </w:rPr>
        <w:t xml:space="preserve">; notation and video record what is played, not how a particular master plays it </w:t>
      </w:r>
      <w:r>
        <w:rPr>
          <w:rFonts w:ascii="Arial" w:cs="Arial" w:eastAsia="Arial" w:hAnsi="Arial"/>
          <w:b w:val="false"/>
          <w:bCs w:val="false"/>
          <w:color w:val="1F4E79"/>
          <w:sz w:val="20"/>
          <w:szCs w:val="20"/>
        </w:rPr>
        <w:t xml:space="preserve">[58, 59]</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color w:val="222222"/>
          <w:sz w:val="20"/>
          <w:szCs w:val="20"/>
        </w:rPr>
        <w:t xml:space="preserve">India archives how heritage </w:t>
      </w:r>
      <w:r>
        <w:rPr>
          <w:rFonts w:ascii="Arial" w:cs="Arial" w:eastAsia="Arial" w:hAnsi="Arial"/>
          <w:i/>
          <w:iCs/>
          <w:color w:val="222222"/>
          <w:sz w:val="20"/>
          <w:szCs w:val="20"/>
        </w:rPr>
        <w:t xml:space="preserve">sounds and looks</w:t>
      </w:r>
      <w:r>
        <w:rPr>
          <w:rFonts w:ascii="Arial" w:cs="Arial" w:eastAsia="Arial" w:hAnsi="Arial"/>
          <w:color w:val="222222"/>
          <w:sz w:val="20"/>
          <w:szCs w:val="20"/>
        </w:rPr>
        <w:t xml:space="preserve">: the National Cultural Audiovisual Archives has identified over 3 lakh hours of recordings and digitised over 23,000 </w:t>
      </w:r>
      <w:r>
        <w:rPr>
          <w:rFonts w:ascii="Arial" w:cs="Arial" w:eastAsia="Arial" w:hAnsi="Arial"/>
          <w:b w:val="false"/>
          <w:bCs w:val="false"/>
          <w:color w:val="1F4E79"/>
          <w:sz w:val="20"/>
          <w:szCs w:val="20"/>
        </w:rPr>
        <w:t xml:space="preserve">[120]</w:t>
      </w:r>
      <w:r>
        <w:rPr>
          <w:rFonts w:ascii="Arial" w:cs="Arial" w:eastAsia="Arial" w:hAnsi="Arial"/>
          <w:color w:val="222222"/>
          <w:sz w:val="20"/>
          <w:szCs w:val="20"/>
        </w:rPr>
        <w:t xml:space="preserve">. </w:t>
      </w:r>
      <w:r>
        <w:rPr>
          <w:rFonts w:ascii="Arial" w:cs="Arial" w:eastAsia="Arial" w:hAnsi="Arial"/>
          <w:b/>
          <w:bCs/>
          <w:color w:val="222222"/>
          <w:sz w:val="20"/>
          <w:szCs w:val="20"/>
        </w:rPr>
        <w:t xml:space="preserve">No archive stores how a master's hands play</w:t>
      </w:r>
      <w:r>
        <w:rPr>
          <w:rFonts w:ascii="Arial" w:cs="Arial" w:eastAsia="Arial" w:hAnsi="Arial"/>
          <w:color w:val="222222"/>
          <w:sz w:val="20"/>
          <w:szCs w:val="20"/>
        </w:rPr>
        <w:t xml:space="preserve"> as data a learner can practise against.</w:t>
      </w:r>
    </w:p>
    <w:p>
      <w:pPr>
        <w:pStyle w:val="ListParagraph"/>
        <w:numPr>
          <w:ilvl w:val="0"/>
          <w:numId w:val="2"/>
        </w:numPr>
        <w:spacing w:after="60" w:line="268"/>
      </w:pPr>
      <w:r>
        <w:rPr>
          <w:rFonts w:ascii="Arial" w:cs="Arial" w:eastAsia="Arial" w:hAnsi="Arial"/>
          <w:color w:val="222222"/>
          <w:sz w:val="20"/>
          <w:szCs w:val="20"/>
        </w:rPr>
        <w:t xml:space="preserve">Masters are mortal. When Ustad Zakir Hussain died on 15 December 2024 </w:t>
      </w:r>
      <w:r>
        <w:rPr>
          <w:rFonts w:ascii="Arial" w:cs="Arial" w:eastAsia="Arial" w:hAnsi="Arial"/>
          <w:b w:val="false"/>
          <w:bCs w:val="false"/>
          <w:color w:val="1F4E79"/>
          <w:sz w:val="20"/>
          <w:szCs w:val="20"/>
        </w:rPr>
        <w:t xml:space="preserve">[84]</w:t>
      </w:r>
      <w:r>
        <w:rPr>
          <w:rFonts w:ascii="Arial" w:cs="Arial" w:eastAsia="Arial" w:hAnsi="Arial"/>
          <w:color w:val="222222"/>
          <w:sz w:val="20"/>
          <w:szCs w:val="20"/>
        </w:rPr>
        <w:t xml:space="preserve">, his recordings remained; the talim did not.</w:t>
      </w:r>
    </w:p>
    <w:p>
      <w:pPr>
        <w:pStyle w:val="Heading3"/>
        <w:keepNext/>
      </w:pPr>
      <w:r>
        <w:rPr>
          <w:rFonts w:ascii="Arial" w:cs="Arial" w:eastAsia="Arial" w:hAnsi="Arial"/>
        </w:rPr>
        <w:t xml:space="preserve">PARAMPARA 2.0 in four verbs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3911"/>
        <w:gridCol w:w="3761"/>
      </w:tblGrid>
      <w:tr>
        <w:trPr>
          <w:cantSplit/>
          <w:tblHeader/>
        </w:trPr>
        <w:tc>
          <w:tcPr>
            <w:tcW w:type="dxa" w:w="135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Verb</w:t>
            </w:r>
          </w:p>
        </w:tc>
        <w:tc>
          <w:tcPr>
            <w:tcW w:type="dxa" w:w="391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the system does</w:t>
            </w:r>
          </w:p>
        </w:tc>
        <w:tc>
          <w:tcPr>
            <w:tcW w:type="dxa" w:w="376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Evidence that it is possible</w:t>
            </w:r>
          </w:p>
        </w:tc>
      </w:tr>
      <w:tr>
        <w:trPr>
          <w:cantSplit/>
        </w:trPr>
        <w:tc>
          <w:tcPr>
            <w:tcW w:type="dxa" w:w="135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Measure</w:t>
            </w:r>
          </w:p>
        </w:tc>
        <w:tc>
          <w:tcPr>
            <w:tcW w:type="dxa" w:w="391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Captures each master's </w:t>
            </w:r>
            <w:r>
              <w:rPr>
                <w:rFonts w:ascii="Arial" w:cs="Arial" w:eastAsia="Arial" w:hAnsi="Arial"/>
                <w:b/>
                <w:bCs/>
                <w:color w:val="222222"/>
                <w:sz w:val="16"/>
                <w:szCs w:val="16"/>
              </w:rPr>
              <w:t xml:space="preserve">Gharana Fingerprint</w:t>
            </w:r>
            <w:r>
              <w:rPr>
                <w:rFonts w:ascii="Arial" w:cs="Arial" w:eastAsia="Arial" w:hAnsi="Arial"/>
                <w:color w:val="222222"/>
                <w:sz w:val="16"/>
                <w:szCs w:val="16"/>
              </w:rPr>
              <w:t xml:space="preserve">: per-matra micro-timing, accent contour, stroke families and arm preparation, from piezo triggers and wrist sensors. No glove.</w:t>
            </w:r>
          </w:p>
        </w:tc>
        <w:tc>
          <w:tcPr>
            <w:tcW w:type="dxa" w:w="376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Tabla gharana recognised from audio </w:t>
            </w:r>
            <w:r>
              <w:rPr>
                <w:rFonts w:ascii="Arial" w:cs="Arial" w:eastAsia="Arial" w:hAnsi="Arial"/>
                <w:b w:val="false"/>
                <w:bCs w:val="false"/>
                <w:color w:val="1F4E79"/>
                <w:sz w:val="16"/>
                <w:szCs w:val="16"/>
              </w:rPr>
              <w:t xml:space="preserve">[104]</w:t>
            </w:r>
            <w:r>
              <w:rPr>
                <w:rFonts w:ascii="Arial" w:cs="Arial" w:eastAsia="Arial" w:hAnsi="Arial"/>
                <w:color w:val="222222"/>
                <w:sz w:val="16"/>
                <w:szCs w:val="16"/>
              </w:rPr>
              <w:t xml:space="preserve">; accent and tempo patterns within the tal cycle </w:t>
            </w:r>
            <w:r>
              <w:rPr>
                <w:rFonts w:ascii="Arial" w:cs="Arial" w:eastAsia="Arial" w:hAnsi="Arial"/>
                <w:b w:val="false"/>
                <w:bCs w:val="false"/>
                <w:color w:val="1F4E79"/>
                <w:sz w:val="16"/>
                <w:szCs w:val="16"/>
              </w:rPr>
              <w:t xml:space="preserve">[103]</w:t>
            </w:r>
            <w:r>
              <w:rPr>
                <w:rFonts w:ascii="Arial" w:cs="Arial" w:eastAsia="Arial" w:hAnsi="Arial"/>
                <w:color w:val="222222"/>
                <w:sz w:val="16"/>
                <w:szCs w:val="16"/>
              </w:rPr>
              <w:t xml:space="preserve">; performers identified from timing </w:t>
            </w:r>
            <w:r>
              <w:rPr>
                <w:rFonts w:ascii="Arial" w:cs="Arial" w:eastAsia="Arial" w:hAnsi="Arial"/>
                <w:b w:val="false"/>
                <w:bCs w:val="false"/>
                <w:color w:val="1F4E79"/>
                <w:sz w:val="16"/>
                <w:szCs w:val="16"/>
              </w:rPr>
              <w:t xml:space="preserve">[105, 106, 107]</w:t>
            </w:r>
          </w:p>
        </w:tc>
      </w:tr>
      <w:tr>
        <w:trPr>
          <w:cantSplit/>
        </w:trPr>
        <w:tc>
          <w:tcPr>
            <w:tcW w:type="dxa" w:w="135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Teach</w:t>
            </w:r>
          </w:p>
        </w:tc>
        <w:tc>
          <w:tcPr>
            <w:tcW w:type="dxa" w:w="391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 </w:t>
            </w:r>
            <w:r>
              <w:rPr>
                <w:rFonts w:ascii="Arial" w:cs="Arial" w:eastAsia="Arial" w:hAnsi="Arial"/>
                <w:b/>
                <w:bCs/>
                <w:color w:val="222222"/>
                <w:sz w:val="16"/>
                <w:szCs w:val="16"/>
              </w:rPr>
              <w:t xml:space="preserve">three-tier curriculum</w:t>
            </w:r>
            <w:r>
              <w:rPr>
                <w:rFonts w:ascii="Arial" w:cs="Arial" w:eastAsia="Arial" w:hAnsi="Arial"/>
                <w:color w:val="222222"/>
                <w:sz w:val="16"/>
                <w:szCs w:val="16"/>
              </w:rPr>
              <w:t xml:space="preserve"> that gives each sense the job it does best: touch carries structure (hand, stroke, accent, approximate time); hearing carries micro-timing; vision carries arm movement and the 'style mirror'.</w:t>
            </w:r>
          </w:p>
        </w:tc>
        <w:tc>
          <w:tcPr>
            <w:tcW w:type="dxa" w:w="376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Haptics teach timing structure </w:t>
            </w:r>
            <w:r>
              <w:rPr>
                <w:rFonts w:ascii="Arial" w:cs="Arial" w:eastAsia="Arial" w:hAnsi="Arial"/>
                <w:b w:val="false"/>
                <w:bCs w:val="false"/>
                <w:color w:val="1F4E79"/>
                <w:sz w:val="16"/>
                <w:szCs w:val="16"/>
              </w:rPr>
              <w:t xml:space="preserve">[1, 3, 4]</w:t>
            </w:r>
            <w:r>
              <w:rPr>
                <w:rFonts w:ascii="Arial" w:cs="Arial" w:eastAsia="Arial" w:hAnsi="Arial"/>
                <w:color w:val="222222"/>
                <w:sz w:val="16"/>
                <w:szCs w:val="16"/>
              </w:rPr>
              <w:t xml:space="preserve">; touch resolves 10–30 ms at best, hearing about 10 ms </w:t>
            </w:r>
            <w:r>
              <w:rPr>
                <w:rFonts w:ascii="Arial" w:cs="Arial" w:eastAsia="Arial" w:hAnsi="Arial"/>
                <w:b w:val="false"/>
                <w:bCs w:val="false"/>
                <w:color w:val="1F4E79"/>
                <w:sz w:val="16"/>
                <w:szCs w:val="16"/>
              </w:rPr>
              <w:t xml:space="preserve">[110, 114]</w:t>
            </w:r>
          </w:p>
        </w:tc>
      </w:tr>
      <w:tr>
        <w:trPr>
          <w:cantSplit/>
        </w:trPr>
        <w:tc>
          <w:tcPr>
            <w:tcW w:type="dxa" w:w="135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Fade</w:t>
            </w:r>
          </w:p>
        </w:tc>
        <w:tc>
          <w:tcPr>
            <w:tcW w:type="dxa" w:w="391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Cues are timed </w:t>
            </w:r>
            <w:r>
              <w:rPr>
                <w:rFonts w:ascii="Arial" w:cs="Arial" w:eastAsia="Arial" w:hAnsi="Arial"/>
                <w:b/>
                <w:bCs/>
                <w:color w:val="222222"/>
                <w:sz w:val="16"/>
                <w:szCs w:val="16"/>
              </w:rPr>
              <w:t xml:space="preserve">before</w:t>
            </w:r>
            <w:r>
              <w:rPr>
                <w:rFonts w:ascii="Arial" w:cs="Arial" w:eastAsia="Arial" w:hAnsi="Arial"/>
                <w:color w:val="222222"/>
                <w:sz w:val="16"/>
                <w:szCs w:val="16"/>
              </w:rPr>
              <w:t xml:space="preserve"> movement-related tactile suppression, and withdrawn by Fade Engine 2.1, which re-checks unaided skill at the start of every session.</w:t>
            </w:r>
          </w:p>
        </w:tc>
        <w:tc>
          <w:tcPr>
            <w:tcW w:type="dxa" w:w="376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Suppression peaks 25–45 ms before movement </w:t>
            </w:r>
            <w:r>
              <w:rPr>
                <w:rFonts w:ascii="Arial" w:cs="Arial" w:eastAsia="Arial" w:hAnsi="Arial"/>
                <w:b w:val="false"/>
                <w:bCs w:val="false"/>
                <w:color w:val="1F4E79"/>
                <w:sz w:val="16"/>
                <w:szCs w:val="16"/>
              </w:rPr>
              <w:t xml:space="preserve">[112, 113]</w:t>
            </w:r>
            <w:r>
              <w:rPr>
                <w:rFonts w:ascii="Arial" w:cs="Arial" w:eastAsia="Arial" w:hAnsi="Arial"/>
                <w:color w:val="222222"/>
                <w:sz w:val="16"/>
                <w:szCs w:val="16"/>
              </w:rPr>
              <w:t xml:space="preserve">; reduced feedback improves retention </w:t>
            </w:r>
            <w:r>
              <w:rPr>
                <w:rFonts w:ascii="Arial" w:cs="Arial" w:eastAsia="Arial" w:hAnsi="Arial"/>
                <w:b w:val="false"/>
                <w:bCs w:val="false"/>
                <w:color w:val="1F4E79"/>
                <w:sz w:val="16"/>
                <w:szCs w:val="16"/>
              </w:rPr>
              <w:t xml:space="preserve">[22]</w:t>
            </w:r>
          </w:p>
        </w:tc>
      </w:tr>
      <w:tr>
        <w:trPr>
          <w:cantSplit/>
        </w:trPr>
        <w:tc>
          <w:tcPr>
            <w:tcW w:type="dxa" w:w="135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Protect</w:t>
            </w:r>
          </w:p>
        </w:tc>
        <w:tc>
          <w:tcPr>
            <w:tcW w:type="dxa" w:w="391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 guru signs with a phone fingerprint (passkey). Consent, credit and Traditional Knowledge labels travel with every envelope, following the CARE principles.</w:t>
            </w:r>
          </w:p>
        </w:tc>
        <w:tc>
          <w:tcPr>
            <w:tcW w:type="dxa" w:w="376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WebAuthn Level 3 W3C Recommendation, 1 billion+ passkey users </w:t>
            </w:r>
            <w:r>
              <w:rPr>
                <w:rFonts w:ascii="Arial" w:cs="Arial" w:eastAsia="Arial" w:hAnsi="Arial"/>
                <w:b w:val="false"/>
                <w:bCs w:val="false"/>
                <w:color w:val="1F4E79"/>
                <w:sz w:val="16"/>
                <w:szCs w:val="16"/>
              </w:rPr>
              <w:t xml:space="preserve">[119]</w:t>
            </w:r>
            <w:r>
              <w:rPr>
                <w:rFonts w:ascii="Arial" w:cs="Arial" w:eastAsia="Arial" w:hAnsi="Arial"/>
                <w:color w:val="222222"/>
                <w:sz w:val="16"/>
                <w:szCs w:val="16"/>
              </w:rPr>
              <w:t xml:space="preserve">; CARE </w:t>
            </w:r>
            <w:r>
              <w:rPr>
                <w:rFonts w:ascii="Arial" w:cs="Arial" w:eastAsia="Arial" w:hAnsi="Arial"/>
                <w:b w:val="false"/>
                <w:bCs w:val="false"/>
                <w:color w:val="1F4E79"/>
                <w:sz w:val="16"/>
                <w:szCs w:val="16"/>
              </w:rPr>
              <w:t xml:space="preserve">[115]</w:t>
            </w:r>
            <w:r>
              <w:rPr>
                <w:rFonts w:ascii="Arial" w:cs="Arial" w:eastAsia="Arial" w:hAnsi="Arial"/>
                <w:color w:val="222222"/>
                <w:sz w:val="16"/>
                <w:szCs w:val="16"/>
              </w:rPr>
              <w:t xml:space="preserve">; TK Labels </w:t>
            </w:r>
            <w:r>
              <w:rPr>
                <w:rFonts w:ascii="Arial" w:cs="Arial" w:eastAsia="Arial" w:hAnsi="Arial"/>
                <w:b w:val="false"/>
                <w:bCs w:val="false"/>
                <w:color w:val="1F4E79"/>
                <w:sz w:val="16"/>
                <w:szCs w:val="16"/>
              </w:rPr>
              <w:t xml:space="preserve">[117]</w:t>
            </w:r>
          </w:p>
        </w:tc>
      </w:tr>
    </w:tbl>
    <w:p>
      <w:pPr>
        <w:spacing w:after="80"/>
      </w:pPr>
    </w:p>
    <w:p>
      <w:pPr>
        <w:pStyle w:val="Heading3"/>
        <w:keepNext/>
      </w:pPr>
      <w:r>
        <w:rPr>
          <w:rFonts w:ascii="Arial" w:cs="Arial" w:eastAsia="Arial" w:hAnsi="Arial"/>
        </w:rPr>
        <w:t xml:space="preserve">What is genuinely new</w:t>
      </w:r>
    </w:p>
    <w:p>
      <w:pPr>
        <w:spacing w:after="120" w:before="0" w:line="276"/>
        <w:jc w:val="left"/>
      </w:pPr>
      <w:r>
        <w:rPr>
          <w:rFonts w:ascii="Arial" w:cs="Arial" w:eastAsia="Arial" w:hAnsi="Arial"/>
          <w:color w:val="222222"/>
          <w:sz w:val="20"/>
          <w:szCs w:val="20"/>
        </w:rPr>
        <w:t xml:space="preserve">Related systems exist: haptic drum teaching </w:t>
      </w:r>
      <w:r>
        <w:rPr>
          <w:rFonts w:ascii="Arial" w:cs="Arial" w:eastAsia="Arial" w:hAnsi="Arial"/>
          <w:b w:val="false"/>
          <w:bCs w:val="false"/>
          <w:color w:val="1F4E79"/>
          <w:sz w:val="20"/>
          <w:szCs w:val="20"/>
        </w:rPr>
        <w:t xml:space="preserve">[4, 9]</w:t>
      </w:r>
      <w:r>
        <w:rPr>
          <w:rFonts w:ascii="Arial" w:cs="Arial" w:eastAsia="Arial" w:hAnsi="Arial"/>
          <w:color w:val="222222"/>
          <w:sz w:val="20"/>
          <w:szCs w:val="20"/>
        </w:rPr>
        <w:t xml:space="preserve">, a tabla gesture glove for singers </w:t>
      </w:r>
      <w:r>
        <w:rPr>
          <w:rFonts w:ascii="Arial" w:cs="Arial" w:eastAsia="Arial" w:hAnsi="Arial"/>
          <w:b w:val="false"/>
          <w:bCs w:val="false"/>
          <w:color w:val="1F4E79"/>
          <w:sz w:val="20"/>
          <w:szCs w:val="20"/>
        </w:rPr>
        <w:t xml:space="preserve">[50]</w:t>
      </w:r>
      <w:r>
        <w:rPr>
          <w:rFonts w:ascii="Arial" w:cs="Arial" w:eastAsia="Arial" w:hAnsi="Arial"/>
          <w:color w:val="222222"/>
          <w:sz w:val="20"/>
          <w:szCs w:val="20"/>
        </w:rPr>
        <w:t xml:space="preserve">, a multi-sensor mridangam tutoring proposal that </w:t>
      </w:r>
      <w:r>
        <w:rPr>
          <w:rFonts w:ascii="Arial" w:cs="Arial" w:eastAsia="Arial" w:hAnsi="Arial"/>
          <w:i/>
          <w:iCs/>
          <w:color w:val="222222"/>
          <w:sz w:val="20"/>
          <w:szCs w:val="20"/>
        </w:rPr>
        <w:t xml:space="preserve">senses</w:t>
      </w:r>
      <w:r>
        <w:rPr>
          <w:rFonts w:ascii="Arial" w:cs="Arial" w:eastAsia="Arial" w:hAnsi="Arial"/>
          <w:color w:val="222222"/>
          <w:sz w:val="20"/>
          <w:szCs w:val="20"/>
        </w:rPr>
        <w:t xml:space="preserve"> the learner </w:t>
      </w:r>
      <w:r>
        <w:rPr>
          <w:rFonts w:ascii="Arial" w:cs="Arial" w:eastAsia="Arial" w:hAnsi="Arial"/>
          <w:b w:val="false"/>
          <w:bCs w:val="false"/>
          <w:color w:val="1F4E79"/>
          <w:sz w:val="20"/>
          <w:szCs w:val="20"/>
        </w:rPr>
        <w:t xml:space="preserve">[126]</w:t>
      </w:r>
      <w:r>
        <w:rPr>
          <w:rFonts w:ascii="Arial" w:cs="Arial" w:eastAsia="Arial" w:hAnsi="Arial"/>
          <w:color w:val="222222"/>
          <w:sz w:val="20"/>
          <w:szCs w:val="20"/>
        </w:rPr>
        <w:t xml:space="preserve">, and gharana recognition from audio </w:t>
      </w:r>
      <w:r>
        <w:rPr>
          <w:rFonts w:ascii="Arial" w:cs="Arial" w:eastAsia="Arial" w:hAnsi="Arial"/>
          <w:b w:val="false"/>
          <w:bCs w:val="false"/>
          <w:color w:val="1F4E79"/>
          <w:sz w:val="20"/>
          <w:szCs w:val="20"/>
        </w:rPr>
        <w:t xml:space="preserve">[104]</w:t>
      </w:r>
      <w:r>
        <w:rPr>
          <w:rFonts w:ascii="Arial" w:cs="Arial" w:eastAsia="Arial" w:hAnsi="Arial"/>
          <w:color w:val="222222"/>
          <w:sz w:val="20"/>
          <w:szCs w:val="20"/>
        </w:rPr>
        <w:t xml:space="preserve">. </w:t>
      </w:r>
      <w:r>
        <w:rPr>
          <w:rFonts w:ascii="Arial" w:cs="Arial" w:eastAsia="Arial" w:hAnsi="Arial"/>
          <w:b/>
          <w:bCs/>
          <w:color w:val="222222"/>
          <w:sz w:val="20"/>
          <w:szCs w:val="20"/>
        </w:rPr>
        <w:t xml:space="preserve">None of them measures a specific master's rhythmic fingerprint and then transmits it back to a learner through touch and sound, with fading, unaided retention probes and consented lineage.</w:t>
      </w:r>
      <w:r>
        <w:rPr>
          <w:rFonts w:ascii="Arial" w:cs="Arial" w:eastAsia="Arial" w:hAnsi="Arial"/>
          <w:color w:val="222222"/>
          <w:sz w:val="20"/>
          <w:szCs w:val="20"/>
        </w:rPr>
        <w:t xml:space="preserve"> That combination, and the perception-driven design behind it, is our contribution (Sections 8–9).</w:t>
      </w:r>
    </w:p>
    <w:p>
      <w:pPr>
        <w:pStyle w:val="Heading3"/>
        <w:keepNext/>
      </w:pPr>
      <w:r>
        <w:rPr>
          <w:rFonts w:ascii="Arial" w:cs="Arial" w:eastAsia="Arial" w:hAnsi="Arial"/>
        </w:rPr>
        <w:t xml:space="preserve">Four decisive experiments the team runs before the finale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5"/>
        <w:gridCol w:w="2966"/>
        <w:gridCol w:w="3353"/>
        <w:gridCol w:w="2062"/>
      </w:tblGrid>
      <w:tr>
        <w:trPr>
          <w:cantSplit/>
          <w:tblHeader/>
        </w:trPr>
        <w:tc>
          <w:tcPr>
            <w:tcW w:type="dxa" w:w="64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t>
            </w:r>
          </w:p>
        </w:tc>
        <w:tc>
          <w:tcPr>
            <w:tcW w:type="dxa" w:w="296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Question</w:t>
            </w:r>
          </w:p>
        </w:tc>
        <w:tc>
          <w:tcPr>
            <w:tcW w:type="dxa" w:w="335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Design</w:t>
            </w:r>
          </w:p>
        </w:tc>
        <w:tc>
          <w:tcPr>
            <w:tcW w:type="dxa" w:w="206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Success criterion [Target]</w:t>
            </w:r>
          </w:p>
        </w:tc>
      </w:tr>
      <w:tr>
        <w:trPr>
          <w:cantSplit/>
        </w:trPr>
        <w:tc>
          <w:tcPr>
            <w:tcW w:type="dxa" w:w="6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E1</w:t>
            </w:r>
          </w:p>
        </w:tc>
        <w:tc>
          <w:tcPr>
            <w:tcW w:type="dxa" w:w="29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Is each master's style measurable with our sensors?</w:t>
            </w:r>
          </w:p>
        </w:tc>
        <w:tc>
          <w:tcPr>
            <w:tcW w:type="dxa" w:w="335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3 players × ≥ 20 Teentaal cycles; nearest-centroid classifier, leave-one-cycle-out; 1,000-label permutation test</w:t>
            </w:r>
          </w:p>
        </w:tc>
        <w:tc>
          <w:tcPr>
            <w:tcW w:type="dxa" w:w="206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Accuracy ≥ 0.70 (chance 0.33), p &lt; 0.01</w:t>
            </w:r>
          </w:p>
        </w:tc>
      </w:tr>
      <w:tr>
        <w:trPr>
          <w:cantSplit/>
        </w:trPr>
        <w:tc>
          <w:tcPr>
            <w:tcW w:type="dxa" w:w="6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E2</w:t>
            </w:r>
          </w:p>
        </w:tc>
        <w:tc>
          <w:tcPr>
            <w:tcW w:type="dxa" w:w="29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Can a cue be felt while playing?</w:t>
            </w:r>
          </w:p>
        </w:tc>
        <w:tc>
          <w:tcPr>
            <w:tcW w:type="dxa" w:w="335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8 people; detection threshold at rest vs while playing; wrist vs forearm; on-beat vs anticipatory cue</w:t>
            </w:r>
          </w:p>
        </w:tc>
        <w:tc>
          <w:tcPr>
            <w:tcW w:type="dxa" w:w="206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Threshold rise ≤ 2× in at least one condition</w:t>
            </w:r>
          </w:p>
        </w:tc>
      </w:tr>
      <w:tr>
        <w:trPr>
          <w:cantSplit/>
        </w:trPr>
        <w:tc>
          <w:tcPr>
            <w:tcW w:type="dxa" w:w="6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E3</w:t>
            </w:r>
          </w:p>
        </w:tc>
        <w:tc>
          <w:tcPr>
            <w:tcW w:type="dxa" w:w="29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Can people tell two masters apart by touch and sound?</w:t>
            </w:r>
          </w:p>
        </w:tc>
        <w:tc>
          <w:tcPr>
            <w:tcW w:type="dxa" w:w="335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10 people; ABX test, 20 trials, touch-only and touch + sound</w:t>
            </w:r>
          </w:p>
        </w:tc>
        <w:tc>
          <w:tcPr>
            <w:tcW w:type="dxa" w:w="206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15/20 correct per person (one-sided binomial p = 0.021)</w:t>
            </w:r>
          </w:p>
        </w:tc>
      </w:tr>
      <w:tr>
        <w:trPr>
          <w:cantSplit/>
        </w:trPr>
        <w:tc>
          <w:tcPr>
            <w:tcW w:type="dxa" w:w="6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E4</w:t>
            </w:r>
          </w:p>
        </w:tc>
        <w:tc>
          <w:tcPr>
            <w:tcW w:type="dxa" w:w="29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Can learners decode the codes while playing?</w:t>
            </w:r>
          </w:p>
        </w:tc>
        <w:tc>
          <w:tcPr>
            <w:tcW w:type="dxa" w:w="335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8–10 people; 40 trials, 5 families × 2–3 strength levels</w:t>
            </w:r>
          </w:p>
        </w:tc>
        <w:tc>
          <w:tcPr>
            <w:tcW w:type="dxa" w:w="206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90% families; ≥ 80% strength levels</w:t>
            </w:r>
          </w:p>
        </w:tc>
      </w:tr>
    </w:tbl>
    <w:p>
      <w:pPr>
        <w:spacing w:after="80"/>
      </w:pPr>
    </w:p>
    <w:p>
      <w:pPr>
        <w:pStyle w:val="Heading3"/>
        <w:keepNext/>
      </w:pPr>
      <w:r>
        <w:rPr>
          <w:rFonts w:ascii="Arial" w:cs="Arial" w:eastAsia="Arial" w:hAnsi="Arial"/>
        </w:rPr>
        <w:t xml:space="preserve">Honest scorecard (projected)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1"/>
        <w:gridCol w:w="1308"/>
        <w:gridCol w:w="1308"/>
        <w:gridCol w:w="4709"/>
      </w:tblGrid>
      <w:tr>
        <w:trPr>
          <w:cantSplit/>
          <w:tblHeader/>
        </w:trPr>
        <w:tc>
          <w:tcPr>
            <w:tcW w:type="dxa" w:w="170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SIH criterion (weight)</w:t>
            </w:r>
          </w:p>
        </w:tc>
        <w:tc>
          <w:tcPr>
            <w:tcW w:type="dxa" w:w="130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v1 (our harsh rating)</w:t>
            </w:r>
          </w:p>
        </w:tc>
        <w:tc>
          <w:tcPr>
            <w:tcW w:type="dxa" w:w="130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v2 projected</w:t>
            </w:r>
          </w:p>
        </w:tc>
        <w:tc>
          <w:tcPr>
            <w:tcW w:type="dxa" w:w="470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What moves the score</w:t>
            </w:r>
          </w:p>
        </w:tc>
      </w:tr>
      <w:tr>
        <w:trPr>
          <w:cantSplit/>
        </w:trPr>
        <w:tc>
          <w:tcPr>
            <w:tcW w:type="dxa" w:w="17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Novelty (15%)</w:t>
            </w:r>
          </w:p>
        </w:tc>
        <w:tc>
          <w:tcPr>
            <w:tcW w:type="dxa" w:w="130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6</w:t>
            </w:r>
          </w:p>
        </w:tc>
        <w:tc>
          <w:tcPr>
            <w:tcW w:type="dxa" w:w="130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8.5–9</w:t>
            </w:r>
          </w:p>
        </w:tc>
        <w:tc>
          <w:tcPr>
            <w:tcW w:type="dxa" w:w="47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Fingerprint + perception-driven multisensory curriculum + consent; prior art cited openly</w:t>
            </w:r>
          </w:p>
        </w:tc>
      </w:tr>
      <w:tr>
        <w:trPr>
          <w:cantSplit/>
        </w:trPr>
        <w:tc>
          <w:tcPr>
            <w:tcW w:type="dxa" w:w="170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Feasibility (20%)</w:t>
            </w:r>
          </w:p>
        </w:tc>
        <w:tc>
          <w:tcPr>
            <w:tcW w:type="dxa" w:w="130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7.5</w:t>
            </w:r>
          </w:p>
        </w:tc>
        <w:tc>
          <w:tcPr>
            <w:tcW w:type="dxa" w:w="130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8.5–9.5</w:t>
            </w:r>
          </w:p>
        </w:tc>
        <w:tc>
          <w:tcPr>
            <w:tcW w:type="dxa" w:w="470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E1–E4 retire the two killer risks; analysis code ready; TRL table</w:t>
            </w:r>
          </w:p>
        </w:tc>
      </w:tr>
      <w:tr>
        <w:trPr>
          <w:cantSplit/>
        </w:trPr>
        <w:tc>
          <w:tcPr>
            <w:tcW w:type="dxa" w:w="17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Technical complexity (15%)</w:t>
            </w:r>
          </w:p>
        </w:tc>
        <w:tc>
          <w:tcPr>
            <w:tcW w:type="dxa" w:w="130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6</w:t>
            </w:r>
          </w:p>
        </w:tc>
        <w:tc>
          <w:tcPr>
            <w:tcW w:type="dxa" w:w="130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8.5</w:t>
            </w:r>
          </w:p>
        </w:tc>
        <w:tc>
          <w:tcPr>
            <w:tcW w:type="dxa" w:w="47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Custom PCB cuff, on-device stroke classifier, drift-compensated sync, movement-aware scheduler, two simulations</w:t>
            </w:r>
          </w:p>
        </w:tc>
      </w:tr>
      <w:tr>
        <w:trPr>
          <w:cantSplit/>
        </w:trPr>
        <w:tc>
          <w:tcPr>
            <w:tcW w:type="dxa" w:w="170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Sustainability (15%)</w:t>
            </w:r>
          </w:p>
        </w:tc>
        <w:tc>
          <w:tcPr>
            <w:tcW w:type="dxa" w:w="130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5.5</w:t>
            </w:r>
          </w:p>
        </w:tc>
        <w:tc>
          <w:tcPr>
            <w:tcW w:type="dxa" w:w="130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8</w:t>
            </w:r>
          </w:p>
        </w:tc>
        <w:tc>
          <w:tcPr>
            <w:tcW w:type="dxa" w:w="470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Honest bottom-up sizing; institution channels; volume BOM about ₹3,000–5,600 per system; practice-pad entry</w:t>
            </w:r>
          </w:p>
        </w:tc>
      </w:tr>
      <w:tr>
        <w:trPr>
          <w:cantSplit/>
        </w:trPr>
        <w:tc>
          <w:tcPr>
            <w:tcW w:type="dxa" w:w="17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User experience (10%)</w:t>
            </w:r>
          </w:p>
        </w:tc>
        <w:tc>
          <w:tcPr>
            <w:tcW w:type="dxa" w:w="130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6</w:t>
            </w:r>
          </w:p>
        </w:tc>
        <w:tc>
          <w:tcPr>
            <w:tcW w:type="dxa" w:w="130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8.5–9</w:t>
            </w:r>
          </w:p>
        </w:tc>
        <w:tc>
          <w:tcPr>
            <w:tcW w:type="dxa" w:w="47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Guru signs with a fingerprint; no app needed to record; 'feel the gharanas' kiosk</w:t>
            </w:r>
          </w:p>
        </w:tc>
      </w:tr>
      <w:tr>
        <w:trPr>
          <w:cantSplit/>
        </w:trPr>
        <w:tc>
          <w:tcPr>
            <w:tcW w:type="dxa" w:w="170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Impact (20%)</w:t>
            </w:r>
          </w:p>
        </w:tc>
        <w:tc>
          <w:tcPr>
            <w:tcW w:type="dxa" w:w="130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6</w:t>
            </w:r>
          </w:p>
        </w:tc>
        <w:tc>
          <w:tcPr>
            <w:tcW w:type="dxa" w:w="130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8.5–9</w:t>
            </w:r>
          </w:p>
        </w:tc>
        <w:tc>
          <w:tcPr>
            <w:tcW w:type="dxa" w:w="470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Archive gap (NCAA) + teaching + public showcase + accessibility study</w:t>
            </w:r>
          </w:p>
        </w:tc>
      </w:tr>
      <w:tr>
        <w:trPr>
          <w:cantSplit/>
        </w:trPr>
        <w:tc>
          <w:tcPr>
            <w:tcW w:type="dxa" w:w="17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Weighted total</w:t>
            </w:r>
          </w:p>
        </w:tc>
        <w:tc>
          <w:tcPr>
            <w:tcW w:type="dxa" w:w="130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 59</w:t>
            </w:r>
          </w:p>
        </w:tc>
        <w:tc>
          <w:tcPr>
            <w:tcW w:type="dxa" w:w="130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 85–90</w:t>
            </w:r>
          </w:p>
        </w:tc>
        <w:tc>
          <w:tcPr>
            <w:tcW w:type="dxa" w:w="47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Reaching 95+ requires real E1–E4 results and a real guru partner. Only the team can produce those.</w:t>
            </w:r>
          </w:p>
        </w:tc>
      </w:tr>
    </w:tbl>
    <w:p>
      <w:pPr>
        <w:spacing w:after="80"/>
      </w:pPr>
    </w:p>
    <w:p>
      <w:pPr>
        <w:pStyle w:val="Heading1"/>
        <w:keepNext/>
        <w:spacing w:after="200" w:before="480"/>
      </w:pPr>
      <w:r>
        <w:rPr>
          <w:rFonts w:ascii="Arial" w:cs="Arial" w:eastAsia="Arial" w:hAnsi="Arial"/>
        </w:rPr>
        <w:t xml:space="preserve">2. Red-team review: 14 attacks and how version 2 answers them</w:t>
      </w:r>
    </w:p>
    <w:p>
      <w:pPr>
        <w:spacing w:after="120" w:before="0" w:line="276"/>
        <w:jc w:val="left"/>
      </w:pPr>
      <w:r>
        <w:rPr>
          <w:rFonts w:ascii="Arial" w:cs="Arial" w:eastAsia="Arial" w:hAnsi="Arial"/>
          <w:color w:val="222222"/>
          <w:sz w:val="20"/>
          <w:szCs w:val="20"/>
        </w:rPr>
        <w:t xml:space="preserve">We attacked v1 the way a hostile SIH panel or an AI reviewer would, then redesigned. Each answer points to evidence and states what risk remains.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6"/>
        <w:gridCol w:w="1830"/>
        <w:gridCol w:w="3171"/>
        <w:gridCol w:w="1952"/>
        <w:gridCol w:w="1707"/>
      </w:tblGrid>
      <w:tr>
        <w:trPr>
          <w:cantSplit/>
          <w:tblHeader/>
        </w:trPr>
        <w:tc>
          <w:tcPr>
            <w:tcW w:type="dxa" w:w="36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w:t>
            </w:r>
          </w:p>
        </w:tc>
        <w:tc>
          <w:tcPr>
            <w:tcW w:type="dxa" w:w="183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Attack</w:t>
            </w:r>
          </w:p>
        </w:tc>
        <w:tc>
          <w:tcPr>
            <w:tcW w:type="dxa" w:w="317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Version 2 answer</w:t>
            </w:r>
          </w:p>
        </w:tc>
        <w:tc>
          <w:tcPr>
            <w:tcW w:type="dxa" w:w="195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Evidence</w:t>
            </w:r>
          </w:p>
        </w:tc>
        <w:tc>
          <w:tcPr>
            <w:tcW w:type="dxa" w:w="170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Residual risk</w:t>
            </w:r>
          </w:p>
        </w:tc>
      </w:tr>
      <w:tr>
        <w:trPr>
          <w:cantSplit/>
        </w:trPr>
        <w:tc>
          <w:tcPr>
            <w:tcW w:type="dxa" w:w="3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1</w:t>
            </w:r>
          </w:p>
        </w:tc>
        <w:tc>
          <w:tcPr>
            <w:tcW w:type="dxa" w:w="183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'It is just an expensive metronome.'</w:t>
            </w:r>
          </w:p>
        </w:tc>
        <w:tc>
          <w:tcPr>
            <w:tcW w:type="dxa" w:w="31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 metronome gives one grid. PARAMPARA gives </w:t>
            </w:r>
            <w:r>
              <w:rPr>
                <w:rFonts w:ascii="Arial" w:cs="Arial" w:eastAsia="Arial" w:hAnsi="Arial"/>
                <w:b/>
                <w:bCs/>
                <w:color w:val="222222"/>
                <w:sz w:val="15"/>
                <w:szCs w:val="15"/>
              </w:rPr>
              <w:t xml:space="preserve">this master's</w:t>
            </w:r>
            <w:r>
              <w:rPr>
                <w:rFonts w:ascii="Arial" w:cs="Arial" w:eastAsia="Arial" w:hAnsi="Arial"/>
                <w:color w:val="222222"/>
                <w:sz w:val="15"/>
                <w:szCs w:val="15"/>
              </w:rPr>
              <w:t xml:space="preserve"> accents, hand and stroke sequence, and, in Tier 3, this master's micro-timing. E1 proves the masters actually differ; E3 tests whether the difference can be felt and heard.</w:t>
            </w:r>
          </w:p>
        </w:tc>
        <w:tc>
          <w:tcPr>
            <w:tcW w:type="dxa" w:w="195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[103, 104, 105, 107]</w:t>
            </w:r>
          </w:p>
        </w:tc>
        <w:tc>
          <w:tcPr>
            <w:tcW w:type="dxa" w:w="170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If E1 shows tiny differences, Tier 3 becomes ear-led only</w:t>
            </w:r>
          </w:p>
        </w:tc>
      </w:tr>
      <w:tr>
        <w:trPr>
          <w:cantSplit/>
        </w:trPr>
        <w:tc>
          <w:tcPr>
            <w:tcW w:type="dxa" w:w="3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2</w:t>
            </w:r>
          </w:p>
        </w:tc>
        <w:tc>
          <w:tcPr>
            <w:tcW w:type="dxa" w:w="183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'Your scoring tolerance (σ_t = 35 ms) cannot even see the guru's micro-timing.'</w:t>
            </w:r>
          </w:p>
        </w:tc>
        <w:tc>
          <w:tcPr>
            <w:tcW w:type="dxa" w:w="31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Tolerance now </w:t>
            </w:r>
            <w:r>
              <w:rPr>
                <w:rFonts w:ascii="Arial" w:cs="Arial" w:eastAsia="Arial" w:hAnsi="Arial"/>
                <w:b/>
                <w:bCs/>
                <w:color w:val="222222"/>
                <w:sz w:val="15"/>
                <w:szCs w:val="15"/>
              </w:rPr>
              <w:t xml:space="preserve">tightens by tier</w:t>
            </w:r>
            <w:r>
              <w:rPr>
                <w:rFonts w:ascii="Arial" w:cs="Arial" w:eastAsia="Arial" w:hAnsi="Arial"/>
                <w:color w:val="222222"/>
                <w:sz w:val="15"/>
                <w:szCs w:val="15"/>
              </w:rPr>
              <w:t xml:space="preserve">: 35 → 20 → 12 ms. Tier 3 scores </w:t>
            </w:r>
            <w:r>
              <w:rPr>
                <w:rFonts w:ascii="Arial" w:cs="Arial" w:eastAsia="Arial" w:hAnsi="Arial"/>
                <w:i/>
                <w:iCs/>
                <w:color w:val="222222"/>
                <w:sz w:val="15"/>
                <w:szCs w:val="15"/>
              </w:rPr>
              <w:t xml:space="preserve">style similarity</w:t>
            </w:r>
            <w:r>
              <w:rPr>
                <w:rFonts w:ascii="Arial" w:cs="Arial" w:eastAsia="Arial" w:hAnsi="Arial"/>
                <w:color w:val="222222"/>
                <w:sz w:val="15"/>
                <w:szCs w:val="15"/>
              </w:rPr>
              <w:t xml:space="preserve"> (correlation of the student's per-matra residuals and accents with the guru's), not absolute error.</w:t>
            </w:r>
          </w:p>
        </w:tc>
        <w:tc>
          <w:tcPr>
            <w:tcW w:type="dxa" w:w="195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Auditory JND about 10 ms </w:t>
            </w:r>
            <w:r>
              <w:rPr>
                <w:rFonts w:ascii="Arial" w:cs="Arial" w:eastAsia="Arial" w:hAnsi="Arial"/>
                <w:b w:val="false"/>
                <w:bCs w:val="false"/>
                <w:color w:val="1F4E79"/>
                <w:sz w:val="15"/>
                <w:szCs w:val="15"/>
              </w:rPr>
              <w:t xml:space="preserve">[110]</w:t>
            </w:r>
            <w:r>
              <w:rPr>
                <w:rFonts w:ascii="Arial" w:cs="Arial" w:eastAsia="Arial" w:hAnsi="Arial"/>
                <w:color w:val="222222"/>
                <w:sz w:val="15"/>
                <w:szCs w:val="15"/>
              </w:rPr>
              <w:t xml:space="preserve">; ±15–25 ms shifts are perceptible </w:t>
            </w:r>
            <w:r>
              <w:rPr>
                <w:rFonts w:ascii="Arial" w:cs="Arial" w:eastAsia="Arial" w:hAnsi="Arial"/>
                <w:b w:val="false"/>
                <w:bCs w:val="false"/>
                <w:color w:val="1F4E79"/>
                <w:sz w:val="15"/>
                <w:szCs w:val="15"/>
              </w:rPr>
              <w:t xml:space="preserve">[109]</w:t>
            </w:r>
          </w:p>
        </w:tc>
        <w:tc>
          <w:tcPr>
            <w:tcW w:type="dxa" w:w="170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Novices may not reach Tier 3 in a short pilot, so the pilot only claims Tiers 1–2</w:t>
            </w:r>
          </w:p>
        </w:tc>
      </w:tr>
      <w:tr>
        <w:trPr>
          <w:cantSplit/>
        </w:trPr>
        <w:tc>
          <w:tcPr>
            <w:tcW w:type="dxa" w:w="3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3</w:t>
            </w:r>
          </w:p>
        </w:tc>
        <w:tc>
          <w:tcPr>
            <w:tcW w:type="dxa" w:w="183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'Touch cannot carry 10–20 ms timing.'</w:t>
            </w:r>
          </w:p>
        </w:tc>
        <w:tc>
          <w:tcPr>
            <w:tcW w:type="dxa" w:w="31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Agreed, and the design now says so. </w:t>
            </w:r>
            <w:r>
              <w:rPr>
                <w:rFonts w:ascii="Arial" w:cs="Arial" w:eastAsia="Arial" w:hAnsi="Arial"/>
                <w:b/>
                <w:bCs/>
                <w:color w:val="222222"/>
                <w:sz w:val="15"/>
                <w:szCs w:val="15"/>
              </w:rPr>
              <w:t xml:space="preserve">Touch carries structure; hearing carries micro-timing; vision carries movement.</w:t>
            </w:r>
            <w:r>
              <w:rPr>
                <w:rFonts w:ascii="Arial" w:cs="Arial" w:eastAsia="Arial" w:hAnsi="Arial"/>
                <w:color w:val="222222"/>
                <w:sz w:val="15"/>
                <w:szCs w:val="15"/>
              </w:rPr>
              <w:t xml:space="preserve"> Each sense gets the job the research says it does best.</w:t>
            </w:r>
          </w:p>
        </w:tc>
        <w:tc>
          <w:tcPr>
            <w:tcW w:type="dxa" w:w="195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Vibrotactile asynchrony thresholds 10–30 ms+ </w:t>
            </w:r>
            <w:r>
              <w:rPr>
                <w:rFonts w:ascii="Arial" w:cs="Arial" w:eastAsia="Arial" w:hAnsi="Arial"/>
                <w:b w:val="false"/>
                <w:bCs w:val="false"/>
                <w:color w:val="1F4E79"/>
                <w:sz w:val="15"/>
                <w:szCs w:val="15"/>
              </w:rPr>
              <w:t xml:space="preserve">[114]</w:t>
            </w:r>
            <w:r>
              <w:rPr>
                <w:rFonts w:ascii="Arial" w:cs="Arial" w:eastAsia="Arial" w:hAnsi="Arial"/>
                <w:color w:val="222222"/>
                <w:sz w:val="15"/>
                <w:szCs w:val="15"/>
              </w:rPr>
              <w:t xml:space="preserve">; modality-specific feedback </w:t>
            </w:r>
            <w:r>
              <w:rPr>
                <w:rFonts w:ascii="Arial" w:cs="Arial" w:eastAsia="Arial" w:hAnsi="Arial"/>
                <w:b w:val="false"/>
                <w:bCs w:val="false"/>
                <w:color w:val="1F4E79"/>
                <w:sz w:val="15"/>
                <w:szCs w:val="15"/>
              </w:rPr>
              <w:t xml:space="preserve">[16]</w:t>
            </w:r>
          </w:p>
        </w:tc>
        <w:tc>
          <w:tcPr>
            <w:tcW w:type="dxa" w:w="170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None for the claim; the effect size is still unknown</w:t>
            </w:r>
          </w:p>
        </w:tc>
      </w:tr>
      <w:tr>
        <w:trPr>
          <w:cantSplit/>
        </w:trPr>
        <w:tc>
          <w:tcPr>
            <w:tcW w:type="dxa" w:w="3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4</w:t>
            </w:r>
          </w:p>
        </w:tc>
        <w:tc>
          <w:tcPr>
            <w:tcW w:type="dxa" w:w="183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'Striking masks the vibration.'</w:t>
            </w:r>
          </w:p>
        </w:tc>
        <w:tc>
          <w:tcPr>
            <w:tcW w:type="dxa" w:w="31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Movement-aware scheduling:</w:t>
            </w:r>
            <w:r>
              <w:rPr>
                <w:rFonts w:ascii="Arial" w:cs="Arial" w:eastAsia="Arial" w:hAnsi="Arial"/>
                <w:color w:val="222222"/>
                <w:sz w:val="15"/>
                <w:szCs w:val="15"/>
              </w:rPr>
              <w:t xml:space="preserve"> cues end before the student's preparatory lift, outside the suppression window; intensity ≥ 3× threshold; site chosen by E2. Wrist cues already worked during drum-kit playing.</w:t>
            </w:r>
          </w:p>
        </w:tc>
        <w:tc>
          <w:tcPr>
            <w:tcW w:type="dxa" w:w="195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[4, 112, 113]</w:t>
            </w:r>
          </w:p>
        </w:tc>
        <w:tc>
          <w:tcPr>
            <w:tcW w:type="dxa" w:w="170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Anticipatory cues add a learning step; E2 compares on-beat vs anticipatory timing</w:t>
            </w:r>
          </w:p>
        </w:tc>
      </w:tr>
      <w:tr>
        <w:trPr>
          <w:cantSplit/>
        </w:trPr>
        <w:tc>
          <w:tcPr>
            <w:tcW w:type="dxa" w:w="3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5</w:t>
            </w:r>
          </w:p>
        </w:tc>
        <w:tc>
          <w:tcPr>
            <w:tcW w:type="dxa" w:w="183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'Cryptography is buzzword stacking; nobody forges a theka.'</w:t>
            </w:r>
          </w:p>
        </w:tc>
        <w:tc>
          <w:tcPr>
            <w:tcW w:type="dxa" w:w="31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Reframed as </w:t>
            </w:r>
            <w:r>
              <w:rPr>
                <w:rFonts w:ascii="Arial" w:cs="Arial" w:eastAsia="Arial" w:hAnsi="Arial"/>
                <w:b/>
                <w:bCs/>
                <w:color w:val="222222"/>
                <w:sz w:val="15"/>
                <w:szCs w:val="15"/>
              </w:rPr>
              <w:t xml:space="preserve">consent and credit</w:t>
            </w:r>
            <w:r>
              <w:rPr>
                <w:rFonts w:ascii="Arial" w:cs="Arial" w:eastAsia="Arial" w:hAnsi="Arial"/>
                <w:color w:val="222222"/>
                <w:sz w:val="15"/>
                <w:szCs w:val="15"/>
              </w:rPr>
              <w:t xml:space="preserve">. Signing is invisible (a fingerprint on the guru's phone). The value is CARE-style data governance, TK labels and archive-grade provenance, explained in 10 seconds.</w:t>
            </w:r>
          </w:p>
        </w:tc>
        <w:tc>
          <w:tcPr>
            <w:tcW w:type="dxa" w:w="195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[71, 115, 117, 119]</w:t>
            </w:r>
          </w:p>
        </w:tc>
        <w:tc>
          <w:tcPr>
            <w:tcW w:type="dxa" w:w="170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Some judges will not care; keep it short</w:t>
            </w:r>
          </w:p>
        </w:tc>
      </w:tr>
      <w:tr>
        <w:trPr>
          <w:cantSplit/>
        </w:trPr>
        <w:tc>
          <w:tcPr>
            <w:tcW w:type="dxa" w:w="3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6</w:t>
            </w:r>
          </w:p>
        </w:tc>
        <w:tc>
          <w:tcPr>
            <w:tcW w:type="dxa" w:w="183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'Your own simulation says adaptive fading is pointless.'</w:t>
            </w:r>
          </w:p>
        </w:tc>
        <w:tc>
          <w:tcPr>
            <w:tcW w:type="dxa" w:w="31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Under realistic conditions (overnight forgetting, 8× spread in learning speed), </w:t>
            </w:r>
            <w:r>
              <w:rPr>
                <w:rFonts w:ascii="Arial" w:cs="Arial" w:eastAsia="Arial" w:hAnsi="Arial"/>
                <w:b/>
                <w:bCs/>
                <w:color w:val="222222"/>
                <w:sz w:val="15"/>
                <w:szCs w:val="15"/>
              </w:rPr>
              <w:t xml:space="preserve">Fade Engine 2.1 beats a fixed fade by +0.015 retention (95% CI 0.013–0.017)</w:t>
            </w:r>
            <w:r>
              <w:rPr>
                <w:rFonts w:ascii="Arial" w:cs="Arial" w:eastAsia="Arial" w:hAnsi="Arial"/>
                <w:color w:val="222222"/>
                <w:sz w:val="15"/>
                <w:szCs w:val="15"/>
              </w:rPr>
              <w:t xml:space="preserve"> in two of three learner models and ties in the third; it helps about two-thirds of learners and is never worse. The headline claim is </w:t>
            </w:r>
            <w:r>
              <w:rPr>
                <w:rFonts w:ascii="Arial" w:cs="Arial" w:eastAsia="Arial" w:hAnsi="Arial"/>
                <w:i/>
                <w:iCs/>
                <w:color w:val="222222"/>
                <w:sz w:val="15"/>
                <w:szCs w:val="15"/>
              </w:rPr>
              <w:t xml:space="preserve">probe-gated mastery</w:t>
            </w:r>
            <w:r>
              <w:rPr>
                <w:rFonts w:ascii="Arial" w:cs="Arial" w:eastAsia="Arial" w:hAnsi="Arial"/>
                <w:color w:val="222222"/>
                <w:sz w:val="15"/>
                <w:szCs w:val="15"/>
              </w:rPr>
              <w:t xml:space="preserve">, not 'adaptive beats fixed'.</w:t>
            </w:r>
          </w:p>
        </w:tc>
        <w:tc>
          <w:tcPr>
            <w:tcW w:type="dxa" w:w="195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Section 7; </w:t>
            </w:r>
            <w:r>
              <w:rPr>
                <w:rFonts w:ascii="Arial" w:cs="Arial" w:eastAsia="Arial" w:hAnsi="Arial"/>
                <w:b w:val="false"/>
                <w:bCs w:val="false"/>
                <w:color w:val="1F4E79"/>
                <w:sz w:val="15"/>
                <w:szCs w:val="15"/>
              </w:rPr>
              <w:t xml:space="preserve">[22, 23]</w:t>
            </w:r>
          </w:p>
        </w:tc>
        <w:tc>
          <w:tcPr>
            <w:tcW w:type="dxa" w:w="170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Small, model-dependent effect; the trial includes a fixed-fade arm</w:t>
            </w:r>
          </w:p>
        </w:tc>
      </w:tr>
      <w:tr>
        <w:trPr>
          <w:cantSplit/>
        </w:trPr>
        <w:tc>
          <w:tcPr>
            <w:tcW w:type="dxa" w:w="3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7</w:t>
            </w:r>
          </w:p>
        </w:tc>
        <w:tc>
          <w:tcPr>
            <w:tcW w:type="dxa" w:w="183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 data of your own.'</w:t>
            </w:r>
          </w:p>
        </w:tc>
        <w:tc>
          <w:tcPr>
            <w:tcW w:type="dxa" w:w="31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Four short experiments (E1–E4) with 3 players and 8–10 participants, pre-registered, with analysis code already written (</w:t>
            </w:r>
            <w:r>
              <w:rPr>
                <w:rFonts w:ascii="Courier New" w:cs="Courier New" w:eastAsia="Courier New" w:hAnsi="Courier New"/>
                <w:color w:val="222222"/>
                <w:sz w:val="13"/>
                <w:szCs w:val="13"/>
              </w:rPr>
              <w:t xml:space="preserve">sim/fingerprint.py</w:t>
            </w:r>
            <w:r>
              <w:rPr>
                <w:rFonts w:ascii="Arial" w:cs="Arial" w:eastAsia="Arial" w:hAnsi="Arial"/>
                <w:color w:val="222222"/>
                <w:sz w:val="15"/>
                <w:szCs w:val="15"/>
              </w:rPr>
              <w:t xml:space="preserve">).</w:t>
            </w:r>
          </w:p>
        </w:tc>
        <w:tc>
          <w:tcPr>
            <w:tcW w:type="dxa" w:w="195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Section 10</w:t>
            </w:r>
          </w:p>
        </w:tc>
        <w:tc>
          <w:tcPr>
            <w:tcW w:type="dxa" w:w="170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Depends on the team running them</w:t>
            </w:r>
          </w:p>
        </w:tc>
      </w:tr>
      <w:tr>
        <w:trPr>
          <w:cantSplit/>
        </w:trPr>
        <w:tc>
          <w:tcPr>
            <w:tcW w:type="dxa" w:w="3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8</w:t>
            </w:r>
          </w:p>
        </w:tc>
        <w:tc>
          <w:tcPr>
            <w:tcW w:type="dxa" w:w="183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'Maker-grade hardware.'</w:t>
            </w:r>
          </w:p>
        </w:tc>
        <w:tc>
          <w:tcPr>
            <w:tcW w:type="dxa" w:w="31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Custom cuff PCB (ESP32-C3, 2× DRV2605L, BMI270, charger), on-device INT8 stroke classifier on ESP32-S3, regression-based clock-skew compensation, accelerometer test rig.</w:t>
            </w:r>
          </w:p>
        </w:tc>
        <w:tc>
          <w:tcPr>
            <w:tcW w:type="dxa" w:w="195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[49, 121, 122, 123]</w:t>
            </w:r>
          </w:p>
        </w:tc>
        <w:tc>
          <w:tcPr>
            <w:tcW w:type="dxa" w:w="170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PCB may not be back by the finale, so show the schematic and a dev-board build</w:t>
            </w:r>
          </w:p>
        </w:tc>
      </w:tr>
      <w:tr>
        <w:trPr>
          <w:cantSplit/>
        </w:trPr>
        <w:tc>
          <w:tcPr>
            <w:tcW w:type="dxa" w:w="3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9</w:t>
            </w:r>
          </w:p>
        </w:tc>
        <w:tc>
          <w:tcPr>
            <w:tcW w:type="dxa" w:w="183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'Inflated statistics.'</w:t>
            </w:r>
          </w:p>
        </w:tc>
        <w:tc>
          <w:tcPr>
            <w:tcW w:type="dxa" w:w="31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Fixed: ABGMVM's 1 lakh+ covers all disciplines; the 15 million households figure is labelled unaudited; Soundbrenner is used only to show a niche haptic product can sustain a business. Sizing is bottom-up through institutions.</w:t>
            </w:r>
          </w:p>
        </w:tc>
        <w:tc>
          <w:tcPr>
            <w:tcW w:type="dxa" w:w="195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[18, 82, 87]</w:t>
            </w:r>
          </w:p>
        </w:tc>
        <w:tc>
          <w:tcPr>
            <w:tcW w:type="dxa" w:w="170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Tabla-specific counts are not published</w:t>
            </w:r>
          </w:p>
        </w:tc>
      </w:tr>
      <w:tr>
        <w:trPr>
          <w:cantSplit/>
        </w:trPr>
        <w:tc>
          <w:tcPr>
            <w:tcW w:type="dxa" w:w="3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10</w:t>
            </w:r>
          </w:p>
        </w:tc>
        <w:tc>
          <w:tcPr>
            <w:tcW w:type="dxa" w:w="183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'Weak fit with a heritage </w:t>
            </w:r>
            <w:r>
              <w:rPr>
                <w:rFonts w:ascii="Arial" w:cs="Arial" w:eastAsia="Arial" w:hAnsi="Arial"/>
                <w:i/>
                <w:iCs/>
                <w:color w:val="222222"/>
                <w:sz w:val="15"/>
                <w:szCs w:val="15"/>
              </w:rPr>
              <w:t xml:space="preserve">showcase</w:t>
            </w:r>
            <w:r>
              <w:rPr>
                <w:rFonts w:ascii="Arial" w:cs="Arial" w:eastAsia="Arial" w:hAnsi="Arial"/>
                <w:color w:val="222222"/>
                <w:sz w:val="15"/>
                <w:szCs w:val="15"/>
              </w:rPr>
              <w:t xml:space="preserve"> PS.'</w:t>
            </w:r>
          </w:p>
        </w:tc>
        <w:tc>
          <w:tcPr>
            <w:tcW w:type="dxa" w:w="31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New </w:t>
            </w:r>
            <w:r>
              <w:rPr>
                <w:rFonts w:ascii="Arial" w:cs="Arial" w:eastAsia="Arial" w:hAnsi="Arial"/>
                <w:b/>
                <w:bCs/>
                <w:color w:val="222222"/>
                <w:sz w:val="15"/>
                <w:szCs w:val="15"/>
              </w:rPr>
              <w:t xml:space="preserve">Taal-Sparsh showcase kiosk</w:t>
            </w:r>
            <w:r>
              <w:rPr>
                <w:rFonts w:ascii="Arial" w:cs="Arial" w:eastAsia="Arial" w:hAnsi="Arial"/>
                <w:color w:val="222222"/>
                <w:sz w:val="15"/>
                <w:szCs w:val="15"/>
              </w:rPr>
              <w:t xml:space="preserve">: visitors (including deaf visitors) feel three gharanas' theka and see the fingerprint plot, for museums, Kala Utsav and archive events. Style as visible, measurable heritage science.</w:t>
            </w:r>
          </w:p>
        </w:tc>
        <w:tc>
          <w:tcPr>
            <w:tcW w:type="dxa" w:w="195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[15, 120, 129]</w:t>
            </w:r>
          </w:p>
        </w:tc>
        <w:tc>
          <w:tcPr>
            <w:tcW w:type="dxa" w:w="170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Kiosk content needs consenting gurus</w:t>
            </w:r>
          </w:p>
        </w:tc>
      </w:tr>
      <w:tr>
        <w:trPr>
          <w:cantSplit/>
        </w:trPr>
        <w:tc>
          <w:tcPr>
            <w:tcW w:type="dxa" w:w="3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11</w:t>
            </w:r>
          </w:p>
        </w:tc>
        <w:tc>
          <w:tcPr>
            <w:tcW w:type="dxa" w:w="183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'Elderly gurus will not use apps.'</w:t>
            </w:r>
          </w:p>
        </w:tc>
        <w:tc>
          <w:tcPr>
            <w:tcW w:type="dxa" w:w="31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Recording needs no app: one button on the base unit. Signing is a fingerprint on the guru's own phone (passkey) or a 'Guru Mohar' NFC card. Consent is read aloud in the guru's language and recorded.</w:t>
            </w:r>
          </w:p>
        </w:tc>
        <w:tc>
          <w:tcPr>
            <w:tcW w:type="dxa" w:w="195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[119]</w:t>
            </w:r>
          </w:p>
        </w:tc>
        <w:tc>
          <w:tcPr>
            <w:tcW w:type="dxa" w:w="170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 helper is still needed for first set-up</w:t>
            </w:r>
          </w:p>
        </w:tc>
      </w:tr>
      <w:tr>
        <w:trPr>
          <w:cantSplit/>
        </w:trPr>
        <w:tc>
          <w:tcPr>
            <w:tcW w:type="dxa" w:w="3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12</w:t>
            </w:r>
          </w:p>
        </w:tc>
        <w:tc>
          <w:tcPr>
            <w:tcW w:type="dxa" w:w="183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'Students need a tabla plus ₹6k.'</w:t>
            </w:r>
          </w:p>
        </w:tc>
        <w:tc>
          <w:tcPr>
            <w:tcW w:type="dxa" w:w="31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Entry option: a two-zone piezo practice pad. Volume BOM about ₹3,000–5,600 per complete system. Institutions own kits and share them.</w:t>
            </w:r>
          </w:p>
        </w:tc>
        <w:tc>
          <w:tcPr>
            <w:tcW w:type="dxa" w:w="195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[123, 124, 125]</w:t>
            </w:r>
          </w:p>
        </w:tc>
        <w:tc>
          <w:tcPr>
            <w:tcW w:type="dxa" w:w="170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The pad is a proxy for the real instrument</w:t>
            </w:r>
          </w:p>
        </w:tc>
      </w:tr>
      <w:tr>
        <w:trPr>
          <w:cantSplit/>
        </w:trPr>
        <w:tc>
          <w:tcPr>
            <w:tcW w:type="dxa" w:w="3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13</w:t>
            </w:r>
          </w:p>
        </w:tc>
        <w:tc>
          <w:tcPr>
            <w:tcW w:type="dxa" w:w="183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'Pottery and puppetry are scope creep.'</w:t>
            </w:r>
          </w:p>
        </w:tc>
        <w:tc>
          <w:tcPr>
            <w:tcW w:type="dxa" w:w="31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Kept on the roadmap behind an explicit gate: only after tabla E1–E4 pass. Kathak footwork is the next tradition because the pipeline transfers almost one-to-one.</w:t>
            </w:r>
          </w:p>
        </w:tc>
        <w:tc>
          <w:tcPr>
            <w:tcW w:type="dxa" w:w="195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Section 14</w:t>
            </w:r>
          </w:p>
        </w:tc>
        <w:tc>
          <w:tcPr>
            <w:tcW w:type="dxa" w:w="170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None for the MVP</w:t>
            </w:r>
          </w:p>
        </w:tc>
      </w:tr>
      <w:tr>
        <w:trPr>
          <w:cantSplit/>
        </w:trPr>
        <w:tc>
          <w:tcPr>
            <w:tcW w:type="dxa" w:w="3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14</w:t>
            </w:r>
          </w:p>
        </w:tc>
        <w:tc>
          <w:tcPr>
            <w:tcW w:type="dxa" w:w="183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'This already exists.'</w:t>
            </w:r>
          </w:p>
        </w:tc>
        <w:tc>
          <w:tcPr>
            <w:tcW w:type="dxa" w:w="31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Closest work is cited and compared: teacher-to-learner haptic bracelets, a mridangam tutoring proposal, gharana recognition, Layika. None measures a master's fingerprint and teaches it back with fading and consent.</w:t>
            </w:r>
          </w:p>
        </w:tc>
        <w:tc>
          <w:tcPr>
            <w:tcW w:type="dxa" w:w="195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[6, 50, 104, 126]</w:t>
            </w:r>
          </w:p>
        </w:tc>
        <w:tc>
          <w:tcPr>
            <w:tcW w:type="dxa" w:w="170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Run a formal patent search before submission</w:t>
            </w:r>
          </w:p>
        </w:tc>
      </w:tr>
    </w:tbl>
    <w:p>
      <w:pPr>
        <w:spacing w:after="80"/>
      </w:pPr>
    </w:p>
    <w:p>
      <w:pPr>
        <w:pStyle w:val="Heading1"/>
        <w:keepNext/>
        <w:spacing w:after="200" w:before="480"/>
      </w:pPr>
      <w:r>
        <w:rPr>
          <w:rFonts w:ascii="Arial" w:cs="Arial" w:eastAsia="Arial" w:hAnsi="Arial"/>
        </w:rPr>
        <w:t xml:space="preserve">3. The problem, with honest numbers</w:t>
      </w:r>
    </w:p>
    <w:p>
      <w:pPr>
        <w:pStyle w:val="Heading2"/>
        <w:keepNext/>
      </w:pPr>
      <w:r>
        <w:rPr>
          <w:rFonts w:ascii="Arial" w:cs="Arial" w:eastAsia="Arial" w:hAnsi="Arial"/>
        </w:rPr>
        <w:t xml:space="preserve">3.1 Tacit knowledge is the bottleneck</w:t>
      </w:r>
    </w:p>
    <w:p>
      <w:pPr>
        <w:spacing w:after="120" w:before="0" w:line="276"/>
        <w:jc w:val="left"/>
      </w:pPr>
      <w:r>
        <w:rPr>
          <w:rFonts w:ascii="Arial" w:cs="Arial" w:eastAsia="Arial" w:hAnsi="Arial"/>
          <w:color w:val="222222"/>
          <w:sz w:val="20"/>
          <w:szCs w:val="20"/>
        </w:rPr>
        <w:t xml:space="preserve">Polanyi's 'we know more than we can tell' fits tabla </w:t>
      </w:r>
      <w:r>
        <w:rPr>
          <w:rFonts w:ascii="Arial" w:cs="Arial" w:eastAsia="Arial" w:hAnsi="Arial"/>
          <w:b w:val="false"/>
          <w:bCs w:val="false"/>
          <w:color w:val="1F4E79"/>
          <w:sz w:val="20"/>
          <w:szCs w:val="20"/>
        </w:rPr>
        <w:t xml:space="preserve">[58]</w:t>
      </w:r>
      <w:r>
        <w:rPr>
          <w:rFonts w:ascii="Arial" w:cs="Arial" w:eastAsia="Arial" w:hAnsi="Arial"/>
          <w:color w:val="222222"/>
          <w:sz w:val="20"/>
          <w:szCs w:val="20"/>
        </w:rPr>
        <w:t xml:space="preserve">. In Nonaka and Takeuchi's SECI model, the hardest step is externalisation, turning tacit skill into explicit form </w:t>
      </w:r>
      <w:r>
        <w:rPr>
          <w:rFonts w:ascii="Arial" w:cs="Arial" w:eastAsia="Arial" w:hAnsi="Arial"/>
          <w:b w:val="false"/>
          <w:bCs w:val="false"/>
          <w:color w:val="1F4E79"/>
          <w:sz w:val="20"/>
          <w:szCs w:val="20"/>
        </w:rPr>
        <w:t xml:space="preserve">[59]</w:t>
      </w:r>
      <w:r>
        <w:rPr>
          <w:rFonts w:ascii="Arial" w:cs="Arial" w:eastAsia="Arial" w:hAnsi="Arial"/>
          <w:color w:val="222222"/>
          <w:sz w:val="20"/>
          <w:szCs w:val="20"/>
        </w:rPr>
        <w:t xml:space="preserve">. Talim is almost pure socialisation: it works, but it cannot leave the guru's room or outlive the guru. </w:t>
      </w:r>
      <w:r>
        <w:rPr>
          <w:rFonts w:ascii="Arial" w:cs="Arial" w:eastAsia="Arial" w:hAnsi="Arial"/>
          <w:b/>
          <w:bCs/>
          <w:color w:val="222222"/>
          <w:sz w:val="20"/>
          <w:szCs w:val="20"/>
        </w:rPr>
        <w:t xml:space="preserve">PARAMPARA externalises a master's rhythm as a fingerprint, then internalises it in the student through faded multisensory practice.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47"/>
        <w:gridCol w:w="2912"/>
        <w:gridCol w:w="4367"/>
      </w:tblGrid>
      <w:tr>
        <w:trPr>
          <w:cantSplit/>
          <w:tblHeader/>
        </w:trPr>
        <w:tc>
          <w:tcPr>
            <w:tcW w:type="dxa" w:w="174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SECI mode</w:t>
            </w:r>
          </w:p>
        </w:tc>
        <w:tc>
          <w:tcPr>
            <w:tcW w:type="dxa" w:w="291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Traditional talim</w:t>
            </w:r>
          </w:p>
        </w:tc>
        <w:tc>
          <w:tcPr>
            <w:tcW w:type="dxa" w:w="436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PARAMPARA 2.0</w:t>
            </w:r>
          </w:p>
        </w:tc>
      </w:tr>
      <w:tr>
        <w:trPr>
          <w:cantSplit/>
        </w:trPr>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Socialisation</w:t>
            </w:r>
          </w:p>
        </w:tc>
        <w:tc>
          <w:tcPr>
            <w:tcW w:type="dxa" w:w="29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Sitting with the guru</w:t>
            </w:r>
          </w:p>
        </w:tc>
        <w:tc>
          <w:tcPr>
            <w:tcW w:type="dxa" w:w="43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Still central: the guru records, approves readiness, keeps control</w:t>
            </w:r>
          </w:p>
        </w:tc>
      </w:tr>
      <w:tr>
        <w:trPr>
          <w:cantSplit/>
        </w:trPr>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Externalisation</w:t>
            </w:r>
          </w:p>
        </w:tc>
        <w:tc>
          <w:tcPr>
            <w:tcW w:type="dxa" w:w="29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Rare; notation captures bols, not style</w:t>
            </w:r>
          </w:p>
        </w:tc>
        <w:tc>
          <w:tcPr>
            <w:tcW w:type="dxa" w:w="43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Gharana Fingerprint: micro-timing, accent contour, stroke families, arm preparation</w:t>
            </w:r>
          </w:p>
        </w:tc>
      </w:tr>
      <w:tr>
        <w:trPr>
          <w:cantSplit/>
        </w:trPr>
        <w:tc>
          <w:tcPr>
            <w:tcW w:type="dxa" w:w="17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Combination</w:t>
            </w:r>
          </w:p>
        </w:tc>
        <w:tc>
          <w:tcPr>
            <w:tcW w:type="dxa" w:w="29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Composition notebooks</w:t>
            </w:r>
          </w:p>
        </w:tc>
        <w:tc>
          <w:tcPr>
            <w:tcW w:type="dxa" w:w="43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Signed library and lineage graph; archive deposit with consent</w:t>
            </w:r>
          </w:p>
        </w:tc>
      </w:tr>
      <w:tr>
        <w:trPr>
          <w:cantSplit/>
        </w:trPr>
        <w:tc>
          <w:tcPr>
            <w:tcW w:type="dxa" w:w="17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Internalisation</w:t>
            </w:r>
          </w:p>
        </w:tc>
        <w:tc>
          <w:tcPr>
            <w:tcW w:type="dxa" w:w="29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Riyaz</w:t>
            </w:r>
          </w:p>
        </w:tc>
        <w:tc>
          <w:tcPr>
            <w:tcW w:type="dxa" w:w="43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Three-tier curriculum with Fade Engine 2.1; success = unaided retention</w:t>
            </w:r>
          </w:p>
        </w:tc>
      </w:tr>
    </w:tbl>
    <w:p>
      <w:pPr>
        <w:spacing w:after="80"/>
      </w:pPr>
    </w:p>
    <w:p>
      <w:pPr>
        <w:pStyle w:val="Heading2"/>
        <w:keepNext/>
      </w:pPr>
      <w:r>
        <w:rPr>
          <w:rFonts w:ascii="Arial" w:cs="Arial" w:eastAsia="Arial" w:hAnsi="Arial"/>
        </w:rPr>
        <w:t xml:space="preserve">3.2 Why tabla first</w:t>
      </w:r>
    </w:p>
    <w:p>
      <w:pPr>
        <w:pStyle w:val="ListParagraph"/>
        <w:numPr>
          <w:ilvl w:val="0"/>
          <w:numId w:val="2"/>
        </w:numPr>
        <w:spacing w:after="60" w:line="268"/>
      </w:pPr>
      <w:r>
        <w:rPr>
          <w:rFonts w:ascii="Arial" w:cs="Arial" w:eastAsia="Arial" w:hAnsi="Arial"/>
          <w:b/>
          <w:bCs/>
          <w:color w:val="222222"/>
          <w:sz w:val="20"/>
          <w:szCs w:val="20"/>
        </w:rPr>
        <w:t xml:space="preserve">Measurable:</w:t>
      </w:r>
      <w:r>
        <w:rPr>
          <w:rFonts w:ascii="Arial" w:cs="Arial" w:eastAsia="Arial" w:hAnsi="Arial"/>
          <w:color w:val="222222"/>
          <w:sz w:val="20"/>
          <w:szCs w:val="20"/>
        </w:rPr>
        <w:t xml:space="preserve"> discrete percussive events, timestamped to a fraction of a millisecond </w:t>
      </w:r>
      <w:r>
        <w:rPr>
          <w:rFonts w:ascii="Arial" w:cs="Arial" w:eastAsia="Arial" w:hAnsi="Arial"/>
          <w:b w:val="false"/>
          <w:bCs w:val="false"/>
          <w:color w:val="1F4E79"/>
          <w:sz w:val="20"/>
          <w:szCs w:val="20"/>
        </w:rPr>
        <w:t xml:space="preserve">[55]</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b/>
          <w:bCs/>
          <w:color w:val="222222"/>
          <w:sz w:val="20"/>
          <w:szCs w:val="20"/>
        </w:rPr>
        <w:t xml:space="preserve">Scientifically Indian:</w:t>
      </w:r>
      <w:r>
        <w:rPr>
          <w:rFonts w:ascii="Arial" w:cs="Arial" w:eastAsia="Arial" w:hAnsi="Arial"/>
          <w:color w:val="222222"/>
          <w:sz w:val="20"/>
          <w:szCs w:val="20"/>
        </w:rPr>
        <w:t xml:space="preserve"> C. V. Raman showed the loaded tabla membrane gives harmonic overtones </w:t>
      </w:r>
      <w:r>
        <w:rPr>
          <w:rFonts w:ascii="Arial" w:cs="Arial" w:eastAsia="Arial" w:hAnsi="Arial"/>
          <w:b w:val="false"/>
          <w:bCs w:val="false"/>
          <w:color w:val="1F4E79"/>
          <w:sz w:val="20"/>
          <w:szCs w:val="20"/>
        </w:rPr>
        <w:t xml:space="preserve">[43, 44]</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b/>
          <w:bCs/>
          <w:color w:val="222222"/>
          <w:sz w:val="20"/>
          <w:szCs w:val="20"/>
        </w:rPr>
        <w:t xml:space="preserve">Rich, documented lineages:</w:t>
      </w:r>
      <w:r>
        <w:rPr>
          <w:rFonts w:ascii="Arial" w:cs="Arial" w:eastAsia="Arial" w:hAnsi="Arial"/>
          <w:color w:val="222222"/>
          <w:sz w:val="20"/>
          <w:szCs w:val="20"/>
        </w:rPr>
        <w:t xml:space="preserve"> six commonly listed gharanas descend from one another </w:t>
      </w:r>
      <w:r>
        <w:rPr>
          <w:rFonts w:ascii="Arial" w:cs="Arial" w:eastAsia="Arial" w:hAnsi="Arial"/>
          <w:b w:val="false"/>
          <w:bCs w:val="false"/>
          <w:color w:val="1F4E79"/>
          <w:sz w:val="20"/>
          <w:szCs w:val="20"/>
        </w:rPr>
        <w:t xml:space="preserve">[52]</w:t>
      </w:r>
      <w:r>
        <w:rPr>
          <w:rFonts w:ascii="Arial" w:cs="Arial" w:eastAsia="Arial" w:hAnsi="Arial"/>
          <w:color w:val="222222"/>
          <w:sz w:val="20"/>
          <w:szCs w:val="20"/>
        </w:rPr>
        <w:t xml:space="preserve">, and gharana identity is recoverable from audio </w:t>
      </w:r>
      <w:r>
        <w:rPr>
          <w:rFonts w:ascii="Arial" w:cs="Arial" w:eastAsia="Arial" w:hAnsi="Arial"/>
          <w:b w:val="false"/>
          <w:bCs w:val="false"/>
          <w:color w:val="1F4E79"/>
          <w:sz w:val="20"/>
          <w:szCs w:val="20"/>
        </w:rPr>
        <w:t xml:space="preserve">[104]</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b/>
          <w:bCs/>
          <w:color w:val="222222"/>
          <w:sz w:val="20"/>
          <w:szCs w:val="20"/>
        </w:rPr>
        <w:t xml:space="preserve">Data and models exist:</w:t>
      </w:r>
      <w:r>
        <w:rPr>
          <w:rFonts w:ascii="Arial" w:cs="Arial" w:eastAsia="Arial" w:hAnsi="Arial"/>
          <w:color w:val="222222"/>
          <w:sz w:val="20"/>
          <w:szCs w:val="20"/>
        </w:rPr>
        <w:t xml:space="preserve"> stroke datasets and CNN classifiers </w:t>
      </w:r>
      <w:r>
        <w:rPr>
          <w:rFonts w:ascii="Arial" w:cs="Arial" w:eastAsia="Arial" w:hAnsi="Arial"/>
          <w:b w:val="false"/>
          <w:bCs w:val="false"/>
          <w:color w:val="1F4E79"/>
          <w:sz w:val="20"/>
          <w:szCs w:val="20"/>
        </w:rPr>
        <w:t xml:space="preserve">[48, 49, 53, 54]</w:t>
      </w:r>
      <w:r>
        <w:rPr>
          <w:rFonts w:ascii="Arial" w:cs="Arial" w:eastAsia="Arial" w:hAnsi="Arial"/>
          <w:color w:val="222222"/>
          <w:sz w:val="20"/>
          <w:szCs w:val="20"/>
        </w:rPr>
        <w:t xml:space="preserve">; Hindustani corpora </w:t>
      </w:r>
      <w:r>
        <w:rPr>
          <w:rFonts w:ascii="Arial" w:cs="Arial" w:eastAsia="Arial" w:hAnsi="Arial"/>
          <w:b w:val="false"/>
          <w:bCs w:val="false"/>
          <w:color w:val="1F4E79"/>
          <w:sz w:val="20"/>
          <w:szCs w:val="20"/>
        </w:rPr>
        <w:t xml:space="preserve">[51]</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b/>
          <w:bCs/>
          <w:color w:val="222222"/>
          <w:sz w:val="20"/>
          <w:szCs w:val="20"/>
        </w:rPr>
        <w:t xml:space="preserve">In the school system:</w:t>
      </w:r>
      <w:r>
        <w:rPr>
          <w:rFonts w:ascii="Arial" w:cs="Arial" w:eastAsia="Arial" w:hAnsi="Arial"/>
          <w:color w:val="222222"/>
          <w:sz w:val="20"/>
          <w:szCs w:val="20"/>
        </w:rPr>
        <w:t xml:space="preserve"> CBSE offers Hindustani Music Percussion (tabla, pakhawaj) as subject 036 </w:t>
      </w:r>
      <w:r>
        <w:rPr>
          <w:rFonts w:ascii="Arial" w:cs="Arial" w:eastAsia="Arial" w:hAnsi="Arial"/>
          <w:b w:val="false"/>
          <w:bCs w:val="false"/>
          <w:color w:val="1F4E79"/>
          <w:sz w:val="20"/>
          <w:szCs w:val="20"/>
        </w:rPr>
        <w:t xml:space="preserve">[128]</w:t>
      </w:r>
      <w:r>
        <w:rPr>
          <w:rFonts w:ascii="Arial" w:cs="Arial" w:eastAsia="Arial" w:hAnsi="Arial"/>
          <w:color w:val="222222"/>
          <w:sz w:val="20"/>
          <w:szCs w:val="20"/>
        </w:rPr>
        <w:t xml:space="preserve">; NCERT's Kala Utsav has a percussive instrumental category </w:t>
      </w:r>
      <w:r>
        <w:rPr>
          <w:rFonts w:ascii="Arial" w:cs="Arial" w:eastAsia="Arial" w:hAnsi="Arial"/>
          <w:b w:val="false"/>
          <w:bCs w:val="false"/>
          <w:color w:val="1F4E79"/>
          <w:sz w:val="20"/>
          <w:szCs w:val="20"/>
        </w:rPr>
        <w:t xml:space="preserve">[129]</w:t>
      </w:r>
      <w:r>
        <w:rPr>
          <w:rFonts w:ascii="Arial" w:cs="Arial" w:eastAsia="Arial" w:hAnsi="Arial"/>
          <w:color w:val="222222"/>
          <w:sz w:val="20"/>
          <w:szCs w:val="20"/>
        </w:rPr>
        <w:t xml:space="preserve">.</w:t>
      </w:r>
    </w:p>
    <w:p>
      <w:pPr>
        <w:pStyle w:val="Heading2"/>
        <w:keepNext/>
      </w:pPr>
      <w:r>
        <w:rPr>
          <w:rFonts w:ascii="Arial" w:cs="Arial" w:eastAsia="Arial" w:hAnsi="Arial"/>
        </w:rPr>
        <w:t xml:space="preserve">3.3 Scale and stakes (corrected in v2)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758"/>
        <w:gridCol w:w="878"/>
        <w:gridCol w:w="3133"/>
      </w:tblGrid>
      <w:tr>
        <w:trPr>
          <w:cantSplit/>
          <w:tblHeader/>
        </w:trPr>
        <w:tc>
          <w:tcPr>
            <w:tcW w:type="dxa" w:w="225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Indicator</w:t>
            </w:r>
          </w:p>
        </w:tc>
        <w:tc>
          <w:tcPr>
            <w:tcW w:type="dxa" w:w="275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Figure</w:t>
            </w:r>
          </w:p>
        </w:tc>
        <w:tc>
          <w:tcPr>
            <w:tcW w:type="dxa" w:w="87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Source</w:t>
            </w:r>
          </w:p>
        </w:tc>
        <w:tc>
          <w:tcPr>
            <w:tcW w:type="dxa" w:w="313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How to read it</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Classical music examinees (ABGMVM)</w:t>
            </w:r>
          </w:p>
        </w:tc>
        <w:tc>
          <w:tcPr>
            <w:tcW w:type="dxa" w:w="27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More than 1 lakh a year, about 800 centres</w:t>
            </w:r>
          </w:p>
        </w:tc>
        <w:tc>
          <w:tcPr>
            <w:tcW w:type="dxa" w:w="87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[82]</w:t>
            </w:r>
          </w:p>
        </w:tc>
        <w:tc>
          <w:tcPr>
            <w:tcW w:type="dxa" w:w="313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All disciplines</w:t>
            </w:r>
            <w:r>
              <w:rPr>
                <w:rFonts w:ascii="Arial" w:cs="Arial" w:eastAsia="Arial" w:hAnsi="Arial"/>
                <w:color w:val="222222"/>
                <w:sz w:val="16"/>
                <w:szCs w:val="16"/>
              </w:rPr>
              <w:t xml:space="preserve">, not only tabla; the tabla share is not published</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School channel</w:t>
            </w:r>
          </w:p>
        </w:tc>
        <w:tc>
          <w:tcPr>
            <w:tcW w:type="dxa" w:w="275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CBSE subject 036; Kala Utsav percussive category (about 700 national finalists from 36 States/UTs)</w:t>
            </w:r>
          </w:p>
        </w:tc>
        <w:tc>
          <w:tcPr>
            <w:tcW w:type="dxa" w:w="87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[128, 129]</w:t>
            </w:r>
          </w:p>
        </w:tc>
        <w:tc>
          <w:tcPr>
            <w:tcW w:type="dxa" w:w="313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 structured, government-run pipeline of percussion learners</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Households learning music</w:t>
            </w:r>
          </w:p>
        </w:tc>
        <w:tc>
          <w:tcPr>
            <w:tcW w:type="dxa" w:w="27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More than 15 million (industry estimate)</w:t>
            </w:r>
          </w:p>
        </w:tc>
        <w:tc>
          <w:tcPr>
            <w:tcW w:type="dxa" w:w="87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[87]</w:t>
            </w:r>
          </w:p>
        </w:tc>
        <w:tc>
          <w:tcPr>
            <w:tcW w:type="dxa" w:w="313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Unaudited</w:t>
            </w:r>
            <w:r>
              <w:rPr>
                <w:rFonts w:ascii="Arial" w:cs="Arial" w:eastAsia="Arial" w:hAnsi="Arial"/>
                <w:color w:val="222222"/>
                <w:sz w:val="16"/>
                <w:szCs w:val="16"/>
              </w:rPr>
              <w:t xml:space="preserve"> investor claim; used only as context</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Archive gap</w:t>
            </w:r>
          </w:p>
        </w:tc>
        <w:tc>
          <w:tcPr>
            <w:tcW w:type="dxa" w:w="275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Over 3 lakh hours identified, 23,000+ digitised (audio/video only)</w:t>
            </w:r>
          </w:p>
        </w:tc>
        <w:tc>
          <w:tcPr>
            <w:tcW w:type="dxa" w:w="87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[120]</w:t>
            </w:r>
          </w:p>
        </w:tc>
        <w:tc>
          <w:tcPr>
            <w:tcW w:type="dxa" w:w="313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Sound and image are archived; playing technique is not</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State support for transmission</w:t>
            </w:r>
          </w:p>
        </w:tc>
        <w:tc>
          <w:tcPr>
            <w:tcW w:type="dxa" w:w="27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Guru-Shishya Parampara via 7 Zonal Cultural Centres; SNA ICH scheme</w:t>
            </w:r>
          </w:p>
        </w:tc>
        <w:tc>
          <w:tcPr>
            <w:tcW w:type="dxa" w:w="87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[73, 74]</w:t>
            </w:r>
          </w:p>
        </w:tc>
        <w:tc>
          <w:tcPr>
            <w:tcW w:type="dxa" w:w="313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Existing budget lines</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India's UNESCO ICH elements</w:t>
            </w:r>
          </w:p>
        </w:tc>
        <w:tc>
          <w:tcPr>
            <w:tcW w:type="dxa" w:w="275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16 (Deepavali added December 2025)</w:t>
            </w:r>
          </w:p>
        </w:tc>
        <w:tc>
          <w:tcPr>
            <w:tcW w:type="dxa" w:w="87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[72]</w:t>
            </w:r>
          </w:p>
        </w:tc>
        <w:tc>
          <w:tcPr>
            <w:tcW w:type="dxa" w:w="313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Heritage transmission is a national priority</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Artisans</w:t>
            </w:r>
          </w:p>
        </w:tc>
        <w:tc>
          <w:tcPr>
            <w:tcW w:type="dxa" w:w="27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About 64.66 lakh; handicraft exports ₹33,122.79 crore (2024–25)</w:t>
            </w:r>
          </w:p>
        </w:tc>
        <w:tc>
          <w:tcPr>
            <w:tcW w:type="dxa" w:w="87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[81]</w:t>
            </w:r>
          </w:p>
        </w:tc>
        <w:tc>
          <w:tcPr>
            <w:tcW w:type="dxa" w:w="313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The same tacit-skill problem in crafts (Section 14)</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Global precedent</w:t>
            </w:r>
          </w:p>
        </w:tc>
        <w:tc>
          <w:tcPr>
            <w:tcW w:type="dxa" w:w="275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Japan has certified Living National Treasures since 1950</w:t>
            </w:r>
          </w:p>
        </w:tc>
        <w:tc>
          <w:tcPr>
            <w:tcW w:type="dxa" w:w="87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[69]</w:t>
            </w:r>
          </w:p>
        </w:tc>
        <w:tc>
          <w:tcPr>
            <w:tcW w:type="dxa" w:w="313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Masters treated as national assets</w:t>
            </w:r>
          </w:p>
        </w:tc>
      </w:tr>
    </w:tbl>
    <w:p>
      <w:pPr>
        <w:spacing w:after="80"/>
      </w:pPr>
    </w:p>
    <w:p>
      <w:pPr>
        <w:pStyle w:val="Heading2"/>
        <w:keepNext/>
      </w:pPr>
      <w:r>
        <w:rPr>
          <w:rFonts w:ascii="Arial" w:cs="Arial" w:eastAsia="Arial" w:hAnsi="Arial"/>
        </w:rPr>
        <w:t xml:space="preserve">3.4 Why video, apps and metronomes are not enough</w:t>
      </w:r>
    </w:p>
    <w:p>
      <w:pPr>
        <w:pStyle w:val="ListParagraph"/>
        <w:numPr>
          <w:ilvl w:val="0"/>
          <w:numId w:val="2"/>
        </w:numPr>
        <w:spacing w:after="60" w:line="268"/>
      </w:pPr>
      <w:r>
        <w:rPr>
          <w:rFonts w:ascii="Arial" w:cs="Arial" w:eastAsia="Arial" w:hAnsi="Arial"/>
          <w:b/>
          <w:bCs/>
          <w:color w:val="222222"/>
          <w:sz w:val="20"/>
          <w:szCs w:val="20"/>
        </w:rPr>
        <w:t xml:space="preserve">Video</w:t>
      </w:r>
      <w:r>
        <w:rPr>
          <w:rFonts w:ascii="Arial" w:cs="Arial" w:eastAsia="Arial" w:hAnsi="Arial"/>
          <w:color w:val="222222"/>
          <w:sz w:val="20"/>
          <w:szCs w:val="20"/>
        </w:rPr>
        <w:t xml:space="preserve"> shows the hands but has low temporal resolution for rhythm, and cannot say which limb does what </w:t>
      </w:r>
      <w:r>
        <w:rPr>
          <w:rFonts w:ascii="Arial" w:cs="Arial" w:eastAsia="Arial" w:hAnsi="Arial"/>
          <w:b w:val="false"/>
          <w:bCs w:val="false"/>
          <w:color w:val="1F4E79"/>
          <w:sz w:val="20"/>
          <w:szCs w:val="20"/>
        </w:rPr>
        <w:t xml:space="preserve">[6]</w:t>
      </w:r>
      <w:r>
        <w:rPr>
          <w:rFonts w:ascii="Arial" w:cs="Arial" w:eastAsia="Arial" w:hAnsi="Arial"/>
          <w:color w:val="222222"/>
          <w:sz w:val="20"/>
          <w:szCs w:val="20"/>
        </w:rPr>
        <w:t xml:space="preserve">; in piano learning, vibrotactile cues gave about half the timing error of visual cues </w:t>
      </w:r>
      <w:r>
        <w:rPr>
          <w:rFonts w:ascii="Arial" w:cs="Arial" w:eastAsia="Arial" w:hAnsi="Arial"/>
          <w:b w:val="false"/>
          <w:bCs w:val="false"/>
          <w:color w:val="1F4E79"/>
          <w:sz w:val="20"/>
          <w:szCs w:val="20"/>
        </w:rPr>
        <w:t xml:space="preserve">[13]</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b/>
          <w:bCs/>
          <w:color w:val="222222"/>
          <w:sz w:val="20"/>
          <w:szCs w:val="20"/>
        </w:rPr>
        <w:t xml:space="preserve">A metronome</w:t>
      </w:r>
      <w:r>
        <w:rPr>
          <w:rFonts w:ascii="Arial" w:cs="Arial" w:eastAsia="Arial" w:hAnsi="Arial"/>
          <w:color w:val="222222"/>
          <w:sz w:val="20"/>
          <w:szCs w:val="20"/>
        </w:rPr>
        <w:t xml:space="preserve"> gives one uniform grid. Masters do not play a uniform grid: tempo and accents vary systematically within the tal cycle </w:t>
      </w:r>
      <w:r>
        <w:rPr>
          <w:rFonts w:ascii="Arial" w:cs="Arial" w:eastAsia="Arial" w:hAnsi="Arial"/>
          <w:b w:val="false"/>
          <w:bCs w:val="false"/>
          <w:color w:val="1F4E79"/>
          <w:sz w:val="20"/>
          <w:szCs w:val="20"/>
        </w:rPr>
        <w:t xml:space="preserve">[103]</w:t>
      </w:r>
      <w:r>
        <w:rPr>
          <w:rFonts w:ascii="Arial" w:cs="Arial" w:eastAsia="Arial" w:hAnsi="Arial"/>
          <w:color w:val="222222"/>
          <w:sz w:val="20"/>
          <w:szCs w:val="20"/>
        </w:rPr>
        <w:t xml:space="preserve">, and individual players have measurable timing signatures </w:t>
      </w:r>
      <w:r>
        <w:rPr>
          <w:rFonts w:ascii="Arial" w:cs="Arial" w:eastAsia="Arial" w:hAnsi="Arial"/>
          <w:b w:val="false"/>
          <w:bCs w:val="false"/>
          <w:color w:val="1F4E79"/>
          <w:sz w:val="20"/>
          <w:szCs w:val="20"/>
        </w:rPr>
        <w:t xml:space="preserve">[106, 107]</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b/>
          <w:bCs/>
          <w:color w:val="222222"/>
          <w:sz w:val="20"/>
          <w:szCs w:val="20"/>
        </w:rPr>
        <w:t xml:space="preserve">Apps</w:t>
      </w:r>
      <w:r>
        <w:rPr>
          <w:rFonts w:ascii="Arial" w:cs="Arial" w:eastAsia="Arial" w:hAnsi="Arial"/>
          <w:color w:val="222222"/>
          <w:sz w:val="20"/>
          <w:szCs w:val="20"/>
        </w:rPr>
        <w:t xml:space="preserve"> (e.g. Darbar Academy, myGurukul) are video-first </w:t>
      </w:r>
      <w:r>
        <w:rPr>
          <w:rFonts w:ascii="Arial" w:cs="Arial" w:eastAsia="Arial" w:hAnsi="Arial"/>
          <w:b w:val="false"/>
          <w:bCs w:val="false"/>
          <w:color w:val="1F4E79"/>
          <w:sz w:val="20"/>
          <w:szCs w:val="20"/>
        </w:rPr>
        <w:t xml:space="preserve">[88]</w:t>
      </w:r>
      <w:r>
        <w:rPr>
          <w:rFonts w:ascii="Arial" w:cs="Arial" w:eastAsia="Arial" w:hAnsi="Arial"/>
          <w:color w:val="222222"/>
          <w:sz w:val="20"/>
          <w:szCs w:val="20"/>
        </w:rPr>
        <w:t xml:space="preserve"> and cannot measure unaided retention, because they do not sense the student's strokes against a master's reference.</w:t>
      </w:r>
    </w:p>
    <w:p>
      <w:pPr>
        <w:pStyle w:val="ListParagraph"/>
        <w:numPr>
          <w:ilvl w:val="0"/>
          <w:numId w:val="2"/>
        </w:numPr>
        <w:spacing w:after="60" w:line="268"/>
      </w:pPr>
      <w:r>
        <w:rPr>
          <w:rFonts w:ascii="Arial" w:cs="Arial" w:eastAsia="Arial" w:hAnsi="Arial"/>
          <w:b/>
          <w:bCs/>
          <w:color w:val="222222"/>
          <w:sz w:val="20"/>
          <w:szCs w:val="20"/>
        </w:rPr>
        <w:t xml:space="preserve">Touch alone is not enough either.</w:t>
      </w:r>
      <w:r>
        <w:rPr>
          <w:rFonts w:ascii="Arial" w:cs="Arial" w:eastAsia="Arial" w:hAnsi="Arial"/>
          <w:color w:val="222222"/>
          <w:sz w:val="20"/>
          <w:szCs w:val="20"/>
        </w:rPr>
        <w:t xml:space="preserve"> Haptic guidance can make learners passive </w:t>
      </w:r>
      <w:r>
        <w:rPr>
          <w:rFonts w:ascii="Arial" w:cs="Arial" w:eastAsia="Arial" w:hAnsi="Arial"/>
          <w:b w:val="false"/>
          <w:bCs w:val="false"/>
          <w:color w:val="1F4E79"/>
          <w:sz w:val="20"/>
          <w:szCs w:val="20"/>
        </w:rPr>
        <w:t xml:space="preserve">[21, 31]</w:t>
      </w:r>
      <w:r>
        <w:rPr>
          <w:rFonts w:ascii="Arial" w:cs="Arial" w:eastAsia="Arial" w:hAnsi="Arial"/>
          <w:color w:val="222222"/>
          <w:sz w:val="20"/>
          <w:szCs w:val="20"/>
        </w:rPr>
        <w:t xml:space="preserve">, and touch is poorer than hearing for fine timing </w:t>
      </w:r>
      <w:r>
        <w:rPr>
          <w:rFonts w:ascii="Arial" w:cs="Arial" w:eastAsia="Arial" w:hAnsi="Arial"/>
          <w:b w:val="false"/>
          <w:bCs w:val="false"/>
          <w:color w:val="1F4E79"/>
          <w:sz w:val="20"/>
          <w:szCs w:val="20"/>
        </w:rPr>
        <w:t xml:space="preserve">[114]</w:t>
      </w:r>
      <w:r>
        <w:rPr>
          <w:rFonts w:ascii="Arial" w:cs="Arial" w:eastAsia="Arial" w:hAnsi="Arial"/>
          <w:color w:val="222222"/>
          <w:sz w:val="20"/>
          <w:szCs w:val="20"/>
        </w:rPr>
        <w:t xml:space="preserve">. So PARAMPARA 2.0 combines touch, sound and vision, and fades the touch.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7A1F1F" w:sz="24"/>
              <w:bottom w:val="single" w:color="D9CFC0" w:sz="4"/>
              <w:right w:val="single" w:color="D9CFC0" w:sz="4"/>
            </w:tcBorders>
            <w:shd w:fill="FBF6EC" w:color="auto" w:val="clear"/>
            <w:tcMar>
              <w:top w:type="dxa" w:w="120"/>
              <w:left w:type="dxa" w:w="200"/>
              <w:bottom w:type="dxa" w:w="100"/>
              <w:right w:type="dxa" w:w="160"/>
            </w:tcMar>
          </w:tcPr>
          <w:p>
            <w:pPr>
              <w:spacing w:after="80"/>
            </w:pPr>
            <w:r>
              <w:rPr>
                <w:rFonts w:ascii="Arial" w:cs="Arial" w:eastAsia="Arial" w:hAnsi="Arial"/>
                <w:b/>
                <w:bCs/>
                <w:color w:val="7A1F1F"/>
                <w:sz w:val="21"/>
                <w:szCs w:val="21"/>
              </w:rPr>
              <w:t xml:space="preserve">Problem statement</w:t>
            </w:r>
          </w:p>
          <w:p>
            <w:pPr>
              <w:spacing w:after="70" w:line="266"/>
            </w:pPr>
            <w:r>
              <w:rPr>
                <w:rFonts w:ascii="Arial" w:cs="Arial" w:eastAsia="Arial" w:hAnsi="Arial"/>
                <w:color w:val="222222"/>
                <w:sz w:val="19"/>
                <w:szCs w:val="19"/>
              </w:rPr>
              <w:t xml:space="preserve">The timing, accents and movement that make a tabla master's playing their own are not stored in any form a learner can practise against or be measured on. When masters retire or pass away, and when students live far from them, that knowledge is lost. </w:t>
            </w:r>
            <w:r>
              <w:rPr>
                <w:rFonts w:ascii="Arial" w:cs="Arial" w:eastAsia="Arial" w:hAnsi="Arial"/>
                <w:b/>
                <w:bCs/>
                <w:color w:val="222222"/>
                <w:sz w:val="19"/>
                <w:szCs w:val="19"/>
              </w:rPr>
              <w:t xml:space="preserve">We need a low-cost system that measures a master's style as consented, verifiable data, teaches it through the senses best suited to each part, and proves that the student has learned it without the device.</w:t>
            </w:r>
          </w:p>
        </w:tc>
      </w:tr>
    </w:tbl>
    <w:p>
      <w:pPr>
        <w:spacing w:after="100"/>
      </w:pPr>
    </w:p>
    <w:p>
      <w:pPr>
        <w:pStyle w:val="Heading1"/>
        <w:keepNext/>
        <w:spacing w:after="200" w:before="480"/>
      </w:pPr>
      <w:r>
        <w:rPr>
          <w:rFonts w:ascii="Arial" w:cs="Arial" w:eastAsia="Arial" w:hAnsi="Arial"/>
        </w:rPr>
        <w:t xml:space="preserve">4. The core insight: a master's style is measurable</w:t>
      </w:r>
    </w:p>
    <w:p>
      <w:pPr>
        <w:spacing w:after="120" w:before="0" w:line="276"/>
        <w:jc w:val="left"/>
      </w:pPr>
      <w:r>
        <w:rPr>
          <w:rFonts w:ascii="Arial" w:cs="Arial" w:eastAsia="Arial" w:hAnsi="Arial"/>
          <w:color w:val="222222"/>
          <w:sz w:val="20"/>
          <w:szCs w:val="20"/>
        </w:rPr>
        <w:t xml:space="preserve">Version 1's weakest point was the claim that a 'feel' is transmitted. Version 2 makes that claim testable. </w:t>
      </w:r>
      <w:r>
        <w:rPr>
          <w:rFonts w:ascii="Arial" w:cs="Arial" w:eastAsia="Arial" w:hAnsi="Arial"/>
          <w:b/>
          <w:bCs/>
          <w:color w:val="222222"/>
          <w:sz w:val="20"/>
          <w:szCs w:val="20"/>
        </w:rPr>
        <w:t xml:space="preserve">The Gharana Fingerprint is the measurable part of a master's style: where in the cycle they lean early or late, which matras they accent and by how much, and how their arm prepares each stroke.</w:t>
      </w:r>
    </w:p>
    <w:p>
      <w:pPr>
        <w:pStyle w:val="Heading2"/>
        <w:keepNext/>
      </w:pPr>
      <w:r>
        <w:rPr>
          <w:rFonts w:ascii="Arial" w:cs="Arial" w:eastAsia="Arial" w:hAnsi="Arial"/>
        </w:rPr>
        <w:t xml:space="preserve">4.1 Evidence that style is measurable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79"/>
        <w:gridCol w:w="4046"/>
        <w:gridCol w:w="1401"/>
      </w:tblGrid>
      <w:tr>
        <w:trPr>
          <w:cantSplit/>
          <w:tblHeader/>
        </w:trPr>
        <w:tc>
          <w:tcPr>
            <w:tcW w:type="dxa" w:w="357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Finding</w:t>
            </w:r>
          </w:p>
        </w:tc>
        <w:tc>
          <w:tcPr>
            <w:tcW w:type="dxa" w:w="404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Why it matters for PARAMPARA</w:t>
            </w:r>
          </w:p>
        </w:tc>
        <w:tc>
          <w:tcPr>
            <w:tcW w:type="dxa" w:w="140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Source</w:t>
            </w:r>
          </w:p>
        </w:tc>
      </w:tr>
      <w:tr>
        <w:trPr>
          <w:cantSplit/>
        </w:trPr>
        <w:tc>
          <w:tcPr>
            <w:tcW w:type="dxa" w:w="357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Tabla gharana recognised automatically from audio of solo performances (38+ hours of data)</w:t>
            </w:r>
          </w:p>
        </w:tc>
        <w:tc>
          <w:tcPr>
            <w:tcW w:type="dxa" w:w="404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Gharana identity leaves a measurable acoustic and rhythmic trace</w:t>
            </w:r>
          </w:p>
        </w:tc>
        <w:tc>
          <w:tcPr>
            <w:tcW w:type="dxa" w:w="14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[104]</w:t>
            </w:r>
          </w:p>
        </w:tc>
      </w:tr>
      <w:tr>
        <w:trPr>
          <w:cantSplit/>
        </w:trPr>
        <w:tc>
          <w:tcPr>
            <w:tcW w:type="dxa" w:w="357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Hindustani corpus: systematic tempo patterns within the tal cycle and percussion accent patterns at cycle positions</w:t>
            </w:r>
          </w:p>
        </w:tc>
        <w:tc>
          <w:tcPr>
            <w:tcW w:type="dxa" w:w="404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Accent contour and intra-cycle timing are real, measurable dimensions</w:t>
            </w:r>
          </w:p>
        </w:tc>
        <w:tc>
          <w:tcPr>
            <w:tcW w:type="dxa" w:w="140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[103]</w:t>
            </w:r>
          </w:p>
        </w:tc>
      </w:tr>
      <w:tr>
        <w:trPr>
          <w:cantSplit/>
        </w:trPr>
        <w:tc>
          <w:tcPr>
            <w:tcW w:type="dxa" w:w="357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Expert vocalists lead and lag the tabla beat in measurable, expressive ways</w:t>
            </w:r>
          </w:p>
        </w:tc>
        <w:tc>
          <w:tcPr>
            <w:tcW w:type="dxa" w:w="404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Timing offsets from the beat carry musical meaning in Hindustani music</w:t>
            </w:r>
          </w:p>
        </w:tc>
        <w:tc>
          <w:tcPr>
            <w:tcW w:type="dxa" w:w="14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[111]</w:t>
            </w:r>
          </w:p>
        </w:tc>
      </w:tr>
      <w:tr>
        <w:trPr>
          <w:cantSplit/>
        </w:trPr>
        <w:tc>
          <w:tcPr>
            <w:tcW w:type="dxa" w:w="357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Pianists identified from expressive timing and dynamics by machine learning</w:t>
            </w:r>
          </w:p>
        </w:tc>
        <w:tc>
          <w:tcPr>
            <w:tcW w:type="dxa" w:w="404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Performer identity is recoverable from timing + dynamics</w:t>
            </w:r>
          </w:p>
        </w:tc>
        <w:tc>
          <w:tcPr>
            <w:tcW w:type="dxa" w:w="140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[105]</w:t>
            </w:r>
          </w:p>
        </w:tc>
      </w:tr>
      <w:tr>
        <w:trPr>
          <w:cantSplit/>
        </w:trPr>
        <w:tc>
          <w:tcPr>
            <w:tcW w:type="dxa" w:w="357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28 pianists: shared timing principles plus individual signatures</w:t>
            </w:r>
          </w:p>
        </w:tc>
        <w:tc>
          <w:tcPr>
            <w:tcW w:type="dxa" w:w="404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Style = common grammar + personal deviations</w:t>
            </w:r>
          </w:p>
        </w:tc>
        <w:tc>
          <w:tcPr>
            <w:tcW w:type="dxa" w:w="14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[106]</w:t>
            </w:r>
          </w:p>
        </w:tc>
      </w:tr>
      <w:tr>
        <w:trPr>
          <w:cantSplit/>
        </w:trPr>
        <w:tc>
          <w:tcPr>
            <w:tcW w:type="dxa" w:w="357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Five rock drummers each showed a distinctive microtiming fingerprint across 79 recordings</w:t>
            </w:r>
          </w:p>
        </w:tc>
        <w:tc>
          <w:tcPr>
            <w:tcW w:type="dxa" w:w="404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Drummers, like our tabla masters, have timing fingerprints</w:t>
            </w:r>
          </w:p>
        </w:tc>
        <w:tc>
          <w:tcPr>
            <w:tcW w:type="dxa" w:w="140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[107, 108]</w:t>
            </w:r>
          </w:p>
        </w:tc>
      </w:tr>
      <w:tr>
        <w:trPr>
          <w:cantSplit/>
        </w:trPr>
        <w:tc>
          <w:tcPr>
            <w:tcW w:type="dxa" w:w="357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Listeners rate ±15–25 ms drum shifts differently; auditory JND about 10 ms</w:t>
            </w:r>
          </w:p>
        </w:tc>
        <w:tc>
          <w:tcPr>
            <w:tcW w:type="dxa" w:w="404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Micro-timing at this scale is audible, so it can be taught by ear</w:t>
            </w:r>
          </w:p>
        </w:tc>
        <w:tc>
          <w:tcPr>
            <w:tcW w:type="dxa" w:w="14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6"/>
                <w:szCs w:val="16"/>
              </w:rPr>
              <w:t xml:space="preserve">[109, 110]</w:t>
            </w:r>
          </w:p>
        </w:tc>
      </w:tr>
    </w:tbl>
    <w:p>
      <w:pPr>
        <w:spacing w:after="80"/>
      </w:pPr>
    </w:p>
    <w:p>
      <w:pPr>
        <w:pStyle w:val="Heading2"/>
        <w:keepNext/>
      </w:pPr>
      <w:r>
        <w:rPr>
          <w:rFonts w:ascii="Arial" w:cs="Arial" w:eastAsia="Arial" w:hAnsi="Arial"/>
        </w:rPr>
        <w:t xml:space="preserve">4.2 What the fingerprint contains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34"/>
        <w:gridCol w:w="3095"/>
        <w:gridCol w:w="1547"/>
        <w:gridCol w:w="2450"/>
      </w:tblGrid>
      <w:tr>
        <w:trPr>
          <w:cantSplit/>
          <w:tblHeader/>
        </w:trPr>
        <w:tc>
          <w:tcPr>
            <w:tcW w:type="dxa" w:w="193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Feature</w:t>
            </w:r>
          </w:p>
        </w:tc>
        <w:tc>
          <w:tcPr>
            <w:tcW w:type="dxa" w:w="309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Definition</w:t>
            </w:r>
          </w:p>
        </w:tc>
        <w:tc>
          <w:tcPr>
            <w:tcW w:type="dxa" w:w="154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Sensor</w:t>
            </w:r>
          </w:p>
        </w:tc>
        <w:tc>
          <w:tcPr>
            <w:tcW w:type="dxa" w:w="245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Channel used to teach it</w:t>
            </w:r>
          </w:p>
        </w:tc>
      </w:tr>
      <w:tr>
        <w:trPr>
          <w:cantSplit/>
        </w:trPr>
        <w:tc>
          <w:tcPr>
            <w:tcW w:type="dxa" w:w="193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Stroke sequence</w:t>
            </w:r>
          </w:p>
        </w:tc>
        <w:tc>
          <w:tcPr>
            <w:tcW w:type="dxa" w:w="30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Hand and stroke family at each matra</w:t>
            </w:r>
          </w:p>
        </w:tc>
        <w:tc>
          <w:tcPr>
            <w:tcW w:type="dxa" w:w="15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Piezo per drum (+ mic)</w:t>
            </w:r>
          </w:p>
        </w:tc>
        <w:tc>
          <w:tcPr>
            <w:tcW w:type="dxa" w:w="245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Touch (Tier 1)</w:t>
            </w:r>
          </w:p>
        </w:tc>
      </w:tr>
      <w:tr>
        <w:trPr>
          <w:cantSplit/>
        </w:trPr>
        <w:tc>
          <w:tcPr>
            <w:tcW w:type="dxa" w:w="193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Accent contour</w:t>
            </w:r>
          </w:p>
        </w:tc>
        <w:tc>
          <w:tcPr>
            <w:tcW w:type="dxa" w:w="309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Relative strength in dB at each matra (bhari/khali shape)</w:t>
            </w:r>
          </w:p>
        </w:tc>
        <w:tc>
          <w:tcPr>
            <w:tcW w:type="dxa" w:w="15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Piezo amplitude</w:t>
            </w:r>
          </w:p>
        </w:tc>
        <w:tc>
          <w:tcPr>
            <w:tcW w:type="dxa" w:w="245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Touch intensity (Tier 1–3) + sound</w:t>
            </w:r>
          </w:p>
        </w:tc>
      </w:tr>
      <w:tr>
        <w:trPr>
          <w:cantSplit/>
        </w:trPr>
        <w:tc>
          <w:tcPr>
            <w:tcW w:type="dxa" w:w="193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Micro-timing profile</w:t>
            </w:r>
          </w:p>
        </w:tc>
        <w:tc>
          <w:tcPr>
            <w:tcW w:type="dxa" w:w="30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Per-matra residual from the cycle's own tempo fit (ms)</w:t>
            </w:r>
          </w:p>
        </w:tc>
        <w:tc>
          <w:tcPr>
            <w:tcW w:type="dxa" w:w="15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Piezo onset, µs clock</w:t>
            </w:r>
          </w:p>
        </w:tc>
        <w:tc>
          <w:tcPr>
            <w:tcW w:type="dxa" w:w="245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Sound + style mirror (Tier 3)</w:t>
            </w:r>
          </w:p>
        </w:tc>
      </w:tr>
      <w:tr>
        <w:trPr>
          <w:cantSplit/>
        </w:trPr>
        <w:tc>
          <w:tcPr>
            <w:tcW w:type="dxa" w:w="193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Intra-cycle tempo curve</w:t>
            </w:r>
          </w:p>
        </w:tc>
        <w:tc>
          <w:tcPr>
            <w:tcW w:type="dxa" w:w="309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How tempo moves inside the cycle</w:t>
            </w:r>
          </w:p>
        </w:tc>
        <w:tc>
          <w:tcPr>
            <w:tcW w:type="dxa" w:w="15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Onsets</w:t>
            </w:r>
          </w:p>
        </w:tc>
        <w:tc>
          <w:tcPr>
            <w:tcW w:type="dxa" w:w="245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Sound + visual</w:t>
            </w:r>
          </w:p>
        </w:tc>
      </w:tr>
      <w:tr>
        <w:trPr>
          <w:cantSplit/>
        </w:trPr>
        <w:tc>
          <w:tcPr>
            <w:tcW w:type="dxa" w:w="193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Arm preparation</w:t>
            </w:r>
          </w:p>
        </w:tc>
        <w:tc>
          <w:tcPr>
            <w:tcW w:type="dxa" w:w="30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Lift angle, peak angular speed, lift-to-strike time</w:t>
            </w:r>
          </w:p>
        </w:tc>
        <w:tc>
          <w:tcPr>
            <w:tcW w:type="dxa" w:w="154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Wrist IMU</w:t>
            </w:r>
          </w:p>
        </w:tc>
        <w:tc>
          <w:tcPr>
            <w:tcW w:type="dxa" w:w="245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Vision (target bars)</w:t>
            </w:r>
          </w:p>
        </w:tc>
      </w:tr>
      <w:tr>
        <w:trPr>
          <w:cantSplit/>
        </w:trPr>
        <w:tc>
          <w:tcPr>
            <w:tcW w:type="dxa" w:w="193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Resonance</w:t>
            </w:r>
          </w:p>
        </w:tc>
        <w:tc>
          <w:tcPr>
            <w:tcW w:type="dxa" w:w="309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Decay time; ringing vs damped</w:t>
            </w:r>
          </w:p>
        </w:tc>
        <w:tc>
          <w:tcPr>
            <w:tcW w:type="dxa" w:w="154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Mic</w:t>
            </w:r>
          </w:p>
        </w:tc>
        <w:tc>
          <w:tcPr>
            <w:tcW w:type="dxa" w:w="245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Sound</w:t>
            </w:r>
          </w:p>
        </w:tc>
      </w:tr>
    </w:tbl>
    <w:p>
      <w:pPr>
        <w:spacing w:after="80"/>
      </w:pPr>
    </w:p>
    <w:p>
      <w:pPr>
        <w:spacing w:after="120" w:before="0" w:line="276"/>
        <w:jc w:val="left"/>
      </w:pPr>
      <w:r>
        <w:rPr>
          <w:rFonts w:ascii="Arial" w:cs="Arial" w:eastAsia="Arial" w:hAnsi="Arial"/>
          <w:color w:val="222222"/>
          <w:sz w:val="20"/>
          <w:szCs w:val="20"/>
        </w:rPr>
        <w:t xml:space="preserve">Each cycle becomes one vector (timing residuals and accents for all 16 matras of Teentaal) after removing that cycle's own tempo and loudness, so sensor placement and overall tempo do not leak into the comparison.</w:t>
      </w:r>
    </w:p>
    <w:p>
      <w:pPr>
        <w:pStyle w:val="Heading2"/>
        <w:keepNext/>
      </w:pPr>
      <w:r>
        <w:rPr>
          <w:rFonts w:ascii="Arial" w:cs="Arial" w:eastAsia="Arial" w:hAnsi="Arial"/>
        </w:rPr>
        <w:t xml:space="preserve">4.3 How we will prove it (Experiment E1)</w:t>
      </w:r>
    </w:p>
    <w:p>
      <w:pPr>
        <w:pStyle w:val="ListParagraph"/>
        <w:numPr>
          <w:ilvl w:val="0"/>
          <w:numId w:val="2"/>
        </w:numPr>
        <w:spacing w:after="60" w:line="268"/>
      </w:pPr>
      <w:r>
        <w:rPr>
          <w:rFonts w:ascii="Arial" w:cs="Arial" w:eastAsia="Arial" w:hAnsi="Arial"/>
          <w:b/>
          <w:bCs/>
          <w:color w:val="222222"/>
          <w:sz w:val="20"/>
          <w:szCs w:val="20"/>
        </w:rPr>
        <w:t xml:space="preserve">Players:</w:t>
      </w:r>
      <w:r>
        <w:rPr>
          <w:rFonts w:ascii="Arial" w:cs="Arial" w:eastAsia="Arial" w:hAnsi="Arial"/>
          <w:color w:val="222222"/>
          <w:sz w:val="20"/>
          <w:szCs w:val="20"/>
        </w:rPr>
        <w:t xml:space="preserve"> three tabla players, ideally from at least two gharanas (gurus or senior teachers), with written consent.</w:t>
      </w:r>
    </w:p>
    <w:p>
      <w:pPr>
        <w:pStyle w:val="ListParagraph"/>
        <w:numPr>
          <w:ilvl w:val="0"/>
          <w:numId w:val="2"/>
        </w:numPr>
        <w:spacing w:after="60" w:line="268"/>
      </w:pPr>
      <w:r>
        <w:rPr>
          <w:rFonts w:ascii="Arial" w:cs="Arial" w:eastAsia="Arial" w:hAnsi="Arial"/>
          <w:b/>
          <w:bCs/>
          <w:color w:val="222222"/>
          <w:sz w:val="20"/>
          <w:szCs w:val="20"/>
        </w:rPr>
        <w:t xml:space="preserve">Material:</w:t>
      </w:r>
      <w:r>
        <w:rPr>
          <w:rFonts w:ascii="Arial" w:cs="Arial" w:eastAsia="Arial" w:hAnsi="Arial"/>
          <w:color w:val="222222"/>
          <w:sz w:val="20"/>
          <w:szCs w:val="20"/>
        </w:rPr>
        <w:t xml:space="preserve"> Teentaal theka at 80 matras/min, at least 20 cycles each (about 4 minutes), plus 10 cycles at 60 and 100 matras/min to test whether the fingerprint survives tempo change.</w:t>
      </w:r>
    </w:p>
    <w:p>
      <w:pPr>
        <w:pStyle w:val="ListParagraph"/>
        <w:numPr>
          <w:ilvl w:val="0"/>
          <w:numId w:val="2"/>
        </w:numPr>
        <w:spacing w:after="60" w:line="268"/>
      </w:pPr>
      <w:r>
        <w:rPr>
          <w:rFonts w:ascii="Arial" w:cs="Arial" w:eastAsia="Arial" w:hAnsi="Arial"/>
          <w:b/>
          <w:bCs/>
          <w:color w:val="222222"/>
          <w:sz w:val="20"/>
          <w:szCs w:val="20"/>
        </w:rPr>
        <w:t xml:space="preserve">Analysis:</w:t>
      </w:r>
      <w:r>
        <w:rPr>
          <w:rFonts w:ascii="Arial" w:cs="Arial" w:eastAsia="Arial" w:hAnsi="Arial"/>
          <w:color w:val="222222"/>
          <w:sz w:val="20"/>
          <w:szCs w:val="20"/>
        </w:rPr>
        <w:t xml:space="preserve"> z-scored nearest-centroid classifier, leave-one-cycle-out; significance by permuting player labels 1,000 times; per-matra differences with bootstrap 95% CIs. Code: </w:t>
      </w:r>
      <w:r>
        <w:rPr>
          <w:rFonts w:ascii="Courier New" w:cs="Courier New" w:eastAsia="Courier New" w:hAnsi="Courier New"/>
          <w:color w:val="222222"/>
          <w:sz w:val="18"/>
          <w:szCs w:val="18"/>
        </w:rPr>
        <w:t xml:space="preserve">PARAMPARA/sim/fingerprint.py analyze strokes.csv</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b/>
          <w:bCs/>
          <w:color w:val="222222"/>
          <w:sz w:val="20"/>
          <w:szCs w:val="20"/>
        </w:rPr>
        <w:t xml:space="preserve">Success criterion [Target]:</w:t>
      </w:r>
      <w:r>
        <w:rPr>
          <w:rFonts w:ascii="Arial" w:cs="Arial" w:eastAsia="Arial" w:hAnsi="Arial"/>
          <w:color w:val="222222"/>
          <w:sz w:val="20"/>
          <w:szCs w:val="20"/>
        </w:rPr>
        <w:t xml:space="preserve"> accuracy ≥ 0.70 against 0.33 chance, permutation p &lt; 0.01. Written down before recording (pre-registration).</w:t>
      </w:r>
    </w:p>
    <w:p>
      <w:pPr>
        <w:pStyle w:val="ListParagraph"/>
        <w:numPr>
          <w:ilvl w:val="0"/>
          <w:numId w:val="2"/>
        </w:numPr>
        <w:spacing w:after="60" w:line="268"/>
      </w:pPr>
      <w:r>
        <w:rPr>
          <w:rFonts w:ascii="Arial" w:cs="Arial" w:eastAsia="Arial" w:hAnsi="Arial"/>
          <w:b/>
          <w:bCs/>
          <w:color w:val="222222"/>
          <w:sz w:val="20"/>
          <w:szCs w:val="20"/>
        </w:rPr>
        <w:t xml:space="preserve">If it fails:</w:t>
      </w:r>
      <w:r>
        <w:rPr>
          <w:rFonts w:ascii="Arial" w:cs="Arial" w:eastAsia="Arial" w:hAnsi="Arial"/>
          <w:color w:val="222222"/>
          <w:sz w:val="20"/>
          <w:szCs w:val="20"/>
        </w:rPr>
        <w:t xml:space="preserve"> the fingerprint is below our sensor resolution. PARAMPARA still teaches structure and laya (Tiers 1–2) and still archives consented performances; we drop the style claim.</w:t>
      </w:r>
    </w:p>
    <w:p>
      <w:pPr>
        <w:keepNext/>
        <w:spacing w:after="60" w:before="60"/>
        <w:jc w:val="center"/>
      </w:pPr>
      <w:r>
        <w:drawing>
          <wp:inline distT="0" distB="0" distL="0" distR="0">
            <wp:extent cx="5715000" cy="2476500"/>
            <wp:effectExtent t="0" r="0" b="0" l="0"/>
            <wp:docPr id="1" name="Figure 1. Planning E" descr="Figure 1. Planning E1 (simulation with stated assumptions: 3 players, cycle-to-cycle variation 15 ms and 1.5 dB). If players' mean profiles differ by about 6 ms and 0.6 dB per matra, 20 cycles each give about 80% accuracy; at 10 ms, about 96%." title="Figure 1. Planning E1 (simulation with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76500"/>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1. Planning E1 (simulation with stated assumptions: 3 players, cycle-to-cycle variation 15 ms and 1.5 dB). If players' mean profiles differ by about 6 ms and 0.6 dB per matra, 20 cycles each give about 80% accuracy; at 10 ms, about 96%.</w:t>
      </w:r>
    </w:p>
    <w:p>
      <w:pPr>
        <w:spacing w:after="120" w:before="0" w:line="276"/>
        <w:jc w:val="left"/>
      </w:pPr>
      <w:r>
        <w:rPr>
          <w:rFonts w:ascii="Arial" w:cs="Arial" w:eastAsia="Arial" w:hAnsi="Arial"/>
          <w:color w:val="222222"/>
          <w:sz w:val="20"/>
          <w:szCs w:val="20"/>
        </w:rPr>
        <w:t xml:space="preserve">The simulation only sets the recording length: </w:t>
      </w:r>
      <w:r>
        <w:rPr>
          <w:rFonts w:ascii="Arial" w:cs="Arial" w:eastAsia="Arial" w:hAnsi="Arial"/>
          <w:b/>
          <w:bCs/>
          <w:color w:val="222222"/>
          <w:sz w:val="20"/>
          <w:szCs w:val="20"/>
        </w:rPr>
        <w:t xml:space="preserve">record at least 20 cycles per player.</w:t>
      </w:r>
      <w:r>
        <w:rPr>
          <w:rFonts w:ascii="Arial" w:cs="Arial" w:eastAsia="Arial" w:hAnsi="Arial"/>
          <w:color w:val="222222"/>
          <w:sz w:val="20"/>
          <w:szCs w:val="20"/>
        </w:rPr>
        <w:t xml:space="preserve"> The real effect size is unknown until E1 is run. [Target]</w:t>
      </w:r>
    </w:p>
    <w:p>
      <w:pPr>
        <w:pStyle w:val="Heading1"/>
        <w:keepNext/>
        <w:spacing w:after="200" w:before="480"/>
      </w:pPr>
      <w:r>
        <w:rPr>
          <w:rFonts w:ascii="Arial" w:cs="Arial" w:eastAsia="Arial" w:hAnsi="Arial"/>
        </w:rPr>
        <w:t xml:space="preserve">5. The solution: PARAMPARA 2.0</w:t>
      </w:r>
    </w:p>
    <w:p>
      <w:pPr>
        <w:pStyle w:val="Heading2"/>
        <w:keepNext/>
      </w:pPr>
      <w:r>
        <w:rPr>
          <w:rFonts w:ascii="Arial" w:cs="Arial" w:eastAsia="Arial" w:hAnsi="Arial"/>
        </w:rPr>
        <w:t xml:space="preserve">5.1 Modes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51"/>
        <w:gridCol w:w="1410"/>
        <w:gridCol w:w="4795"/>
        <w:gridCol w:w="1270"/>
      </w:tblGrid>
      <w:tr>
        <w:trPr>
          <w:cantSplit/>
          <w:tblHeader/>
        </w:trPr>
        <w:tc>
          <w:tcPr>
            <w:tcW w:type="dxa" w:w="155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Mode</w:t>
            </w:r>
          </w:p>
        </w:tc>
        <w:tc>
          <w:tcPr>
            <w:tcW w:type="dxa" w:w="141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Who</w:t>
            </w:r>
          </w:p>
        </w:tc>
        <w:tc>
          <w:tcPr>
            <w:tcW w:type="dxa" w:w="479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What happens</w:t>
            </w:r>
          </w:p>
        </w:tc>
        <w:tc>
          <w:tcPr>
            <w:tcW w:type="dxa" w:w="127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Priority</w:t>
            </w:r>
          </w:p>
        </w:tc>
      </w:tr>
      <w:tr>
        <w:trPr>
          <w:cantSplit/>
        </w:trPr>
        <w:tc>
          <w:tcPr>
            <w:tcW w:type="dxa" w:w="155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Record</w:t>
            </w:r>
          </w:p>
        </w:tc>
        <w:tc>
          <w:tcPr>
            <w:tcW w:type="dxa" w:w="141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Guru</w:t>
            </w:r>
          </w:p>
        </w:tc>
        <w:tc>
          <w:tcPr>
            <w:tcW w:type="dxa" w:w="47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Plays; base unit + wrist cuffs capture the fingerprint. One button, no app needed. Signs with a phone fingerprint (passkey) or Guru Mohar card.</w:t>
            </w:r>
          </w:p>
        </w:tc>
        <w:tc>
          <w:tcPr>
            <w:tcW w:type="dxa" w:w="127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Must</w:t>
            </w:r>
          </w:p>
        </w:tc>
      </w:tr>
      <w:tr>
        <w:trPr>
          <w:cantSplit/>
        </w:trPr>
        <w:tc>
          <w:tcPr>
            <w:tcW w:type="dxa" w:w="155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Learn (Tiers 1–3)</w:t>
            </w:r>
          </w:p>
        </w:tc>
        <w:tc>
          <w:tcPr>
            <w:tcW w:type="dxa" w:w="141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Student</w:t>
            </w:r>
          </w:p>
        </w:tc>
        <w:tc>
          <w:tcPr>
            <w:tcW w:type="dxa" w:w="479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Touch, sound and vision cues by tier; scoring; Fade Engine 2.1.</w:t>
            </w:r>
          </w:p>
        </w:tc>
        <w:tc>
          <w:tcPr>
            <w:tcW w:type="dxa" w:w="127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Must</w:t>
            </w:r>
          </w:p>
        </w:tc>
      </w:tr>
      <w:tr>
        <w:trPr>
          <w:cantSplit/>
        </w:trPr>
        <w:tc>
          <w:tcPr>
            <w:tcW w:type="dxa" w:w="155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Assess</w:t>
            </w:r>
          </w:p>
        </w:tc>
        <w:tc>
          <w:tcPr>
            <w:tcW w:type="dxa" w:w="141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Student</w:t>
            </w:r>
          </w:p>
        </w:tc>
        <w:tc>
          <w:tcPr>
            <w:tcW w:type="dxa" w:w="47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Probe cycles with no cues; retention score.</w:t>
            </w:r>
          </w:p>
        </w:tc>
        <w:tc>
          <w:tcPr>
            <w:tcW w:type="dxa" w:w="127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Must</w:t>
            </w:r>
          </w:p>
        </w:tc>
      </w:tr>
      <w:tr>
        <w:trPr>
          <w:cantSplit/>
        </w:trPr>
        <w:tc>
          <w:tcPr>
            <w:tcW w:type="dxa" w:w="155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Fingerprint view</w:t>
            </w:r>
          </w:p>
        </w:tc>
        <w:tc>
          <w:tcPr>
            <w:tcW w:type="dxa" w:w="141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Anyone</w:t>
            </w:r>
          </w:p>
        </w:tc>
        <w:tc>
          <w:tcPr>
            <w:tcW w:type="dxa" w:w="479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Per-matra timing and accent plots; compare masters.</w:t>
            </w:r>
          </w:p>
        </w:tc>
        <w:tc>
          <w:tcPr>
            <w:tcW w:type="dxa" w:w="127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Must</w:t>
            </w:r>
          </w:p>
        </w:tc>
      </w:tr>
      <w:tr>
        <w:trPr>
          <w:cantSplit/>
        </w:trPr>
        <w:tc>
          <w:tcPr>
            <w:tcW w:type="dxa" w:w="155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Showcase kiosk</w:t>
            </w:r>
          </w:p>
        </w:tc>
        <w:tc>
          <w:tcPr>
            <w:tcW w:type="dxa" w:w="141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Public</w:t>
            </w:r>
          </w:p>
        </w:tc>
        <w:tc>
          <w:tcPr>
            <w:tcW w:type="dxa" w:w="47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'Feel the gharanas': wear the cuff, feel and hear three masters' theka, guess which is which.</w:t>
            </w:r>
          </w:p>
        </w:tc>
        <w:tc>
          <w:tcPr>
            <w:tcW w:type="dxa" w:w="127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Should</w:t>
            </w:r>
          </w:p>
        </w:tc>
      </w:tr>
      <w:tr>
        <w:trPr>
          <w:cantSplit/>
        </w:trPr>
        <w:tc>
          <w:tcPr>
            <w:tcW w:type="dxa" w:w="155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Branch</w:t>
            </w:r>
          </w:p>
        </w:tc>
        <w:tc>
          <w:tcPr>
            <w:tcW w:type="dxa" w:w="141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Student, after approval</w:t>
            </w:r>
          </w:p>
        </w:tc>
        <w:tc>
          <w:tcPr>
            <w:tcW w:type="dxa" w:w="479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Records an own variation as a signed child envelope.</w:t>
            </w:r>
          </w:p>
        </w:tc>
        <w:tc>
          <w:tcPr>
            <w:tcW w:type="dxa" w:w="127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Should</w:t>
            </w:r>
          </w:p>
        </w:tc>
      </w:tr>
      <w:tr>
        <w:trPr>
          <w:cantSplit/>
        </w:trPr>
        <w:tc>
          <w:tcPr>
            <w:tcW w:type="dxa" w:w="155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Verify</w:t>
            </w:r>
          </w:p>
        </w:tc>
        <w:tc>
          <w:tcPr>
            <w:tcW w:type="dxa" w:w="141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Anyone</w:t>
            </w:r>
          </w:p>
        </w:tc>
        <w:tc>
          <w:tcPr>
            <w:tcW w:type="dxa" w:w="47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Shows signer, consent terms and lineage; a tampered copy fails.</w:t>
            </w:r>
          </w:p>
        </w:tc>
        <w:tc>
          <w:tcPr>
            <w:tcW w:type="dxa" w:w="127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Should</w:t>
            </w:r>
          </w:p>
        </w:tc>
      </w:tr>
      <w:tr>
        <w:trPr>
          <w:cantSplit/>
        </w:trPr>
        <w:tc>
          <w:tcPr>
            <w:tcW w:type="dxa" w:w="155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Live Mirror</w:t>
            </w:r>
          </w:p>
        </w:tc>
        <w:tc>
          <w:tcPr>
            <w:tcW w:type="dxa" w:w="141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Guru + student</w:t>
            </w:r>
          </w:p>
        </w:tc>
        <w:tc>
          <w:tcPr>
            <w:tcW w:type="dxa" w:w="479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Live strokes felt within about 50 ms (prior art exists; demo only).</w:t>
            </w:r>
          </w:p>
        </w:tc>
        <w:tc>
          <w:tcPr>
            <w:tcW w:type="dxa" w:w="127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Could</w:t>
            </w:r>
          </w:p>
        </w:tc>
      </w:tr>
    </w:tbl>
    <w:p>
      <w:pPr>
        <w:spacing w:after="80"/>
      </w:pPr>
    </w:p>
    <w:p>
      <w:pPr>
        <w:pStyle w:val="Heading2"/>
        <w:keepNext/>
      </w:pPr>
      <w:r>
        <w:rPr>
          <w:rFonts w:ascii="Arial" w:cs="Arial" w:eastAsia="Arial" w:hAnsi="Arial"/>
        </w:rPr>
        <w:t xml:space="preserve">5.2 Architecture</w:t>
      </w:r>
    </w:p>
    <w:p>
      <w:pPr>
        <w:keepNext/>
        <w:spacing w:after="60" w:before="60"/>
        <w:jc w:val="center"/>
      </w:pPr>
      <w:r>
        <w:drawing>
          <wp:inline distT="0" distB="0" distL="0" distR="0">
            <wp:extent cx="5715000" cy="3048000"/>
            <wp:effectExtent t="0" r="0" b="0" l="0"/>
            <wp:docPr id="1" name="Figure 2. Architectu" descr="Figure 2. Architecture. Guru side records the fingerprint; student side learns, is assessed and branches; the app signs, verifies and visualises." title="Figure 2. Architecture. Guru side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48000"/>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2. Architecture. Guru side records the fingerprint; student side learns, is assessed and branches; the app signs, verifies and visualises.</w:t>
      </w:r>
    </w:p>
    <w:p>
      <w:pPr>
        <w:spacing w:after="120" w:before="0" w:line="276"/>
        <w:jc w:val="left"/>
      </w:pPr>
      <w:r>
        <w:rPr>
          <w:rFonts w:ascii="Arial" w:cs="Arial" w:eastAsia="Arial" w:hAnsi="Arial"/>
          <w:color w:val="222222"/>
          <w:sz w:val="20"/>
          <w:szCs w:val="20"/>
        </w:rPr>
        <w:t xml:space="preserve">Cues are scheduled locally on the cuffs from a shared, drift-compensated timeline, so radio jitter never touches cue timing. [Design choice]</w:t>
      </w:r>
    </w:p>
    <w:p>
      <w:pPr>
        <w:pStyle w:val="Heading2"/>
        <w:keepNext/>
      </w:pPr>
      <w:r>
        <w:rPr>
          <w:rFonts w:ascii="Arial" w:cs="Arial" w:eastAsia="Arial" w:hAnsi="Arial"/>
        </w:rPr>
        <w:t xml:space="preserve">5.3 The three-tier multisensory curriculum</w:t>
      </w:r>
    </w:p>
    <w:p>
      <w:pPr>
        <w:spacing w:after="120" w:before="0" w:line="276"/>
        <w:jc w:val="left"/>
      </w:pPr>
      <w:r>
        <w:rPr>
          <w:rFonts w:ascii="Arial" w:cs="Arial" w:eastAsia="Arial" w:hAnsi="Arial"/>
          <w:color w:val="222222"/>
          <w:sz w:val="20"/>
          <w:szCs w:val="20"/>
        </w:rPr>
        <w:t xml:space="preserve">Version 1 asked touch to do everything. Version 2 gives each sense the job the evidence says it does best: touch for structure and accent </w:t>
      </w:r>
      <w:r>
        <w:rPr>
          <w:rFonts w:ascii="Arial" w:cs="Arial" w:eastAsia="Arial" w:hAnsi="Arial"/>
          <w:b w:val="false"/>
          <w:bCs w:val="false"/>
          <w:color w:val="1F4E79"/>
          <w:sz w:val="20"/>
          <w:szCs w:val="20"/>
        </w:rPr>
        <w:t xml:space="preserve">[4, 9]</w:t>
      </w:r>
      <w:r>
        <w:rPr>
          <w:rFonts w:ascii="Arial" w:cs="Arial" w:eastAsia="Arial" w:hAnsi="Arial"/>
          <w:color w:val="222222"/>
          <w:sz w:val="20"/>
          <w:szCs w:val="20"/>
        </w:rPr>
        <w:t xml:space="preserve">, hearing for fine timing </w:t>
      </w:r>
      <w:r>
        <w:rPr>
          <w:rFonts w:ascii="Arial" w:cs="Arial" w:eastAsia="Arial" w:hAnsi="Arial"/>
          <w:b w:val="false"/>
          <w:bCs w:val="false"/>
          <w:color w:val="1F4E79"/>
          <w:sz w:val="20"/>
          <w:szCs w:val="20"/>
        </w:rPr>
        <w:t xml:space="preserve">[110, 114]</w:t>
      </w:r>
      <w:r>
        <w:rPr>
          <w:rFonts w:ascii="Arial" w:cs="Arial" w:eastAsia="Arial" w:hAnsi="Arial"/>
          <w:color w:val="222222"/>
          <w:sz w:val="20"/>
          <w:szCs w:val="20"/>
        </w:rPr>
        <w:t xml:space="preserve">, vision for movement and post-cycle feedback </w:t>
      </w:r>
      <w:r>
        <w:rPr>
          <w:rFonts w:ascii="Arial" w:cs="Arial" w:eastAsia="Arial" w:hAnsi="Arial"/>
          <w:b w:val="false"/>
          <w:bCs w:val="false"/>
          <w:color w:val="1F4E79"/>
          <w:sz w:val="20"/>
          <w:szCs w:val="20"/>
        </w:rPr>
        <w:t xml:space="preserve">[16]</w:t>
      </w:r>
      <w:r>
        <w:rPr>
          <w:rFonts w:ascii="Arial" w:cs="Arial" w:eastAsia="Arial" w:hAnsi="Arial"/>
          <w:color w:val="222222"/>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37"/>
        <w:gridCol w:w="1556"/>
        <w:gridCol w:w="1556"/>
        <w:gridCol w:w="1349"/>
        <w:gridCol w:w="1452"/>
        <w:gridCol w:w="830"/>
        <w:gridCol w:w="1246"/>
      </w:tblGrid>
      <w:tr>
        <w:trPr>
          <w:cantSplit/>
          <w:tblHeader/>
        </w:trPr>
        <w:tc>
          <w:tcPr>
            <w:tcW w:type="dxa" w:w="103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Tier</w:t>
            </w:r>
          </w:p>
        </w:tc>
        <w:tc>
          <w:tcPr>
            <w:tcW w:type="dxa" w:w="155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Goal</w:t>
            </w:r>
          </w:p>
        </w:tc>
        <w:tc>
          <w:tcPr>
            <w:tcW w:type="dxa" w:w="155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Touch carries</w:t>
            </w:r>
          </w:p>
        </w:tc>
        <w:tc>
          <w:tcPr>
            <w:tcW w:type="dxa" w:w="134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Hearing carries</w:t>
            </w:r>
          </w:p>
        </w:tc>
        <w:tc>
          <w:tcPr>
            <w:tcW w:type="dxa" w:w="145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Vision carries</w:t>
            </w:r>
          </w:p>
        </w:tc>
        <w:tc>
          <w:tcPr>
            <w:tcW w:type="dxa" w:w="83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σ_t</w:t>
            </w:r>
          </w:p>
        </w:tc>
        <w:tc>
          <w:tcPr>
            <w:tcW w:type="dxa" w:w="124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Exit gate</w:t>
            </w:r>
          </w:p>
        </w:tc>
      </w:tr>
      <w:tr>
        <w:trPr>
          <w:cantSplit/>
        </w:trPr>
        <w:tc>
          <w:tcPr>
            <w:tcW w:type="dxa" w:w="103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1 Structure</w:t>
            </w:r>
          </w:p>
        </w:tc>
        <w:tc>
          <w:tcPr>
            <w:tcW w:type="dxa" w:w="1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Theka sequence, hands, stroke families, accents</w:t>
            </w:r>
          </w:p>
        </w:tc>
        <w:tc>
          <w:tcPr>
            <w:tcW w:type="dxa" w:w="1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Which hand, which family, accent level, approximate time</w:t>
            </w:r>
          </w:p>
        </w:tc>
        <w:tc>
          <w:tcPr>
            <w:tcW w:type="dxa" w:w="134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Own tabla + guru audio</w:t>
            </w:r>
          </w:p>
        </w:tc>
        <w:tc>
          <w:tcPr>
            <w:tcW w:type="dxa" w:w="145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Cycle dashboard</w:t>
            </w:r>
          </w:p>
        </w:tc>
        <w:tc>
          <w:tcPr>
            <w:tcW w:type="dxa" w:w="83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35 ms</w:t>
            </w:r>
          </w:p>
        </w:tc>
        <w:tc>
          <w:tcPr>
            <w:tcW w:type="dxa" w:w="124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Unaided probe ≥ 0.80</w:t>
            </w:r>
          </w:p>
        </w:tc>
      </w:tr>
      <w:tr>
        <w:trPr>
          <w:cantSplit/>
        </w:trPr>
        <w:tc>
          <w:tcPr>
            <w:tcW w:type="dxa" w:w="103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2 Laya</w:t>
            </w:r>
          </w:p>
        </w:tc>
        <w:tc>
          <w:tcPr>
            <w:tcW w:type="dxa" w:w="15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Steady tempo; bias vs spread</w:t>
            </w:r>
          </w:p>
        </w:tc>
        <w:tc>
          <w:tcPr>
            <w:tcW w:type="dxa" w:w="15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Fading cues (Fade Engine 2.1)</w:t>
            </w:r>
          </w:p>
        </w:tc>
        <w:tc>
          <w:tcPr>
            <w:tcW w:type="dxa" w:w="134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 click; own sound</w:t>
            </w:r>
          </w:p>
        </w:tc>
        <w:tc>
          <w:tcPr>
            <w:tcW w:type="dxa" w:w="145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Bias and spread chart</w:t>
            </w:r>
          </w:p>
        </w:tc>
        <w:tc>
          <w:tcPr>
            <w:tcW w:type="dxa" w:w="83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20 ms</w:t>
            </w:r>
          </w:p>
        </w:tc>
        <w:tc>
          <w:tcPr>
            <w:tcW w:type="dxa" w:w="124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Probe ≥ 0.85 on 2 days</w:t>
            </w:r>
          </w:p>
        </w:tc>
      </w:tr>
      <w:tr>
        <w:trPr>
          <w:cantSplit/>
        </w:trPr>
        <w:tc>
          <w:tcPr>
            <w:tcW w:type="dxa" w:w="103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3 Style</w:t>
            </w:r>
          </w:p>
        </w:tc>
        <w:tc>
          <w:tcPr>
            <w:tcW w:type="dxa" w:w="1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This master's micro-timing and accent contour</w:t>
            </w:r>
          </w:p>
        </w:tc>
        <w:tc>
          <w:tcPr>
            <w:tcW w:type="dxa" w:w="1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Accent contour only</w:t>
            </w:r>
          </w:p>
        </w:tc>
        <w:tc>
          <w:tcPr>
            <w:tcW w:type="dxa" w:w="134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Guru audio overlay; sonified timing deviations</w:t>
            </w:r>
          </w:p>
        </w:tc>
        <w:tc>
          <w:tcPr>
            <w:tcW w:type="dxa" w:w="145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Style mirror: your profile vs the guru's</w:t>
            </w:r>
          </w:p>
        </w:tc>
        <w:tc>
          <w:tcPr>
            <w:tcW w:type="dxa" w:w="83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12 ms</w:t>
            </w:r>
          </w:p>
        </w:tc>
        <w:tc>
          <w:tcPr>
            <w:tcW w:type="dxa" w:w="124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Style similarity r ≥ 0.6 + guru approval</w:t>
            </w:r>
          </w:p>
        </w:tc>
      </w:tr>
    </w:tbl>
    <w:p>
      <w:pPr>
        <w:spacing w:after="80"/>
      </w:pPr>
    </w:p>
    <w:p>
      <w:pPr>
        <w:spacing w:after="120" w:before="0" w:line="276"/>
        <w:jc w:val="left"/>
      </w:pPr>
      <w:r>
        <w:rPr>
          <w:rFonts w:ascii="Arial" w:cs="Arial" w:eastAsia="Arial" w:hAnsi="Arial"/>
          <w:b/>
          <w:bCs/>
          <w:color w:val="222222"/>
          <w:sz w:val="20"/>
          <w:szCs w:val="20"/>
        </w:rPr>
        <w:t xml:space="preserve">Tier 3 style similarity</w:t>
      </w:r>
      <w:r>
        <w:rPr>
          <w:rFonts w:ascii="Arial" w:cs="Arial" w:eastAsia="Arial" w:hAnsi="Arial"/>
          <w:color w:val="222222"/>
          <w:sz w:val="20"/>
          <w:szCs w:val="20"/>
        </w:rPr>
        <w:t xml:space="preserve"> = correlation between the student's per-matra timing residuals and accents and the master's, averaged over probe cycles. It rewards playing </w:t>
      </w:r>
      <w:r>
        <w:rPr>
          <w:rFonts w:ascii="Arial" w:cs="Arial" w:eastAsia="Arial" w:hAnsi="Arial"/>
          <w:i/>
          <w:iCs/>
          <w:color w:val="222222"/>
          <w:sz w:val="20"/>
          <w:szCs w:val="20"/>
        </w:rPr>
        <w:t xml:space="preserve">like this master</w:t>
      </w:r>
      <w:r>
        <w:rPr>
          <w:rFonts w:ascii="Arial" w:cs="Arial" w:eastAsia="Arial" w:hAnsi="Arial"/>
          <w:color w:val="222222"/>
          <w:sz w:val="20"/>
          <w:szCs w:val="20"/>
        </w:rPr>
        <w:t xml:space="preserve">, which an absolute-error score cannot do. [Design choice; To validate]</w:t>
      </w:r>
    </w:p>
    <w:p>
      <w:pPr>
        <w:pStyle w:val="Heading2"/>
        <w:keepNext/>
      </w:pPr>
      <w:r>
        <w:rPr>
          <w:rFonts w:ascii="Arial" w:cs="Arial" w:eastAsia="Arial" w:hAnsi="Arial"/>
        </w:rPr>
        <w:t xml:space="preserve">5.4 Movement-aware haptics</w:t>
      </w:r>
    </w:p>
    <w:p>
      <w:pPr>
        <w:spacing w:after="120" w:before="0" w:line="276"/>
        <w:jc w:val="left"/>
      </w:pPr>
      <w:r>
        <w:rPr>
          <w:rFonts w:ascii="Arial" w:cs="Arial" w:eastAsia="Arial" w:hAnsi="Arial"/>
          <w:color w:val="222222"/>
          <w:sz w:val="20"/>
          <w:szCs w:val="20"/>
        </w:rPr>
        <w:t xml:space="preserve">Touch sensitivity on a moving arm drops sharply just before and during movement; in the classic study the drop peaked 25–45 ms before movement onset and was largest for weak stimuli </w:t>
      </w:r>
      <w:r>
        <w:rPr>
          <w:rFonts w:ascii="Arial" w:cs="Arial" w:eastAsia="Arial" w:hAnsi="Arial"/>
          <w:b w:val="false"/>
          <w:bCs w:val="false"/>
          <w:color w:val="1F4E79"/>
          <w:sz w:val="20"/>
          <w:szCs w:val="20"/>
        </w:rPr>
        <w:t xml:space="preserve">[112, 113]</w:t>
      </w:r>
      <w:r>
        <w:rPr>
          <w:rFonts w:ascii="Arial" w:cs="Arial" w:eastAsia="Arial" w:hAnsi="Arial"/>
          <w:color w:val="222222"/>
          <w:sz w:val="20"/>
          <w:szCs w:val="20"/>
        </w:rPr>
        <w:t xml:space="preserve">. A cue that arrives as the student starts to lift may simply not be felt. PARAMPARA therefore ends each cue </w:t>
      </w:r>
      <w:r>
        <w:rPr>
          <w:rFonts w:ascii="Arial" w:cs="Arial" w:eastAsia="Arial" w:hAnsi="Arial"/>
          <w:b/>
          <w:bCs/>
          <w:color w:val="222222"/>
          <w:sz w:val="20"/>
          <w:szCs w:val="20"/>
        </w:rPr>
        <w:t xml:space="preserve">before</w:t>
      </w:r>
      <w:r>
        <w:rPr>
          <w:rFonts w:ascii="Arial" w:cs="Arial" w:eastAsia="Arial" w:hAnsi="Arial"/>
          <w:color w:val="222222"/>
          <w:sz w:val="20"/>
          <w:szCs w:val="20"/>
        </w:rPr>
        <w:t xml:space="preserve"> the preparatory lift, and keeps it strong:</w:t>
      </w:r>
    </w:p>
    <w:p>
      <w:pPr>
        <w:keepNext/>
        <w:spacing w:after="60" w:before="60"/>
        <w:jc w:val="center"/>
      </w:pPr>
      <w:r>
        <w:drawing>
          <wp:inline distT="0" distB="0" distL="0" distR="0">
            <wp:extent cx="5715000" cy="2095500"/>
            <wp:effectExtent t="0" r="0" b="0" l="0"/>
            <wp:docPr id="1" name="Figure 3. Movement-a" descr="Figure 3. Movement-aware cue timing for one stroke (illustrative values). The tacton ends before the student's lift and outside the suppression zone." title="Figure 3. Movement-aware cue timing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95500"/>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3. Movement-aware cue timing for one stroke (illustrative values). The tacton ends before the student's lift and outside the suppression zone.</w:t>
      </w:r>
    </w:p>
    <w:p>
      <w:pPr>
        <w:pStyle w:val="ListParagraph"/>
        <w:numPr>
          <w:ilvl w:val="0"/>
          <w:numId w:val="2"/>
        </w:numPr>
        <w:spacing w:after="60" w:line="268"/>
      </w:pPr>
      <w:r>
        <w:rPr>
          <w:rFonts w:ascii="Arial" w:cs="Arial" w:eastAsia="Arial" w:hAnsi="Arial"/>
          <w:b/>
          <w:bCs/>
          <w:color w:val="222222"/>
          <w:sz w:val="20"/>
          <w:szCs w:val="20"/>
        </w:rPr>
        <w:t xml:space="preserve">Command time:</w:t>
      </w:r>
      <w:r>
        <w:rPr>
          <w:rFonts w:ascii="Arial" w:cs="Arial" w:eastAsia="Arial" w:hAnsi="Arial"/>
          <w:color w:val="222222"/>
          <w:sz w:val="20"/>
          <w:szCs w:val="20"/>
        </w:rPr>
        <w:t xml:space="preserve"> c_i = E_i − t_prep − 45 ms − margin − d_tacton − ℓ_a, where t_prep is the student's own lift-to-strike time measured by the wrist IMU, and ℓ_a the actuator latency.</w:t>
      </w:r>
    </w:p>
    <w:p>
      <w:pPr>
        <w:pStyle w:val="ListParagraph"/>
        <w:numPr>
          <w:ilvl w:val="0"/>
          <w:numId w:val="2"/>
        </w:numPr>
        <w:spacing w:after="60" w:line="268"/>
      </w:pPr>
      <w:r>
        <w:rPr>
          <w:rFonts w:ascii="Arial" w:cs="Arial" w:eastAsia="Arial" w:hAnsi="Arial"/>
          <w:b/>
          <w:bCs/>
          <w:color w:val="222222"/>
          <w:sz w:val="20"/>
          <w:szCs w:val="20"/>
        </w:rPr>
        <w:t xml:space="preserve">Intensity:</w:t>
      </w:r>
      <w:r>
        <w:rPr>
          <w:rFonts w:ascii="Arial" w:cs="Arial" w:eastAsia="Arial" w:hAnsi="Arial"/>
          <w:color w:val="222222"/>
          <w:sz w:val="20"/>
          <w:szCs w:val="20"/>
        </w:rPr>
        <w:t xml:space="preserve"> at least 3× the resting detection threshold, because suppression is weakest for strong stimuli </w:t>
      </w:r>
      <w:r>
        <w:rPr>
          <w:rFonts w:ascii="Arial" w:cs="Arial" w:eastAsia="Arial" w:hAnsi="Arial"/>
          <w:b w:val="false"/>
          <w:bCs w:val="false"/>
          <w:color w:val="1F4E79"/>
          <w:sz w:val="20"/>
          <w:szCs w:val="20"/>
        </w:rPr>
        <w:t xml:space="preserve">[113]</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b/>
          <w:bCs/>
          <w:color w:val="222222"/>
          <w:sz w:val="20"/>
          <w:szCs w:val="20"/>
        </w:rPr>
        <w:t xml:space="preserve">Site:</w:t>
      </w:r>
      <w:r>
        <w:rPr>
          <w:rFonts w:ascii="Arial" w:cs="Arial" w:eastAsia="Arial" w:hAnsi="Arial"/>
          <w:color w:val="222222"/>
          <w:sz w:val="20"/>
          <w:szCs w:val="20"/>
        </w:rPr>
        <w:t xml:space="preserve"> wrist (dorsal/palmar) by default, mid-forearm as the alternative; E2 picks the winner. Wrist cues already guided limbs during drum-kit playing </w:t>
      </w:r>
      <w:r>
        <w:rPr>
          <w:rFonts w:ascii="Arial" w:cs="Arial" w:eastAsia="Arial" w:hAnsi="Arial"/>
          <w:b w:val="false"/>
          <w:bCs w:val="false"/>
          <w:color w:val="1F4E79"/>
          <w:sz w:val="20"/>
          <w:szCs w:val="20"/>
        </w:rPr>
        <w:t xml:space="preserve">[4]</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b/>
          <w:bCs/>
          <w:color w:val="222222"/>
          <w:sz w:val="20"/>
          <w:szCs w:val="20"/>
        </w:rPr>
        <w:t xml:space="preserve">Learnability:</w:t>
      </w:r>
      <w:r>
        <w:rPr>
          <w:rFonts w:ascii="Arial" w:cs="Arial" w:eastAsia="Arial" w:hAnsi="Arial"/>
          <w:color w:val="222222"/>
          <w:sz w:val="20"/>
          <w:szCs w:val="20"/>
        </w:rPr>
        <w:t xml:space="preserve"> an anticipatory cue works like a conductor's upbeat. E2 compares it with an on-beat cue; we keep whichever is detected and used better. [To validate]</w:t>
      </w:r>
    </w:p>
    <w:p>
      <w:pPr>
        <w:pStyle w:val="Heading2"/>
        <w:keepNext/>
      </w:pPr>
      <w:r>
        <w:rPr>
          <w:rFonts w:ascii="Arial" w:cs="Arial" w:eastAsia="Arial" w:hAnsi="Arial"/>
        </w:rPr>
        <w:t xml:space="preserve">5.5 The haptic language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3"/>
        <w:gridCol w:w="1712"/>
        <w:gridCol w:w="1089"/>
        <w:gridCol w:w="1245"/>
        <w:gridCol w:w="1401"/>
        <w:gridCol w:w="1556"/>
      </w:tblGrid>
      <w:tr>
        <w:trPr>
          <w:cantSplit/>
          <w:tblHeader/>
        </w:trPr>
        <w:tc>
          <w:tcPr>
            <w:tcW w:type="dxa" w:w="202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Family</w:t>
            </w:r>
          </w:p>
        </w:tc>
        <w:tc>
          <w:tcPr>
            <w:tcW w:type="dxa" w:w="171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Typical bols</w:t>
            </w:r>
          </w:p>
        </w:tc>
        <w:tc>
          <w:tcPr>
            <w:tcW w:type="dxa" w:w="108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Cuff</w:t>
            </w:r>
          </w:p>
        </w:tc>
        <w:tc>
          <w:tcPr>
            <w:tcW w:type="dxa" w:w="124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Site</w:t>
            </w:r>
          </w:p>
        </w:tc>
        <w:tc>
          <w:tcPr>
            <w:tcW w:type="dxa" w:w="140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Pulse</w:t>
            </w:r>
          </w:p>
        </w:tc>
        <w:tc>
          <w:tcPr>
            <w:tcW w:type="dxa" w:w="155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Intended feel</w:t>
            </w:r>
          </w:p>
        </w:tc>
      </w:tr>
      <w:tr>
        <w:trPr>
          <w:cantSplit/>
        </w:trPr>
        <w:tc>
          <w:tcPr>
            <w:tcW w:type="dxa" w:w="20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F1 dayan resonant</w:t>
            </w:r>
          </w:p>
        </w:tc>
        <w:tc>
          <w:tcPr>
            <w:tcW w:type="dxa" w:w="17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Na/Ta, Tin, Tun</w:t>
            </w:r>
          </w:p>
        </w:tc>
        <w:tc>
          <w:tcPr>
            <w:tcW w:type="dxa" w:w="108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Right</w:t>
            </w:r>
          </w:p>
        </w:tc>
        <w:tc>
          <w:tcPr>
            <w:tcW w:type="dxa" w:w="12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Dorsal</w:t>
            </w:r>
          </w:p>
        </w:tc>
        <w:tc>
          <w:tcPr>
            <w:tcW w:type="dxa" w:w="14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 × 60 ms</w:t>
            </w:r>
          </w:p>
        </w:tc>
        <w:tc>
          <w:tcPr>
            <w:tcW w:type="dxa" w:w="1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Round tap</w:t>
            </w:r>
          </w:p>
        </w:tc>
      </w:tr>
      <w:tr>
        <w:trPr>
          <w:cantSplit/>
        </w:trPr>
        <w:tc>
          <w:tcPr>
            <w:tcW w:type="dxa" w:w="20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F2 dayan damped</w:t>
            </w:r>
          </w:p>
        </w:tc>
        <w:tc>
          <w:tcPr>
            <w:tcW w:type="dxa" w:w="17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Te, Tit</w:t>
            </w:r>
          </w:p>
        </w:tc>
        <w:tc>
          <w:tcPr>
            <w:tcW w:type="dxa" w:w="108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Right</w:t>
            </w:r>
          </w:p>
        </w:tc>
        <w:tc>
          <w:tcPr>
            <w:tcW w:type="dxa" w:w="12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Palmar</w:t>
            </w:r>
          </w:p>
        </w:tc>
        <w:tc>
          <w:tcPr>
            <w:tcW w:type="dxa" w:w="140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 × 30 ms</w:t>
            </w:r>
          </w:p>
        </w:tc>
        <w:tc>
          <w:tcPr>
            <w:tcW w:type="dxa" w:w="15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Short tick</w:t>
            </w:r>
          </w:p>
        </w:tc>
      </w:tr>
      <w:tr>
        <w:trPr>
          <w:cantSplit/>
        </w:trPr>
        <w:tc>
          <w:tcPr>
            <w:tcW w:type="dxa" w:w="20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F3 bayan open</w:t>
            </w:r>
          </w:p>
        </w:tc>
        <w:tc>
          <w:tcPr>
            <w:tcW w:type="dxa" w:w="17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Ge/Ghe</w:t>
            </w:r>
          </w:p>
        </w:tc>
        <w:tc>
          <w:tcPr>
            <w:tcW w:type="dxa" w:w="108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Left</w:t>
            </w:r>
          </w:p>
        </w:tc>
        <w:tc>
          <w:tcPr>
            <w:tcW w:type="dxa" w:w="12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Dorsal</w:t>
            </w:r>
          </w:p>
        </w:tc>
        <w:tc>
          <w:tcPr>
            <w:tcW w:type="dxa" w:w="14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 × 80 ms</w:t>
            </w:r>
          </w:p>
        </w:tc>
        <w:tc>
          <w:tcPr>
            <w:tcW w:type="dxa" w:w="1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Long, low</w:t>
            </w:r>
          </w:p>
        </w:tc>
      </w:tr>
      <w:tr>
        <w:trPr>
          <w:cantSplit/>
        </w:trPr>
        <w:tc>
          <w:tcPr>
            <w:tcW w:type="dxa" w:w="20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F4 bayan damped</w:t>
            </w:r>
          </w:p>
        </w:tc>
        <w:tc>
          <w:tcPr>
            <w:tcW w:type="dxa" w:w="171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Ka/Ke</w:t>
            </w:r>
          </w:p>
        </w:tc>
        <w:tc>
          <w:tcPr>
            <w:tcW w:type="dxa" w:w="108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Left</w:t>
            </w:r>
          </w:p>
        </w:tc>
        <w:tc>
          <w:tcPr>
            <w:tcW w:type="dxa" w:w="12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Palmar</w:t>
            </w:r>
          </w:p>
        </w:tc>
        <w:tc>
          <w:tcPr>
            <w:tcW w:type="dxa" w:w="140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 × 30 ms</w:t>
            </w:r>
          </w:p>
        </w:tc>
        <w:tc>
          <w:tcPr>
            <w:tcW w:type="dxa" w:w="15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Short tick</w:t>
            </w:r>
          </w:p>
        </w:tc>
      </w:tr>
      <w:tr>
        <w:trPr>
          <w:cantSplit/>
        </w:trPr>
        <w:tc>
          <w:tcPr>
            <w:tcW w:type="dxa" w:w="20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F5 both</w:t>
            </w:r>
          </w:p>
        </w:tc>
        <w:tc>
          <w:tcPr>
            <w:tcW w:type="dxa" w:w="171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Dha, Dhin</w:t>
            </w:r>
          </w:p>
        </w:tc>
        <w:tc>
          <w:tcPr>
            <w:tcW w:type="dxa" w:w="108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Both</w:t>
            </w:r>
          </w:p>
        </w:tc>
        <w:tc>
          <w:tcPr>
            <w:tcW w:type="dxa" w:w="12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Dorsal</w:t>
            </w:r>
          </w:p>
        </w:tc>
        <w:tc>
          <w:tcPr>
            <w:tcW w:type="dxa" w:w="14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 × 80 ms</w:t>
            </w:r>
          </w:p>
        </w:tc>
        <w:tc>
          <w:tcPr>
            <w:tcW w:type="dxa" w:w="1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'Together'</w:t>
            </w:r>
          </w:p>
        </w:tc>
      </w:tr>
    </w:tbl>
    <w:p>
      <w:pPr>
        <w:spacing w:after="80"/>
      </w:pPr>
    </w:p>
    <w:p>
      <w:pPr>
        <w:pStyle w:val="ListParagraph"/>
        <w:numPr>
          <w:ilvl w:val="0"/>
          <w:numId w:val="2"/>
        </w:numPr>
        <w:spacing w:after="60" w:line="268"/>
      </w:pPr>
      <w:r>
        <w:rPr>
          <w:rFonts w:ascii="Arial" w:cs="Arial" w:eastAsia="Arial" w:hAnsi="Arial"/>
          <w:b/>
          <w:bCs/>
          <w:color w:val="222222"/>
          <w:sz w:val="20"/>
          <w:szCs w:val="20"/>
        </w:rPr>
        <w:t xml:space="preserve">Four sites</w:t>
      </w:r>
      <w:r>
        <w:rPr>
          <w:rFonts w:ascii="Arial" w:cs="Arial" w:eastAsia="Arial" w:hAnsi="Arial"/>
          <w:color w:val="222222"/>
          <w:sz w:val="20"/>
          <w:szCs w:val="20"/>
        </w:rPr>
        <w:t xml:space="preserve"> match the measured limit of the wrist </w:t>
      </w:r>
      <w:r>
        <w:rPr>
          <w:rFonts w:ascii="Arial" w:cs="Arial" w:eastAsia="Arial" w:hAnsi="Arial"/>
          <w:b w:val="false"/>
          <w:bCs w:val="false"/>
          <w:color w:val="1F4E79"/>
          <w:sz w:val="20"/>
          <w:szCs w:val="20"/>
        </w:rPr>
        <w:t xml:space="preserve">[38]</w:t>
      </w:r>
      <w:r>
        <w:rPr>
          <w:rFonts w:ascii="Arial" w:cs="Arial" w:eastAsia="Arial" w:hAnsi="Arial"/>
          <w:color w:val="222222"/>
          <w:sz w:val="20"/>
          <w:szCs w:val="20"/>
        </w:rPr>
        <w:t xml:space="preserve">. Location carries the hand; duration and site carry the family; intensity carries the accent </w:t>
      </w:r>
      <w:r>
        <w:rPr>
          <w:rFonts w:ascii="Arial" w:cs="Arial" w:eastAsia="Arial" w:hAnsi="Arial"/>
          <w:b w:val="false"/>
          <w:bCs w:val="false"/>
          <w:color w:val="1F4E79"/>
          <w:sz w:val="20"/>
          <w:szCs w:val="20"/>
        </w:rPr>
        <w:t xml:space="preserve">[40, 41]</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b/>
          <w:bCs/>
          <w:color w:val="222222"/>
          <w:sz w:val="20"/>
          <w:szCs w:val="20"/>
        </w:rPr>
        <w:t xml:space="preserve">Accent levels:</w:t>
      </w:r>
      <w:r>
        <w:rPr>
          <w:rFonts w:ascii="Arial" w:cs="Arial" w:eastAsia="Arial" w:hAnsi="Arial"/>
          <w:color w:val="222222"/>
          <w:sz w:val="20"/>
          <w:szCs w:val="20"/>
        </w:rPr>
        <w:t xml:space="preserve"> two levels are proven (96.18% recognition with drum identity) </w:t>
      </w:r>
      <w:r>
        <w:rPr>
          <w:rFonts w:ascii="Arial" w:cs="Arial" w:eastAsia="Arial" w:hAnsi="Arial"/>
          <w:b w:val="false"/>
          <w:bCs w:val="false"/>
          <w:color w:val="1F4E79"/>
          <w:sz w:val="20"/>
          <w:szCs w:val="20"/>
        </w:rPr>
        <w:t xml:space="preserve">[9]</w:t>
      </w:r>
      <w:r>
        <w:rPr>
          <w:rFonts w:ascii="Arial" w:cs="Arial" w:eastAsia="Arial" w:hAnsi="Arial"/>
          <w:color w:val="222222"/>
          <w:sz w:val="20"/>
          <w:szCs w:val="20"/>
        </w:rPr>
        <w:t xml:space="preserve">; a third level is tested in E4. Adjacent levels differ by about ×1.7 because skin intensity discrimination is coarse </w:t>
      </w:r>
      <w:r>
        <w:rPr>
          <w:rFonts w:ascii="Arial" w:cs="Arial" w:eastAsia="Arial" w:hAnsi="Arial"/>
          <w:b w:val="false"/>
          <w:bCs w:val="false"/>
          <w:color w:val="1F4E79"/>
          <w:sz w:val="20"/>
          <w:szCs w:val="20"/>
        </w:rPr>
        <w:t xml:space="preserve">[42]</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b/>
          <w:bCs/>
          <w:color w:val="222222"/>
          <w:sz w:val="20"/>
          <w:szCs w:val="20"/>
        </w:rPr>
        <w:t xml:space="preserve">LRAs at resonance</w:t>
      </w:r>
      <w:r>
        <w:rPr>
          <w:rFonts w:ascii="Arial" w:cs="Arial" w:eastAsia="Arial" w:hAnsi="Arial"/>
          <w:color w:val="222222"/>
          <w:sz w:val="20"/>
          <w:szCs w:val="20"/>
        </w:rPr>
        <w:t xml:space="preserve"> sit near the Pacinian peak around 250 Hz </w:t>
      </w:r>
      <w:r>
        <w:rPr>
          <w:rFonts w:ascii="Arial" w:cs="Arial" w:eastAsia="Arial" w:hAnsi="Arial"/>
          <w:b w:val="false"/>
          <w:bCs w:val="false"/>
          <w:color w:val="1F4E79"/>
          <w:sz w:val="20"/>
          <w:szCs w:val="20"/>
        </w:rPr>
        <w:t xml:space="preserve">[37]</w:t>
      </w:r>
      <w:r>
        <w:rPr>
          <w:rFonts w:ascii="Arial" w:cs="Arial" w:eastAsia="Arial" w:hAnsi="Arial"/>
          <w:color w:val="222222"/>
          <w:sz w:val="20"/>
          <w:szCs w:val="20"/>
        </w:rPr>
        <w:t xml:space="preserve">; the DRV2605L drives them closed-loop with overdrive and braking </w:t>
      </w:r>
      <w:r>
        <w:rPr>
          <w:rFonts w:ascii="Arial" w:cs="Arial" w:eastAsia="Arial" w:hAnsi="Arial"/>
          <w:b w:val="false"/>
          <w:bCs w:val="false"/>
          <w:color w:val="1F4E79"/>
          <w:sz w:val="20"/>
          <w:szCs w:val="20"/>
        </w:rPr>
        <w:t xml:space="preserve">[97]</w:t>
      </w:r>
      <w:r>
        <w:rPr>
          <w:rFonts w:ascii="Arial" w:cs="Arial" w:eastAsia="Arial" w:hAnsi="Arial"/>
          <w:color w:val="222222"/>
          <w:sz w:val="20"/>
          <w:szCs w:val="20"/>
        </w:rPr>
        <w:t xml:space="preserve">.</w:t>
      </w:r>
    </w:p>
    <w:p>
      <w:pPr>
        <w:pStyle w:val="Heading2"/>
        <w:keepNext/>
      </w:pPr>
      <w:r>
        <w:rPr>
          <w:rFonts w:ascii="Arial" w:cs="Arial" w:eastAsia="Arial" w:hAnsi="Arial"/>
        </w:rPr>
        <w:t xml:space="preserve">5.6 Scoring</w:t>
      </w:r>
    </w:p>
    <w:p>
      <w:pPr>
        <w:shd w:fill="F2F2F2" w:color="auto" w:val="clear"/>
        <w:spacing w:after="0" w:line="240"/>
        <w:ind w:left="120" w:right="120"/>
      </w:pPr>
      <w:r>
        <w:rPr>
          <w:rFonts w:ascii="Courier New" w:cs="Courier New" w:eastAsia="Courier New" w:hAnsi="Courier New"/>
          <w:color w:val="222222"/>
          <w:sz w:val="16"/>
          <w:szCs w:val="16"/>
        </w:rPr>
        <w:t xml:space="preserve">e'_t,i = (t_student,i − E_i) − b_cycle          bias-corrected timing error</w:t>
      </w:r>
    </w:p>
    <w:p>
      <w:pPr>
        <w:shd w:fill="F2F2F2" w:color="auto" w:val="clear"/>
        <w:spacing w:after="0" w:line="240"/>
        <w:ind w:left="120" w:right="120"/>
      </w:pPr>
      <w:r>
        <w:rPr>
          <w:rFonts w:ascii="Courier New" w:cs="Courier New" w:eastAsia="Courier New" w:hAnsi="Courier New"/>
          <w:color w:val="222222"/>
          <w:sz w:val="16"/>
          <w:szCs w:val="16"/>
        </w:rPr>
        <w:t xml:space="preserve">e_A,i  = 20·log10(a_student,i / a_guru,i)      accent error (dB)</w:t>
      </w:r>
    </w:p>
    <w:p>
      <w:pPr>
        <w:shd w:fill="F2F2F2" w:color="auto" w:val="clear"/>
        <w:spacing w:after="0" w:line="240"/>
        <w:ind w:left="120" w:right="120"/>
      </w:pPr>
      <w:r>
        <w:rPr>
          <w:rFonts w:ascii="Courier New" w:cs="Courier New" w:eastAsia="Courier New" w:hAnsi="Courier New"/>
          <w:color w:val="222222"/>
          <w:sz w:val="16"/>
          <w:szCs w:val="16"/>
        </w:rPr>
        <w:t xml:space="preserve">S_i    = w1·exp(−|e'_t,i|/σ_t) + w2·exp(−|e_A,i|/σ_A) + w3·m_i     (Tiers 1–2)</w:t>
      </w:r>
    </w:p>
    <w:p>
      <w:pPr>
        <w:shd w:fill="F2F2F2" w:color="auto" w:val="clear"/>
        <w:spacing w:after="140" w:line="240"/>
        <w:ind w:left="120" w:right="120"/>
      </w:pPr>
      <w:r>
        <w:rPr>
          <w:rFonts w:ascii="Courier New" w:cs="Courier New" w:eastAsia="Courier New" w:hAnsi="Courier New"/>
          <w:color w:val="222222"/>
          <w:sz w:val="16"/>
          <w:szCs w:val="16"/>
        </w:rPr>
        <w:t xml:space="preserve">Style  = ½·corr(d_student, d_guru) + ½·corr(acc_student, acc_guru) (Tier 3)</w:t>
      </w:r>
    </w:p>
    <w:p>
      <w:pPr>
        <w:spacing w:after="120" w:before="0" w:line="276"/>
        <w:jc w:val="left"/>
      </w:pPr>
      <w:r>
        <w:rPr>
          <w:rFonts w:ascii="Arial" w:cs="Arial" w:eastAsia="Arial" w:hAnsi="Arial"/>
          <w:color w:val="222222"/>
          <w:sz w:val="20"/>
          <w:szCs w:val="20"/>
        </w:rPr>
        <w:t xml:space="preserve">Bias and spread are reported separately, because people normally tap tens of milliseconds early </w:t>
      </w:r>
      <w:r>
        <w:rPr>
          <w:rFonts w:ascii="Arial" w:cs="Arial" w:eastAsia="Arial" w:hAnsi="Arial"/>
          <w:b w:val="false"/>
          <w:bCs w:val="false"/>
          <w:color w:val="1F4E79"/>
          <w:sz w:val="20"/>
          <w:szCs w:val="20"/>
        </w:rPr>
        <w:t xml:space="preserve">[34]</w:t>
      </w:r>
      <w:r>
        <w:rPr>
          <w:rFonts w:ascii="Arial" w:cs="Arial" w:eastAsia="Arial" w:hAnsi="Arial"/>
          <w:color w:val="222222"/>
          <w:sz w:val="20"/>
          <w:szCs w:val="20"/>
        </w:rPr>
        <w:t xml:space="preserve">. σ_t tightens by tier (35 → 20 → 12 ms). Free-tempo phrases (later) are aligned with dynamic time warping </w:t>
      </w:r>
      <w:r>
        <w:rPr>
          <w:rFonts w:ascii="Arial" w:cs="Arial" w:eastAsia="Arial" w:hAnsi="Arial"/>
          <w:b w:val="false"/>
          <w:bCs w:val="false"/>
          <w:color w:val="1F4E79"/>
          <w:sz w:val="20"/>
          <w:szCs w:val="20"/>
        </w:rPr>
        <w:t xml:space="preserve">[56, 57]</w:t>
      </w:r>
      <w:r>
        <w:rPr>
          <w:rFonts w:ascii="Arial" w:cs="Arial" w:eastAsia="Arial" w:hAnsi="Arial"/>
          <w:color w:val="222222"/>
          <w:sz w:val="20"/>
          <w:szCs w:val="20"/>
        </w:rPr>
        <w:t xml:space="preserve">. [Design choice]</w:t>
      </w:r>
    </w:p>
    <w:p>
      <w:pPr>
        <w:pStyle w:val="Heading2"/>
        <w:keepNext/>
      </w:pPr>
      <w:r>
        <w:rPr>
          <w:rFonts w:ascii="Arial" w:cs="Arial" w:eastAsia="Arial" w:hAnsi="Arial"/>
        </w:rPr>
        <w:t xml:space="preserve">5.7 Fade Engine 2.1</w:t>
      </w:r>
    </w:p>
    <w:p>
      <w:pPr>
        <w:pStyle w:val="ListParagraph"/>
        <w:numPr>
          <w:ilvl w:val="0"/>
          <w:numId w:val="3"/>
        </w:numPr>
        <w:spacing w:after="60" w:line="268"/>
      </w:pPr>
      <w:r>
        <w:rPr>
          <w:rFonts w:ascii="Arial" w:cs="Arial" w:eastAsia="Arial" w:hAnsi="Arial"/>
          <w:b/>
          <w:bCs/>
          <w:color w:val="222222"/>
          <w:sz w:val="20"/>
          <w:szCs w:val="20"/>
        </w:rPr>
        <w:t xml:space="preserve">Probe at the start of every session</w:t>
      </w:r>
      <w:r>
        <w:rPr>
          <w:rFonts w:ascii="Arial" w:cs="Arial" w:eastAsia="Arial" w:hAnsi="Arial"/>
          <w:color w:val="222222"/>
          <w:sz w:val="20"/>
          <w:szCs w:val="20"/>
        </w:rPr>
        <w:t xml:space="preserve"> (re-anchors the skill estimate after overnight forgetting), then one probe every 4 guided cycles.</w:t>
      </w:r>
    </w:p>
    <w:p>
      <w:pPr>
        <w:pStyle w:val="ListParagraph"/>
        <w:numPr>
          <w:ilvl w:val="0"/>
          <w:numId w:val="3"/>
        </w:numPr>
        <w:spacing w:after="60" w:line="268"/>
      </w:pPr>
      <w:r>
        <w:rPr>
          <w:rFonts w:ascii="Arial" w:cs="Arial" w:eastAsia="Arial" w:hAnsi="Arial"/>
          <w:b/>
          <w:bCs/>
          <w:color w:val="222222"/>
          <w:sz w:val="20"/>
          <w:szCs w:val="20"/>
        </w:rPr>
        <w:t xml:space="preserve">Skill estimate</w:t>
      </w:r>
      <w:r>
        <w:rPr>
          <w:rFonts w:ascii="Arial" w:cs="Arial" w:eastAsia="Arial" w:hAnsi="Arial"/>
          <w:color w:val="222222"/>
          <w:sz w:val="20"/>
          <w:szCs w:val="20"/>
        </w:rPr>
        <w:t xml:space="preserve"> ŝ = moving average (α = 0.5) of probe scores.</w:t>
      </w:r>
    </w:p>
    <w:p>
      <w:pPr>
        <w:pStyle w:val="ListParagraph"/>
        <w:numPr>
          <w:ilvl w:val="0"/>
          <w:numId w:val="3"/>
        </w:numPr>
        <w:spacing w:after="60" w:line="268"/>
      </w:pPr>
      <w:r>
        <w:rPr>
          <w:rFonts w:ascii="Arial" w:cs="Arial" w:eastAsia="Arial" w:hAnsi="Arial"/>
          <w:b/>
          <w:bCs/>
          <w:color w:val="222222"/>
          <w:sz w:val="20"/>
          <w:szCs w:val="20"/>
        </w:rPr>
        <w:t xml:space="preserve">Target guidance</w:t>
      </w:r>
      <w:r>
        <w:rPr>
          <w:rFonts w:ascii="Arial" w:cs="Arial" w:eastAsia="Arial" w:hAnsi="Arial"/>
          <w:color w:val="222222"/>
          <w:sz w:val="20"/>
          <w:szCs w:val="20"/>
        </w:rPr>
        <w:t xml:space="preserve"> g = clip(1 − ŝ / 0.85, 0, 1), changed by at most 0.2 per update; g &lt; 0.05 becomes 0.</w:t>
      </w:r>
    </w:p>
    <w:p>
      <w:pPr>
        <w:pStyle w:val="ListParagraph"/>
        <w:numPr>
          <w:ilvl w:val="0"/>
          <w:numId w:val="3"/>
        </w:numPr>
        <w:spacing w:after="60" w:line="268"/>
      </w:pPr>
      <w:r>
        <w:rPr>
          <w:rFonts w:ascii="Arial" w:cs="Arial" w:eastAsia="Arial" w:hAnsi="Arial"/>
          <w:b/>
          <w:bCs/>
          <w:color w:val="222222"/>
          <w:sz w:val="20"/>
          <w:szCs w:val="20"/>
        </w:rPr>
        <w:t xml:space="preserve">Assist as needed:</w:t>
      </w:r>
      <w:r>
        <w:rPr>
          <w:rFonts w:ascii="Arial" w:cs="Arial" w:eastAsia="Arial" w:hAnsi="Arial"/>
          <w:color w:val="222222"/>
          <w:sz w:val="20"/>
          <w:szCs w:val="20"/>
        </w:rPr>
        <w:t xml:space="preserve"> two guided cycles below 0.5 raise g by 0.2 </w:t>
      </w:r>
      <w:r>
        <w:rPr>
          <w:rFonts w:ascii="Arial" w:cs="Arial" w:eastAsia="Arial" w:hAnsi="Arial"/>
          <w:b w:val="false"/>
          <w:bCs w:val="false"/>
          <w:color w:val="1F4E79"/>
          <w:sz w:val="20"/>
          <w:szCs w:val="20"/>
        </w:rPr>
        <w:t xml:space="preserve">[32, 33]</w:t>
      </w:r>
      <w:r>
        <w:rPr>
          <w:rFonts w:ascii="Arial" w:cs="Arial" w:eastAsia="Arial" w:hAnsi="Arial"/>
          <w:color w:val="222222"/>
          <w:sz w:val="20"/>
          <w:szCs w:val="20"/>
        </w:rPr>
        <w:t xml:space="preserve">.</w:t>
      </w:r>
    </w:p>
    <w:p>
      <w:pPr>
        <w:pStyle w:val="ListParagraph"/>
        <w:numPr>
          <w:ilvl w:val="0"/>
          <w:numId w:val="3"/>
        </w:numPr>
        <w:spacing w:after="60" w:line="268"/>
      </w:pPr>
      <w:r>
        <w:rPr>
          <w:rFonts w:ascii="Arial" w:cs="Arial" w:eastAsia="Arial" w:hAnsi="Arial"/>
          <w:b/>
          <w:bCs/>
          <w:color w:val="222222"/>
          <w:sz w:val="20"/>
          <w:szCs w:val="20"/>
        </w:rPr>
        <w:t xml:space="preserve">Which strokes:</w:t>
      </w:r>
      <w:r>
        <w:rPr>
          <w:rFonts w:ascii="Arial" w:cs="Arial" w:eastAsia="Arial" w:hAnsi="Arial"/>
          <w:color w:val="222222"/>
          <w:sz w:val="20"/>
          <w:szCs w:val="20"/>
        </w:rPr>
        <w:t xml:space="preserve"> each stroke cued with probability g, plus bandwidth cues where last cycle's error exceeded 2σ_t </w:t>
      </w:r>
      <w:r>
        <w:rPr>
          <w:rFonts w:ascii="Arial" w:cs="Arial" w:eastAsia="Arial" w:hAnsi="Arial"/>
          <w:b w:val="false"/>
          <w:bCs w:val="false"/>
          <w:color w:val="1F4E79"/>
          <w:sz w:val="20"/>
          <w:szCs w:val="20"/>
        </w:rPr>
        <w:t xml:space="preserve">[22]</w:t>
      </w:r>
      <w:r>
        <w:rPr>
          <w:rFonts w:ascii="Arial" w:cs="Arial" w:eastAsia="Arial" w:hAnsi="Arial"/>
          <w:color w:val="222222"/>
          <w:sz w:val="20"/>
          <w:szCs w:val="20"/>
        </w:rPr>
        <w:t xml:space="preserve">.</w:t>
      </w:r>
    </w:p>
    <w:p>
      <w:pPr>
        <w:pStyle w:val="ListParagraph"/>
        <w:numPr>
          <w:ilvl w:val="0"/>
          <w:numId w:val="3"/>
        </w:numPr>
        <w:spacing w:after="60" w:line="268"/>
      </w:pPr>
      <w:r>
        <w:rPr>
          <w:rFonts w:ascii="Arial" w:cs="Arial" w:eastAsia="Arial" w:hAnsi="Arial"/>
          <w:b/>
          <w:bCs/>
          <w:color w:val="222222"/>
          <w:sz w:val="20"/>
          <w:szCs w:val="20"/>
        </w:rPr>
        <w:t xml:space="preserve">Mode switch:</w:t>
      </w:r>
      <w:r>
        <w:rPr>
          <w:rFonts w:ascii="Arial" w:cs="Arial" w:eastAsia="Arial" w:hAnsi="Arial"/>
          <w:color w:val="222222"/>
          <w:sz w:val="20"/>
          <w:szCs w:val="20"/>
        </w:rPr>
        <w:t xml:space="preserve"> at ŝ ≥ 0.7, guidance cues give way to error-only cues, because skilled learners gain more from error emphasis </w:t>
      </w:r>
      <w:r>
        <w:rPr>
          <w:rFonts w:ascii="Arial" w:cs="Arial" w:eastAsia="Arial" w:hAnsi="Arial"/>
          <w:b w:val="false"/>
          <w:bCs w:val="false"/>
          <w:color w:val="1F4E79"/>
          <w:sz w:val="20"/>
          <w:szCs w:val="20"/>
        </w:rPr>
        <w:t xml:space="preserve">[29, 30]</w:t>
      </w:r>
      <w:r>
        <w:rPr>
          <w:rFonts w:ascii="Arial" w:cs="Arial" w:eastAsia="Arial" w:hAnsi="Arial"/>
          <w:color w:val="222222"/>
          <w:sz w:val="20"/>
          <w:szCs w:val="20"/>
        </w:rPr>
        <w:t xml:space="preserve">.</w:t>
      </w:r>
    </w:p>
    <w:p>
      <w:pPr>
        <w:pStyle w:val="ListParagraph"/>
        <w:numPr>
          <w:ilvl w:val="0"/>
          <w:numId w:val="3"/>
        </w:numPr>
        <w:spacing w:after="60" w:line="268"/>
      </w:pPr>
      <w:r>
        <w:rPr>
          <w:rFonts w:ascii="Arial" w:cs="Arial" w:eastAsia="Arial" w:hAnsi="Arial"/>
          <w:b/>
          <w:bCs/>
          <w:color w:val="222222"/>
          <w:sz w:val="20"/>
          <w:szCs w:val="20"/>
        </w:rPr>
        <w:t xml:space="preserve">Optional 'ask for a cue' button</w:t>
      </w:r>
      <w:r>
        <w:rPr>
          <w:rFonts w:ascii="Arial" w:cs="Arial" w:eastAsia="Arial" w:hAnsi="Arial"/>
          <w:color w:val="222222"/>
          <w:sz w:val="20"/>
          <w:szCs w:val="20"/>
        </w:rPr>
        <w:t xml:space="preserve">, off by default and logged: self-controlled practice is predicted to help </w:t>
      </w:r>
      <w:r>
        <w:rPr>
          <w:rFonts w:ascii="Arial" w:cs="Arial" w:eastAsia="Arial" w:hAnsi="Arial"/>
          <w:b w:val="false"/>
          <w:bCs w:val="false"/>
          <w:color w:val="1F4E79"/>
          <w:sz w:val="20"/>
          <w:szCs w:val="20"/>
        </w:rPr>
        <w:t xml:space="preserve">[27]</w:t>
      </w:r>
      <w:r>
        <w:rPr>
          <w:rFonts w:ascii="Arial" w:cs="Arial" w:eastAsia="Arial" w:hAnsi="Arial"/>
          <w:color w:val="222222"/>
          <w:sz w:val="20"/>
          <w:szCs w:val="20"/>
        </w:rPr>
        <w:t xml:space="preserve">, but recent large replications failed, so it stays exploratory.</w:t>
      </w:r>
    </w:p>
    <w:p>
      <w:pPr>
        <w:spacing w:after="120" w:before="0" w:line="276"/>
        <w:jc w:val="left"/>
      </w:pPr>
      <w:r>
        <w:rPr>
          <w:rFonts w:ascii="Arial" w:cs="Arial" w:eastAsia="Arial" w:hAnsi="Arial"/>
          <w:b/>
          <w:bCs/>
          <w:color w:val="222222"/>
          <w:sz w:val="20"/>
          <w:szCs w:val="20"/>
        </w:rPr>
        <w:t xml:space="preserve">Mastery gate:</w:t>
      </w:r>
      <w:r>
        <w:rPr>
          <w:rFonts w:ascii="Arial" w:cs="Arial" w:eastAsia="Arial" w:hAnsi="Arial"/>
          <w:color w:val="222222"/>
          <w:sz w:val="20"/>
          <w:szCs w:val="20"/>
        </w:rPr>
        <w:t xml:space="preserve"> ŝ ≥ 0.85 on 3 probe blocks over at least 2 days, </w:t>
      </w:r>
      <w:r>
        <w:rPr>
          <w:rFonts w:ascii="Arial" w:cs="Arial" w:eastAsia="Arial" w:hAnsi="Arial"/>
          <w:b/>
          <w:bCs/>
          <w:color w:val="222222"/>
          <w:sz w:val="20"/>
          <w:szCs w:val="20"/>
        </w:rPr>
        <w:t xml:space="preserve">plus</w:t>
      </w:r>
      <w:r>
        <w:rPr>
          <w:rFonts w:ascii="Arial" w:cs="Arial" w:eastAsia="Arial" w:hAnsi="Arial"/>
          <w:color w:val="222222"/>
          <w:sz w:val="20"/>
          <w:szCs w:val="20"/>
        </w:rPr>
        <w:t xml:space="preserve"> the guru's signed approval.</w:t>
      </w:r>
    </w:p>
    <w:p>
      <w:pPr>
        <w:pStyle w:val="Heading2"/>
        <w:keepNext/>
      </w:pPr>
      <w:r>
        <w:rPr>
          <w:rFonts w:ascii="Arial" w:cs="Arial" w:eastAsia="Arial" w:hAnsi="Arial"/>
        </w:rPr>
        <w:t xml:space="preserve">5.8 Guru-first user experience</w:t>
      </w:r>
    </w:p>
    <w:p>
      <w:pPr>
        <w:pStyle w:val="ListParagraph"/>
        <w:numPr>
          <w:ilvl w:val="0"/>
          <w:numId w:val="2"/>
        </w:numPr>
        <w:spacing w:after="60" w:line="268"/>
      </w:pPr>
      <w:r>
        <w:rPr>
          <w:rFonts w:ascii="Arial" w:cs="Arial" w:eastAsia="Arial" w:hAnsi="Arial"/>
          <w:b/>
          <w:bCs/>
          <w:color w:val="222222"/>
          <w:sz w:val="20"/>
          <w:szCs w:val="20"/>
        </w:rPr>
        <w:t xml:space="preserve">Recording:</w:t>
      </w:r>
      <w:r>
        <w:rPr>
          <w:rFonts w:ascii="Arial" w:cs="Arial" w:eastAsia="Arial" w:hAnsi="Arial"/>
          <w:color w:val="222222"/>
          <w:sz w:val="20"/>
          <w:szCs w:val="20"/>
        </w:rPr>
        <w:t xml:space="preserve"> the guru plays. One button on the base unit starts and stops; an LED ring shows the tal cycle (sam, khali). No app is needed during recording.</w:t>
      </w:r>
    </w:p>
    <w:p>
      <w:pPr>
        <w:pStyle w:val="ListParagraph"/>
        <w:numPr>
          <w:ilvl w:val="0"/>
          <w:numId w:val="2"/>
        </w:numPr>
        <w:spacing w:after="60" w:line="268"/>
      </w:pPr>
      <w:r>
        <w:rPr>
          <w:rFonts w:ascii="Arial" w:cs="Arial" w:eastAsia="Arial" w:hAnsi="Arial"/>
          <w:b/>
          <w:bCs/>
          <w:color w:val="222222"/>
          <w:sz w:val="20"/>
          <w:szCs w:val="20"/>
        </w:rPr>
        <w:t xml:space="preserve">Signing with a fingerprint:</w:t>
      </w:r>
      <w:r>
        <w:rPr>
          <w:rFonts w:ascii="Arial" w:cs="Arial" w:eastAsia="Arial" w:hAnsi="Arial"/>
          <w:color w:val="222222"/>
          <w:sz w:val="20"/>
          <w:szCs w:val="20"/>
        </w:rPr>
        <w:t xml:space="preserve"> the companion app asks the guru's own phone to sign the envelope hash with a passkey (WebAuthn). The private key never leaves the phone and no key files are managed. WebAuthn Level 3 became a W3C Recommendation on 25 August 2026, and over a billion people already use passkeys </w:t>
      </w:r>
      <w:r>
        <w:rPr>
          <w:rFonts w:ascii="Arial" w:cs="Arial" w:eastAsia="Arial" w:hAnsi="Arial"/>
          <w:b w:val="false"/>
          <w:bCs w:val="false"/>
          <w:color w:val="1F4E79"/>
          <w:sz w:val="20"/>
          <w:szCs w:val="20"/>
        </w:rPr>
        <w:t xml:space="preserve">[119]</w:t>
      </w:r>
      <w:r>
        <w:rPr>
          <w:rFonts w:ascii="Arial" w:cs="Arial" w:eastAsia="Arial" w:hAnsi="Arial"/>
          <w:color w:val="222222"/>
          <w:sz w:val="20"/>
          <w:szCs w:val="20"/>
        </w:rPr>
        <w:t xml:space="preserve">. Fallback: a 'Guru Mohar' NFC card, a digital seal.</w:t>
      </w:r>
    </w:p>
    <w:p>
      <w:pPr>
        <w:pStyle w:val="ListParagraph"/>
        <w:numPr>
          <w:ilvl w:val="0"/>
          <w:numId w:val="2"/>
        </w:numPr>
        <w:spacing w:after="60" w:line="268"/>
      </w:pPr>
      <w:r>
        <w:rPr>
          <w:rFonts w:ascii="Arial" w:cs="Arial" w:eastAsia="Arial" w:hAnsi="Arial"/>
          <w:b/>
          <w:bCs/>
          <w:color w:val="222222"/>
          <w:sz w:val="20"/>
          <w:szCs w:val="20"/>
        </w:rPr>
        <w:t xml:space="preserve">Consent in their language:</w:t>
      </w:r>
      <w:r>
        <w:rPr>
          <w:rFonts w:ascii="Arial" w:cs="Arial" w:eastAsia="Arial" w:hAnsi="Arial"/>
          <w:color w:val="222222"/>
          <w:sz w:val="20"/>
          <w:szCs w:val="20"/>
        </w:rPr>
        <w:t xml:space="preserve"> the terms are read aloud (Hindi or regional language), the guru's spoken 'yes' is recorded, and the choices (replay, teach, branch, commercial, expiry, custodian) are stored inside the signed envelope.</w:t>
      </w:r>
    </w:p>
    <w:p>
      <w:pPr>
        <w:pStyle w:val="ListParagraph"/>
        <w:numPr>
          <w:ilvl w:val="0"/>
          <w:numId w:val="2"/>
        </w:numPr>
        <w:spacing w:after="60" w:line="268"/>
      </w:pPr>
      <w:r>
        <w:rPr>
          <w:rFonts w:ascii="Arial" w:cs="Arial" w:eastAsia="Arial" w:hAnsi="Arial"/>
          <w:b/>
          <w:bCs/>
          <w:color w:val="222222"/>
          <w:sz w:val="20"/>
          <w:szCs w:val="20"/>
        </w:rPr>
        <w:t xml:space="preserve">Approving a student:</w:t>
      </w:r>
      <w:r>
        <w:rPr>
          <w:rFonts w:ascii="Arial" w:cs="Arial" w:eastAsia="Arial" w:hAnsi="Arial"/>
          <w:color w:val="222222"/>
          <w:sz w:val="20"/>
          <w:szCs w:val="20"/>
        </w:rPr>
        <w:t xml:space="preserve"> the guru hears the student's unaided probe recording on their phone and approves with the same fingerprint.</w:t>
      </w:r>
    </w:p>
    <w:p>
      <w:pPr>
        <w:pStyle w:val="Heading2"/>
        <w:keepNext/>
      </w:pPr>
      <w:r>
        <w:rPr>
          <w:rFonts w:ascii="Arial" w:cs="Arial" w:eastAsia="Arial" w:hAnsi="Arial"/>
        </w:rPr>
        <w:t xml:space="preserve">5.9 Consent, credit and cultural data governance</w:t>
      </w:r>
    </w:p>
    <w:p>
      <w:pPr>
        <w:spacing w:after="120" w:before="0" w:line="276"/>
        <w:jc w:val="left"/>
      </w:pPr>
      <w:r>
        <w:rPr>
          <w:rFonts w:ascii="Arial" w:cs="Arial" w:eastAsia="Arial" w:hAnsi="Arial"/>
          <w:color w:val="222222"/>
          <w:sz w:val="20"/>
          <w:szCs w:val="20"/>
        </w:rPr>
        <w:t xml:space="preserve">Version 1 led with cryptography. Version 2 leads with </w:t>
      </w:r>
      <w:r>
        <w:rPr>
          <w:rFonts w:ascii="Arial" w:cs="Arial" w:eastAsia="Arial" w:hAnsi="Arial"/>
          <w:b/>
          <w:bCs/>
          <w:color w:val="222222"/>
          <w:sz w:val="20"/>
          <w:szCs w:val="20"/>
        </w:rPr>
        <w:t xml:space="preserve">who decides and who gets credit</w:t>
      </w:r>
      <w:r>
        <w:rPr>
          <w:rFonts w:ascii="Arial" w:cs="Arial" w:eastAsia="Arial" w:hAnsi="Arial"/>
          <w:color w:val="222222"/>
          <w:sz w:val="20"/>
          <w:szCs w:val="20"/>
        </w:rPr>
        <w:t xml:space="preserve">; the cryptography is the invisible lock underneath.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49"/>
        <w:gridCol w:w="3725"/>
        <w:gridCol w:w="3152"/>
      </w:tblGrid>
      <w:tr>
        <w:trPr>
          <w:cantSplit/>
          <w:tblHeader/>
        </w:trPr>
        <w:tc>
          <w:tcPr>
            <w:tcW w:type="dxa" w:w="214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Principle</w:t>
            </w:r>
          </w:p>
        </w:tc>
        <w:tc>
          <w:tcPr>
            <w:tcW w:type="dxa" w:w="372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Source</w:t>
            </w:r>
          </w:p>
        </w:tc>
        <w:tc>
          <w:tcPr>
            <w:tcW w:type="dxa" w:w="315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How PARAMPARA implements it</w:t>
            </w:r>
          </w:p>
        </w:tc>
      </w:tr>
      <w:tr>
        <w:trPr>
          <w:cantSplit/>
        </w:trPr>
        <w:tc>
          <w:tcPr>
            <w:tcW w:type="dxa" w:w="214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Free, prior and informed consent of practitioners</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UNESCO ethical principles for ICH </w:t>
            </w:r>
            <w:r>
              <w:rPr>
                <w:rFonts w:ascii="Arial" w:cs="Arial" w:eastAsia="Arial" w:hAnsi="Arial"/>
                <w:b w:val="false"/>
                <w:bCs w:val="false"/>
                <w:color w:val="1F4E79"/>
                <w:sz w:val="16"/>
                <w:szCs w:val="16"/>
              </w:rPr>
              <w:t xml:space="preserve">[71]</w:t>
            </w:r>
          </w:p>
        </w:tc>
        <w:tc>
          <w:tcPr>
            <w:tcW w:type="dxa" w:w="315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Spoken consent + signed choices inside every envelope; revocation honoured at sync</w:t>
            </w:r>
          </w:p>
        </w:tc>
      </w:tr>
      <w:tr>
        <w:trPr>
          <w:cantSplit/>
        </w:trPr>
        <w:tc>
          <w:tcPr>
            <w:tcW w:type="dxa" w:w="214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Collective benefit, authority to control, responsibility, ethics</w:t>
            </w:r>
          </w:p>
        </w:tc>
        <w:tc>
          <w:tcPr>
            <w:tcW w:type="dxa" w:w="37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CARE principles </w:t>
            </w:r>
            <w:r>
              <w:rPr>
                <w:rFonts w:ascii="Arial" w:cs="Arial" w:eastAsia="Arial" w:hAnsi="Arial"/>
                <w:b w:val="false"/>
                <w:bCs w:val="false"/>
                <w:color w:val="1F4E79"/>
                <w:sz w:val="16"/>
                <w:szCs w:val="16"/>
              </w:rPr>
              <w:t xml:space="preserve">[115]</w:t>
            </w:r>
          </w:p>
        </w:tc>
        <w:tc>
          <w:tcPr>
            <w:tcW w:type="dxa" w:w="315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Guru (and custodian) controls use; revenue share fields; guru gates readiness</w:t>
            </w:r>
          </w:p>
        </w:tc>
      </w:tr>
      <w:tr>
        <w:trPr>
          <w:cantSplit/>
        </w:trPr>
        <w:tc>
          <w:tcPr>
            <w:tcW w:type="dxa" w:w="214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Findable, accessible, interoperable, reusable</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FAIR principles </w:t>
            </w:r>
            <w:r>
              <w:rPr>
                <w:rFonts w:ascii="Arial" w:cs="Arial" w:eastAsia="Arial" w:hAnsi="Arial"/>
                <w:b w:val="false"/>
                <w:bCs w:val="false"/>
                <w:color w:val="1F4E79"/>
                <w:sz w:val="16"/>
                <w:szCs w:val="16"/>
              </w:rPr>
              <w:t xml:space="preserve">[116]</w:t>
            </w:r>
          </w:p>
        </w:tc>
        <w:tc>
          <w:tcPr>
            <w:tcW w:type="dxa" w:w="315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Open, documented CBOR/JSON schema; deposits to an archive such as NCAA with consent </w:t>
            </w:r>
            <w:r>
              <w:rPr>
                <w:rFonts w:ascii="Arial" w:cs="Arial" w:eastAsia="Arial" w:hAnsi="Arial"/>
                <w:b w:val="false"/>
                <w:bCs w:val="false"/>
                <w:color w:val="1F4E79"/>
                <w:sz w:val="16"/>
                <w:szCs w:val="16"/>
              </w:rPr>
              <w:t xml:space="preserve">[120]</w:t>
            </w:r>
          </w:p>
        </w:tc>
      </w:tr>
      <w:tr>
        <w:trPr>
          <w:cantSplit/>
        </w:trPr>
        <w:tc>
          <w:tcPr>
            <w:tcW w:type="dxa" w:w="214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Provenance and attribution labels</w:t>
            </w:r>
          </w:p>
        </w:tc>
        <w:tc>
          <w:tcPr>
            <w:tcW w:type="dxa" w:w="37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Local Contexts TK Labels </w:t>
            </w:r>
            <w:r>
              <w:rPr>
                <w:rFonts w:ascii="Arial" w:cs="Arial" w:eastAsia="Arial" w:hAnsi="Arial"/>
                <w:b w:val="false"/>
                <w:bCs w:val="false"/>
                <w:color w:val="1F4E79"/>
                <w:sz w:val="16"/>
                <w:szCs w:val="16"/>
              </w:rPr>
              <w:t xml:space="preserve">[117]</w:t>
            </w:r>
          </w:p>
        </w:tc>
        <w:tc>
          <w:tcPr>
            <w:tcW w:type="dxa" w:w="315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Each envelope carries TK Attribution / Community Voice style labels</w:t>
            </w:r>
          </w:p>
        </w:tc>
      </w:tr>
      <w:tr>
        <w:trPr>
          <w:cantSplit/>
        </w:trPr>
        <w:tc>
          <w:tcPr>
            <w:tcW w:type="dxa" w:w="214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Defensive documentation of traditional knowledge</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TKDL precedent </w:t>
            </w:r>
            <w:r>
              <w:rPr>
                <w:rFonts w:ascii="Arial" w:cs="Arial" w:eastAsia="Arial" w:hAnsi="Arial"/>
                <w:b w:val="false"/>
                <w:bCs w:val="false"/>
                <w:color w:val="1F4E79"/>
                <w:sz w:val="16"/>
                <w:szCs w:val="16"/>
              </w:rPr>
              <w:t xml:space="preserve">[80]</w:t>
            </w:r>
            <w:r>
              <w:rPr>
                <w:rFonts w:ascii="Arial" w:cs="Arial" w:eastAsia="Arial" w:hAnsi="Arial"/>
                <w:color w:val="222222"/>
                <w:sz w:val="16"/>
                <w:szCs w:val="16"/>
              </w:rPr>
              <w:t xml:space="preserve">; WIPO work on traditional cultural expressions </w:t>
            </w:r>
            <w:r>
              <w:rPr>
                <w:rFonts w:ascii="Arial" w:cs="Arial" w:eastAsia="Arial" w:hAnsi="Arial"/>
                <w:b w:val="false"/>
                <w:bCs w:val="false"/>
                <w:color w:val="1F4E79"/>
                <w:sz w:val="16"/>
                <w:szCs w:val="16"/>
              </w:rPr>
              <w:t xml:space="preserve">[118]</w:t>
            </w:r>
          </w:p>
        </w:tc>
        <w:tc>
          <w:tcPr>
            <w:tcW w:type="dxa" w:w="315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Dated, signed records of who played what, usable as evidence of origin</w:t>
            </w:r>
          </w:p>
        </w:tc>
      </w:tr>
      <w:tr>
        <w:trPr>
          <w:cantSplit/>
        </w:trPr>
        <w:tc>
          <w:tcPr>
            <w:tcW w:type="dxa" w:w="214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Tamper evidence</w:t>
            </w:r>
          </w:p>
        </w:tc>
        <w:tc>
          <w:tcPr>
            <w:tcW w:type="dxa" w:w="37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COSE signatures over deterministic CBOR with Ed25519 </w:t>
            </w:r>
            <w:r>
              <w:rPr>
                <w:rFonts w:ascii="Arial" w:cs="Arial" w:eastAsia="Arial" w:hAnsi="Arial"/>
                <w:b w:val="false"/>
                <w:bCs w:val="false"/>
                <w:color w:val="1F4E79"/>
                <w:sz w:val="16"/>
                <w:szCs w:val="16"/>
              </w:rPr>
              <w:t xml:space="preserve">[89, 90, 91, 92]</w:t>
            </w:r>
            <w:r>
              <w:rPr>
                <w:rFonts w:ascii="Arial" w:cs="Arial" w:eastAsia="Arial" w:hAnsi="Arial"/>
                <w:color w:val="222222"/>
                <w:sz w:val="16"/>
                <w:szCs w:val="16"/>
              </w:rPr>
              <w:t xml:space="preserve">; signed-manifest pattern as in C2PA </w:t>
            </w:r>
            <w:r>
              <w:rPr>
                <w:rFonts w:ascii="Arial" w:cs="Arial" w:eastAsia="Arial" w:hAnsi="Arial"/>
                <w:b w:val="false"/>
                <w:bCs w:val="false"/>
                <w:color w:val="1F4E79"/>
                <w:sz w:val="16"/>
                <w:szCs w:val="16"/>
              </w:rPr>
              <w:t xml:space="preserve">[93]</w:t>
            </w:r>
          </w:p>
        </w:tc>
        <w:tc>
          <w:tcPr>
            <w:tcW w:type="dxa" w:w="315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One-byte change → verification fails → replay refused</w:t>
            </w:r>
          </w:p>
        </w:tc>
      </w:tr>
    </w:tbl>
    <w:p>
      <w:pPr>
        <w:spacing w:after="80"/>
      </w:pPr>
    </w:p>
    <w:p>
      <w:pPr>
        <w:keepNext/>
        <w:spacing w:after="60" w:before="60"/>
        <w:jc w:val="center"/>
      </w:pPr>
      <w:r>
        <w:drawing>
          <wp:inline distT="0" distB="0" distL="0" distR="0">
            <wp:extent cx="5715000" cy="1962150"/>
            <wp:effectExtent t="0" r="0" b="0" l="0"/>
            <wp:docPr id="1" name="Figure 4. Lineage as" descr="Figure 4. Lineage as a hash-linked graph. A child envelope needs the parent's consent and the guru's signed approval." title="Figure 4. Lineage as a hash-linked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962150"/>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4. Lineage as a hash-linked graph. A child envelope needs the parent's consent and the guru's signed approval.</w:t>
      </w:r>
    </w:p>
    <w:p>
      <w:pPr>
        <w:spacing w:after="120" w:before="0" w:line="276"/>
        <w:jc w:val="left"/>
      </w:pPr>
      <w:r>
        <w:rPr>
          <w:rFonts w:ascii="Arial" w:cs="Arial" w:eastAsia="Arial" w:hAnsi="Arial"/>
          <w:color w:val="222222"/>
          <w:sz w:val="20"/>
          <w:szCs w:val="20"/>
        </w:rPr>
        <w:t xml:space="preserve">Law: the DPDP Act 2023 and Rules notified 13 November 2025 apply to identifiable recordings </w:t>
      </w:r>
      <w:r>
        <w:rPr>
          <w:rFonts w:ascii="Arial" w:cs="Arial" w:eastAsia="Arial" w:hAnsi="Arial"/>
          <w:b w:val="false"/>
          <w:bCs w:val="false"/>
          <w:color w:val="1F4E79"/>
          <w:sz w:val="20"/>
          <w:szCs w:val="20"/>
        </w:rPr>
        <w:t xml:space="preserve">[95]</w:t>
      </w:r>
      <w:r>
        <w:rPr>
          <w:rFonts w:ascii="Arial" w:cs="Arial" w:eastAsia="Arial" w:hAnsi="Arial"/>
          <w:color w:val="222222"/>
          <w:sz w:val="20"/>
          <w:szCs w:val="20"/>
        </w:rPr>
        <w:t xml:space="preserve">; performers' rights under the Copyright Act apply to performances </w:t>
      </w:r>
      <w:r>
        <w:rPr>
          <w:rFonts w:ascii="Arial" w:cs="Arial" w:eastAsia="Arial" w:hAnsi="Arial"/>
          <w:b w:val="false"/>
          <w:bCs w:val="false"/>
          <w:color w:val="1F4E79"/>
          <w:sz w:val="20"/>
          <w:szCs w:val="20"/>
        </w:rPr>
        <w:t xml:space="preserve">[96]</w:t>
      </w:r>
      <w:r>
        <w:rPr>
          <w:rFonts w:ascii="Arial" w:cs="Arial" w:eastAsia="Arial" w:hAnsi="Arial"/>
          <w:color w:val="222222"/>
          <w:sz w:val="20"/>
          <w:szCs w:val="20"/>
        </w:rPr>
        <w:t xml:space="preserve">. Data stays on device or in the user's app by default.</w:t>
      </w:r>
    </w:p>
    <w:p>
      <w:pPr>
        <w:pStyle w:val="Heading2"/>
        <w:keepNext/>
      </w:pPr>
      <w:r>
        <w:rPr>
          <w:rFonts w:ascii="Arial" w:cs="Arial" w:eastAsia="Arial" w:hAnsi="Arial"/>
        </w:rPr>
        <w:t xml:space="preserve">5.10 Hardware: prototype and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58"/>
        <w:gridCol w:w="1050"/>
        <w:gridCol w:w="2518"/>
      </w:tblGrid>
      <w:tr>
        <w:trPr>
          <w:cantSplit/>
          <w:tblHeader/>
        </w:trPr>
        <w:tc>
          <w:tcPr>
            <w:tcW w:type="dxa" w:w="545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Prototype part (dev boards)</w:t>
            </w:r>
          </w:p>
        </w:tc>
        <w:tc>
          <w:tcPr>
            <w:tcW w:type="dxa" w:w="105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Qty</w:t>
            </w:r>
          </w:p>
        </w:tc>
        <w:tc>
          <w:tcPr>
            <w:tcW w:type="dxa" w:w="251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Approx. ₹</w:t>
            </w:r>
          </w:p>
        </w:tc>
      </w:tr>
      <w:tr>
        <w:trPr>
          <w:cantSplit/>
        </w:trPr>
        <w:tc>
          <w:tcPr>
            <w:tcW w:type="dxa" w:w="54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ESP32-S3 dev board (base unit)</w:t>
            </w:r>
          </w:p>
        </w:tc>
        <w:tc>
          <w:tcPr>
            <w:tcW w:type="dxa" w:w="105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w:t>
            </w:r>
          </w:p>
        </w:tc>
        <w:tc>
          <w:tcPr>
            <w:tcW w:type="dxa" w:w="251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600–900</w:t>
            </w:r>
          </w:p>
        </w:tc>
      </w:tr>
      <w:tr>
        <w:trPr>
          <w:cantSplit/>
        </w:trPr>
        <w:tc>
          <w:tcPr>
            <w:tcW w:type="dxa" w:w="545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ESP32 boards (cuffs)</w:t>
            </w:r>
          </w:p>
        </w:tc>
        <w:tc>
          <w:tcPr>
            <w:tcW w:type="dxa" w:w="105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2</w:t>
            </w:r>
          </w:p>
        </w:tc>
        <w:tc>
          <w:tcPr>
            <w:tcW w:type="dxa" w:w="251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500–800</w:t>
            </w:r>
          </w:p>
        </w:tc>
      </w:tr>
      <w:tr>
        <w:trPr>
          <w:cantSplit/>
        </w:trPr>
        <w:tc>
          <w:tcPr>
            <w:tcW w:type="dxa" w:w="54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DRV2605L breakouts (one per actuator)</w:t>
            </w:r>
          </w:p>
        </w:tc>
        <w:tc>
          <w:tcPr>
            <w:tcW w:type="dxa" w:w="105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4</w:t>
            </w:r>
          </w:p>
        </w:tc>
        <w:tc>
          <w:tcPr>
            <w:tcW w:type="dxa" w:w="251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1,400–2,000</w:t>
            </w:r>
          </w:p>
        </w:tc>
      </w:tr>
      <w:tr>
        <w:trPr>
          <w:cantSplit/>
        </w:trPr>
        <w:tc>
          <w:tcPr>
            <w:tcW w:type="dxa" w:w="545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LRA actuators (about 10 mm)</w:t>
            </w:r>
          </w:p>
        </w:tc>
        <w:tc>
          <w:tcPr>
            <w:tcW w:type="dxa" w:w="105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4</w:t>
            </w:r>
          </w:p>
        </w:tc>
        <w:tc>
          <w:tcPr>
            <w:tcW w:type="dxa" w:w="251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400–1,000</w:t>
            </w:r>
          </w:p>
        </w:tc>
      </w:tr>
      <w:tr>
        <w:trPr>
          <w:cantSplit/>
        </w:trPr>
        <w:tc>
          <w:tcPr>
            <w:tcW w:type="dxa" w:w="54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IMU (guru wrists; reused on student cuffs)</w:t>
            </w:r>
          </w:p>
        </w:tc>
        <w:tc>
          <w:tcPr>
            <w:tcW w:type="dxa" w:w="105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2</w:t>
            </w:r>
          </w:p>
        </w:tc>
        <w:tc>
          <w:tcPr>
            <w:tcW w:type="dxa" w:w="251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300</w:t>
            </w:r>
          </w:p>
        </w:tc>
      </w:tr>
      <w:tr>
        <w:trPr>
          <w:cantSplit/>
        </w:trPr>
        <w:tc>
          <w:tcPr>
            <w:tcW w:type="dxa" w:w="545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Piezo discs + conditioning</w:t>
            </w:r>
          </w:p>
        </w:tc>
        <w:tc>
          <w:tcPr>
            <w:tcW w:type="dxa" w:w="105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2 sets</w:t>
            </w:r>
          </w:p>
        </w:tc>
        <w:tc>
          <w:tcPr>
            <w:tcW w:type="dxa" w:w="251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150</w:t>
            </w:r>
          </w:p>
        </w:tc>
      </w:tr>
      <w:tr>
        <w:trPr>
          <w:cantSplit/>
        </w:trPr>
        <w:tc>
          <w:tcPr>
            <w:tcW w:type="dxa" w:w="54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I²S microphones (optional)</w:t>
            </w:r>
          </w:p>
        </w:tc>
        <w:tc>
          <w:tcPr>
            <w:tcW w:type="dxa" w:w="105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2</w:t>
            </w:r>
          </w:p>
        </w:tc>
        <w:tc>
          <w:tcPr>
            <w:tcW w:type="dxa" w:w="251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400–600</w:t>
            </w:r>
          </w:p>
        </w:tc>
      </w:tr>
      <w:tr>
        <w:trPr>
          <w:cantSplit/>
        </w:trPr>
        <w:tc>
          <w:tcPr>
            <w:tcW w:type="dxa" w:w="545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LiPo cells + charger/protection</w:t>
            </w:r>
          </w:p>
        </w:tc>
        <w:tc>
          <w:tcPr>
            <w:tcW w:type="dxa" w:w="105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3</w:t>
            </w:r>
          </w:p>
        </w:tc>
        <w:tc>
          <w:tcPr>
            <w:tcW w:type="dxa" w:w="251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800</w:t>
            </w:r>
          </w:p>
        </w:tc>
      </w:tr>
      <w:tr>
        <w:trPr>
          <w:cantSplit/>
        </w:trPr>
        <w:tc>
          <w:tcPr>
            <w:tcW w:type="dxa" w:w="54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Bands, printed pockets, OLED, wiring</w:t>
            </w:r>
          </w:p>
        </w:tc>
        <w:tc>
          <w:tcPr>
            <w:tcW w:type="dxa" w:w="105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w:t>
            </w:r>
          </w:p>
        </w:tc>
        <w:tc>
          <w:tcPr>
            <w:tcW w:type="dxa" w:w="251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1,000</w:t>
            </w:r>
          </w:p>
        </w:tc>
      </w:tr>
      <w:tr>
        <w:trPr>
          <w:cantSplit/>
        </w:trPr>
        <w:tc>
          <w:tcPr>
            <w:tcW w:type="dxa" w:w="5458"/>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Total (prototype)</w:t>
            </w:r>
          </w:p>
        </w:tc>
        <w:tc>
          <w:tcPr>
            <w:tcW w:type="dxa" w:w="1050"/>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p>
        </w:tc>
        <w:tc>
          <w:tcPr>
            <w:tcW w:type="dxa" w:w="2518"/>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 6,000–7,500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51"/>
        <w:gridCol w:w="1924"/>
        <w:gridCol w:w="3551"/>
      </w:tblGrid>
      <w:tr>
        <w:trPr>
          <w:cantSplit/>
          <w:tblHeader/>
        </w:trPr>
        <w:tc>
          <w:tcPr>
            <w:tcW w:type="dxa" w:w="355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Production cuff (custom PCB, ~1,000 units)</w:t>
            </w:r>
          </w:p>
        </w:tc>
        <w:tc>
          <w:tcPr>
            <w:tcW w:type="dxa" w:w="192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Unit cost</w:t>
            </w:r>
          </w:p>
        </w:tc>
        <w:tc>
          <w:tcPr>
            <w:tcW w:type="dxa" w:w="355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Basis</w:t>
            </w:r>
          </w:p>
        </w:tc>
      </w:tr>
      <w:tr>
        <w:trPr>
          <w:cantSplit/>
        </w:trPr>
        <w:tc>
          <w:tcPr>
            <w:tcW w:type="dxa" w:w="355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ESP32-C3-MINI-1 module</w:t>
            </w:r>
          </w:p>
        </w:tc>
        <w:tc>
          <w:tcPr>
            <w:tcW w:type="dxa" w:w="19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US$1.0–2.0</w:t>
            </w:r>
          </w:p>
        </w:tc>
        <w:tc>
          <w:tcPr>
            <w:tcW w:type="dxa" w:w="355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LCSC reference </w:t>
            </w:r>
            <w:r>
              <w:rPr>
                <w:rFonts w:ascii="Arial" w:cs="Arial" w:eastAsia="Arial" w:hAnsi="Arial"/>
                <w:b w:val="false"/>
                <w:bCs w:val="false"/>
                <w:color w:val="1F4E79"/>
                <w:sz w:val="16"/>
                <w:szCs w:val="16"/>
              </w:rPr>
              <w:t xml:space="preserve">[123]</w:t>
            </w:r>
          </w:p>
        </w:tc>
      </w:tr>
      <w:tr>
        <w:trPr>
          <w:cantSplit/>
        </w:trPr>
        <w:tc>
          <w:tcPr>
            <w:tcW w:type="dxa" w:w="355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2 × DRV2605L</w:t>
            </w:r>
          </w:p>
        </w:tc>
        <w:tc>
          <w:tcPr>
            <w:tcW w:type="dxa" w:w="19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US$1.5–2.9</w:t>
            </w:r>
          </w:p>
        </w:tc>
        <w:tc>
          <w:tcPr>
            <w:tcW w:type="dxa" w:w="355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LCSC reference </w:t>
            </w:r>
            <w:r>
              <w:rPr>
                <w:rFonts w:ascii="Arial" w:cs="Arial" w:eastAsia="Arial" w:hAnsi="Arial"/>
                <w:b w:val="false"/>
                <w:bCs w:val="false"/>
                <w:color w:val="1F4E79"/>
                <w:sz w:val="16"/>
                <w:szCs w:val="16"/>
              </w:rPr>
              <w:t xml:space="preserve">[123]</w:t>
            </w:r>
          </w:p>
        </w:tc>
      </w:tr>
      <w:tr>
        <w:trPr>
          <w:cantSplit/>
        </w:trPr>
        <w:tc>
          <w:tcPr>
            <w:tcW w:type="dxa" w:w="355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2 × LRA (8–10 mm)</w:t>
            </w:r>
          </w:p>
        </w:tc>
        <w:tc>
          <w:tcPr>
            <w:tcW w:type="dxa" w:w="19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US$3–10</w:t>
            </w:r>
          </w:p>
        </w:tc>
        <w:tc>
          <w:tcPr>
            <w:tcW w:type="dxa" w:w="355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US$5.15 at 1–9 units; volume lower </w:t>
            </w:r>
            <w:r>
              <w:rPr>
                <w:rFonts w:ascii="Arial" w:cs="Arial" w:eastAsia="Arial" w:hAnsi="Arial"/>
                <w:b w:val="false"/>
                <w:bCs w:val="false"/>
                <w:color w:val="1F4E79"/>
                <w:sz w:val="16"/>
                <w:szCs w:val="16"/>
              </w:rPr>
              <w:t xml:space="preserve">[123]</w:t>
            </w:r>
          </w:p>
        </w:tc>
      </w:tr>
      <w:tr>
        <w:trPr>
          <w:cantSplit/>
        </w:trPr>
        <w:tc>
          <w:tcPr>
            <w:tcW w:type="dxa" w:w="355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BMI270 IMU</w:t>
            </w:r>
          </w:p>
        </w:tc>
        <w:tc>
          <w:tcPr>
            <w:tcW w:type="dxa" w:w="19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US$1.3–5.6</w:t>
            </w:r>
          </w:p>
        </w:tc>
        <w:tc>
          <w:tcPr>
            <w:tcW w:type="dxa" w:w="355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LCSC reference </w:t>
            </w:r>
            <w:r>
              <w:rPr>
                <w:rFonts w:ascii="Arial" w:cs="Arial" w:eastAsia="Arial" w:hAnsi="Arial"/>
                <w:b w:val="false"/>
                <w:bCs w:val="false"/>
                <w:color w:val="1F4E79"/>
                <w:sz w:val="16"/>
                <w:szCs w:val="16"/>
              </w:rPr>
              <w:t xml:space="preserve">[123]</w:t>
            </w:r>
          </w:p>
        </w:tc>
      </w:tr>
      <w:tr>
        <w:trPr>
          <w:cantSplit/>
        </w:trPr>
        <w:tc>
          <w:tcPr>
            <w:tcW w:type="dxa" w:w="355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Charger, LDO, passives, 300 mAh LiPo</w:t>
            </w:r>
          </w:p>
        </w:tc>
        <w:tc>
          <w:tcPr>
            <w:tcW w:type="dxa" w:w="19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US$2</w:t>
            </w:r>
          </w:p>
        </w:tc>
        <w:tc>
          <w:tcPr>
            <w:tcW w:type="dxa" w:w="355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Estimate [Target]</w:t>
            </w:r>
          </w:p>
        </w:tc>
      </w:tr>
      <w:tr>
        <w:trPr>
          <w:cantSplit/>
        </w:trPr>
        <w:tc>
          <w:tcPr>
            <w:tcW w:type="dxa" w:w="355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PCB, assembly, strap, enclosure</w:t>
            </w:r>
          </w:p>
        </w:tc>
        <w:tc>
          <w:tcPr>
            <w:tcW w:type="dxa" w:w="19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US$4–5</w:t>
            </w:r>
          </w:p>
        </w:tc>
        <w:tc>
          <w:tcPr>
            <w:tcW w:type="dxa" w:w="355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Estimate [Target]</w:t>
            </w:r>
          </w:p>
        </w:tc>
      </w:tr>
      <w:tr>
        <w:trPr>
          <w:cantSplit/>
        </w:trPr>
        <w:tc>
          <w:tcPr>
            <w:tcW w:type="dxa" w:w="3551"/>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Cuff total</w:t>
            </w:r>
          </w:p>
        </w:tc>
        <w:tc>
          <w:tcPr>
            <w:tcW w:type="dxa" w:w="1924"/>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 US$13–28 (≈ ₹1,100–2,400)</w:t>
            </w:r>
          </w:p>
        </w:tc>
        <w:tc>
          <w:tcPr>
            <w:tcW w:type="dxa" w:w="3551"/>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System (2 cuffs + base unit ≈ ₹1,000) ≈ ₹3,000–5,600</w:t>
            </w:r>
          </w:p>
        </w:tc>
      </w:tr>
    </w:tbl>
    <w:p>
      <w:pPr>
        <w:spacing w:after="80"/>
      </w:pPr>
    </w:p>
    <w:p>
      <w:pPr>
        <w:pStyle w:val="ListParagraph"/>
        <w:numPr>
          <w:ilvl w:val="0"/>
          <w:numId w:val="2"/>
        </w:numPr>
        <w:spacing w:after="60" w:line="268"/>
      </w:pPr>
      <w:r>
        <w:rPr>
          <w:rFonts w:ascii="Arial" w:cs="Arial" w:eastAsia="Arial" w:hAnsi="Arial"/>
          <w:b/>
          <w:bCs/>
          <w:color w:val="222222"/>
          <w:sz w:val="20"/>
          <w:szCs w:val="20"/>
        </w:rPr>
        <w:t xml:space="preserve">On-device stroke classifier:</w:t>
      </w:r>
      <w:r>
        <w:rPr>
          <w:rFonts w:ascii="Arial" w:cs="Arial" w:eastAsia="Arial" w:hAnsi="Arial"/>
          <w:color w:val="222222"/>
          <w:sz w:val="20"/>
          <w:szCs w:val="20"/>
        </w:rPr>
        <w:t xml:space="preserve"> an INT8 CNN on the ESP32-S3 classifies each stroke into the four atomic classes used in tabla research (damped, resonant treble, resonant bass, both) </w:t>
      </w:r>
      <w:r>
        <w:rPr>
          <w:rFonts w:ascii="Arial" w:cs="Arial" w:eastAsia="Arial" w:hAnsi="Arial"/>
          <w:b w:val="false"/>
          <w:bCs w:val="false"/>
          <w:color w:val="1F4E79"/>
          <w:sz w:val="20"/>
          <w:szCs w:val="20"/>
        </w:rPr>
        <w:t xml:space="preserve">[49]</w:t>
      </w:r>
      <w:r>
        <w:rPr>
          <w:rFonts w:ascii="Arial" w:cs="Arial" w:eastAsia="Arial" w:hAnsi="Arial"/>
          <w:color w:val="222222"/>
          <w:sz w:val="20"/>
          <w:szCs w:val="20"/>
        </w:rPr>
        <w:t xml:space="preserve">, trained on the public four-way dataset </w:t>
      </w:r>
      <w:r>
        <w:rPr>
          <w:rFonts w:ascii="Arial" w:cs="Arial" w:eastAsia="Arial" w:hAnsi="Arial"/>
          <w:b w:val="false"/>
          <w:bCs w:val="false"/>
          <w:color w:val="1F4E79"/>
          <w:sz w:val="20"/>
          <w:szCs w:val="20"/>
        </w:rPr>
        <w:t xml:space="preserve">[48]</w:t>
      </w:r>
      <w:r>
        <w:rPr>
          <w:rFonts w:ascii="Arial" w:cs="Arial" w:eastAsia="Arial" w:hAnsi="Arial"/>
          <w:color w:val="222222"/>
          <w:sz w:val="20"/>
          <w:szCs w:val="20"/>
        </w:rPr>
        <w:t xml:space="preserve">. Keyword-spotting-scale models run in about 30–100 ms per second of audio on this chip </w:t>
      </w:r>
      <w:r>
        <w:rPr>
          <w:rFonts w:ascii="Arial" w:cs="Arial" w:eastAsia="Arial" w:hAnsi="Arial"/>
          <w:b w:val="false"/>
          <w:bCs w:val="false"/>
          <w:color w:val="1F4E79"/>
          <w:sz w:val="20"/>
          <w:szCs w:val="20"/>
        </w:rPr>
        <w:t xml:space="preserve">[121]</w:t>
      </w:r>
      <w:r>
        <w:rPr>
          <w:rFonts w:ascii="Arial" w:cs="Arial" w:eastAsia="Arial" w:hAnsi="Arial"/>
          <w:color w:val="222222"/>
          <w:sz w:val="20"/>
          <w:szCs w:val="20"/>
        </w:rPr>
        <w:t xml:space="preserve">; a 100 ms stroke window is far smaller. [Target]</w:t>
      </w:r>
    </w:p>
    <w:p>
      <w:pPr>
        <w:pStyle w:val="ListParagraph"/>
        <w:numPr>
          <w:ilvl w:val="0"/>
          <w:numId w:val="2"/>
        </w:numPr>
        <w:spacing w:after="60" w:line="268"/>
      </w:pPr>
      <w:r>
        <w:rPr>
          <w:rFonts w:ascii="Arial" w:cs="Arial" w:eastAsia="Arial" w:hAnsi="Arial"/>
          <w:b/>
          <w:bCs/>
          <w:color w:val="222222"/>
          <w:sz w:val="20"/>
          <w:szCs w:val="20"/>
        </w:rPr>
        <w:t xml:space="preserve">Clock sync:</w:t>
      </w:r>
      <w:r>
        <w:rPr>
          <w:rFonts w:ascii="Arial" w:cs="Arial" w:eastAsia="Arial" w:hAnsi="Arial"/>
          <w:color w:val="222222"/>
          <w:sz w:val="20"/>
          <w:szCs w:val="20"/>
        </w:rPr>
        <w:t xml:space="preserve"> two-way exchanges over ESP-NOW, with offset </w:t>
      </w:r>
      <w:r>
        <w:rPr>
          <w:rFonts w:ascii="Arial" w:cs="Arial" w:eastAsia="Arial" w:hAnsi="Arial"/>
          <w:b/>
          <w:bCs/>
          <w:color w:val="222222"/>
          <w:sz w:val="20"/>
          <w:szCs w:val="20"/>
        </w:rPr>
        <w:t xml:space="preserve">and skew</w:t>
      </w:r>
      <w:r>
        <w:rPr>
          <w:rFonts w:ascii="Arial" w:cs="Arial" w:eastAsia="Arial" w:hAnsi="Arial"/>
          <w:color w:val="222222"/>
          <w:sz w:val="20"/>
          <w:szCs w:val="20"/>
        </w:rPr>
        <w:t xml:space="preserve"> estimated by linear regression, as in the Flooding Time Synchronization Protocol (1.4 µs average error on motes) </w:t>
      </w:r>
      <w:r>
        <w:rPr>
          <w:rFonts w:ascii="Arial" w:cs="Arial" w:eastAsia="Arial" w:hAnsi="Arial"/>
          <w:b w:val="false"/>
          <w:bCs w:val="false"/>
          <w:color w:val="1F4E79"/>
          <w:sz w:val="20"/>
          <w:szCs w:val="20"/>
        </w:rPr>
        <w:t xml:space="preserve">[122]</w:t>
      </w:r>
      <w:r>
        <w:rPr>
          <w:rFonts w:ascii="Arial" w:cs="Arial" w:eastAsia="Arial" w:hAnsi="Arial"/>
          <w:color w:val="222222"/>
          <w:sz w:val="20"/>
          <w:szCs w:val="20"/>
        </w:rPr>
        <w:t xml:space="preserve">. Our target is ≤ 1 ms. [Target]</w:t>
      </w:r>
    </w:p>
    <w:p>
      <w:pPr>
        <w:pStyle w:val="ListParagraph"/>
        <w:numPr>
          <w:ilvl w:val="0"/>
          <w:numId w:val="2"/>
        </w:numPr>
        <w:spacing w:after="60" w:line="268"/>
      </w:pPr>
      <w:r>
        <w:rPr>
          <w:rFonts w:ascii="Arial" w:cs="Arial" w:eastAsia="Arial" w:hAnsi="Arial"/>
          <w:b/>
          <w:bCs/>
          <w:color w:val="222222"/>
          <w:sz w:val="20"/>
          <w:szCs w:val="20"/>
        </w:rPr>
        <w:t xml:space="preserve">Test rig:</w:t>
      </w:r>
      <w:r>
        <w:rPr>
          <w:rFonts w:ascii="Arial" w:cs="Arial" w:eastAsia="Arial" w:hAnsi="Arial"/>
          <w:color w:val="222222"/>
          <w:sz w:val="20"/>
          <w:szCs w:val="20"/>
        </w:rPr>
        <w:t xml:space="preserve"> an accelerometer glued beside each LRA, plus a piezo and a logic analyser, measures command-to-vibration latency, cue jitter and strike-to-cue delay (tests T5–T8).</w:t>
      </w:r>
    </w:p>
    <w:p>
      <w:pPr>
        <w:pStyle w:val="ListParagraph"/>
        <w:numPr>
          <w:ilvl w:val="0"/>
          <w:numId w:val="2"/>
        </w:numPr>
        <w:spacing w:after="60" w:line="268"/>
      </w:pPr>
      <w:r>
        <w:rPr>
          <w:rFonts w:ascii="Arial" w:cs="Arial" w:eastAsia="Arial" w:hAnsi="Arial"/>
          <w:b/>
          <w:bCs/>
          <w:color w:val="222222"/>
          <w:sz w:val="20"/>
          <w:szCs w:val="20"/>
        </w:rPr>
        <w:t xml:space="preserve">Practice pad:</w:t>
      </w:r>
      <w:r>
        <w:rPr>
          <w:rFonts w:ascii="Arial" w:cs="Arial" w:eastAsia="Arial" w:hAnsi="Arial"/>
          <w:color w:val="222222"/>
          <w:sz w:val="20"/>
          <w:szCs w:val="20"/>
        </w:rPr>
        <w:t xml:space="preserve"> a rubber pad with two piezo zones lets beginners start without a tabla; real tablas start at about ₹1,700 </w:t>
      </w:r>
      <w:r>
        <w:rPr>
          <w:rFonts w:ascii="Arial" w:cs="Arial" w:eastAsia="Arial" w:hAnsi="Arial"/>
          <w:b w:val="false"/>
          <w:bCs w:val="false"/>
          <w:color w:val="1F4E79"/>
          <w:sz w:val="20"/>
          <w:szCs w:val="20"/>
        </w:rPr>
        <w:t xml:space="preserve">[125]</w:t>
      </w:r>
      <w:r>
        <w:rPr>
          <w:rFonts w:ascii="Arial" w:cs="Arial" w:eastAsia="Arial" w:hAnsi="Arial"/>
          <w:color w:val="222222"/>
          <w:sz w:val="20"/>
          <w:szCs w:val="20"/>
        </w:rPr>
        <w:t xml:space="preserve">. Commercial electronic tablas cost £500–1,458 </w:t>
      </w:r>
      <w:r>
        <w:rPr>
          <w:rFonts w:ascii="Arial" w:cs="Arial" w:eastAsia="Arial" w:hAnsi="Arial"/>
          <w:b w:val="false"/>
          <w:bCs w:val="false"/>
          <w:color w:val="1F4E79"/>
          <w:sz w:val="20"/>
          <w:szCs w:val="20"/>
        </w:rPr>
        <w:t xml:space="preserve">[124]</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b/>
          <w:bCs/>
          <w:color w:val="222222"/>
          <w:sz w:val="20"/>
          <w:szCs w:val="20"/>
        </w:rPr>
        <w:t xml:space="preserve">Onset and cross-talk rules:</w:t>
      </w:r>
      <w:r>
        <w:rPr>
          <w:rFonts w:ascii="Arial" w:cs="Arial" w:eastAsia="Arial" w:hAnsi="Arial"/>
          <w:color w:val="222222"/>
          <w:sz w:val="20"/>
          <w:szCs w:val="20"/>
        </w:rPr>
        <w:t xml:space="preserve"> threshold θ = max(θ_min, μ + k·σ), k ≈ 6–8; refractory 40 ms; strikes on both drums within 10 ms count as one both-hands stroke. [Design choice]</w:t>
      </w:r>
    </w:p>
    <w:p>
      <w:pPr>
        <w:pStyle w:val="Heading1"/>
        <w:keepNext/>
        <w:spacing w:after="200" w:before="480"/>
      </w:pPr>
      <w:r>
        <w:rPr>
          <w:rFonts w:ascii="Arial" w:cs="Arial" w:eastAsia="Arial" w:hAnsi="Arial"/>
        </w:rPr>
        <w:t xml:space="preserve">6. Learning-science and perception foundation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095"/>
        <w:gridCol w:w="1160"/>
        <w:gridCol w:w="2966"/>
      </w:tblGrid>
      <w:tr>
        <w:trPr>
          <w:cantSplit/>
          <w:tblHeader/>
        </w:trPr>
        <w:tc>
          <w:tcPr>
            <w:tcW w:type="dxa" w:w="180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Principle</w:t>
            </w:r>
          </w:p>
        </w:tc>
        <w:tc>
          <w:tcPr>
            <w:tcW w:type="dxa" w:w="309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Key finding</w:t>
            </w:r>
          </w:p>
        </w:tc>
        <w:tc>
          <w:tcPr>
            <w:tcW w:type="dxa" w:w="116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Source</w:t>
            </w:r>
          </w:p>
        </w:tc>
        <w:tc>
          <w:tcPr>
            <w:tcW w:type="dxa" w:w="296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Design rule</w:t>
            </w:r>
          </w:p>
        </w:tc>
      </w:tr>
      <w:tr>
        <w:trPr>
          <w:cantSplit/>
        </w:trPr>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Performance is not learning</w:t>
            </w:r>
          </w:p>
        </w:tc>
        <w:tc>
          <w:tcPr>
            <w:tcW w:type="dxa" w:w="30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Learning shows as delayed retention and transfer</w:t>
            </w:r>
          </w:p>
        </w:tc>
        <w:tc>
          <w:tcPr>
            <w:tcW w:type="dxa" w:w="116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[20]</w:t>
            </w:r>
          </w:p>
        </w:tc>
        <w:tc>
          <w:tcPr>
            <w:tcW w:type="dxa" w:w="29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Primary outcome: unaided retention after 24 h</w:t>
            </w:r>
          </w:p>
        </w:tc>
      </w:tr>
      <w:tr>
        <w:trPr>
          <w:cantSplit/>
        </w:trPr>
        <w:tc>
          <w:tcPr>
            <w:tcW w:type="dxa" w:w="18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Guidance hypothesis</w:t>
            </w:r>
          </w:p>
        </w:tc>
        <w:tc>
          <w:tcPr>
            <w:tcW w:type="dxa" w:w="309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Frequent feedback helps practice, can hurt retention</w:t>
            </w:r>
          </w:p>
        </w:tc>
        <w:tc>
          <w:tcPr>
            <w:tcW w:type="dxa" w:w="116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[21]</w:t>
            </w:r>
          </w:p>
        </w:tc>
        <w:tc>
          <w:tcPr>
            <w:tcW w:type="dxa" w:w="29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Fade engine; probes</w:t>
            </w:r>
          </w:p>
        </w:tc>
      </w:tr>
      <w:tr>
        <w:trPr>
          <w:cantSplit/>
        </w:trPr>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Reduced feedback frequency</w:t>
            </w:r>
          </w:p>
        </w:tc>
        <w:tc>
          <w:tcPr>
            <w:tcW w:type="dxa" w:w="30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50% feedback beat 100% at retention</w:t>
            </w:r>
          </w:p>
        </w:tc>
        <w:tc>
          <w:tcPr>
            <w:tcW w:type="dxa" w:w="116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[22]</w:t>
            </w:r>
          </w:p>
        </w:tc>
        <w:tc>
          <w:tcPr>
            <w:tcW w:type="dxa" w:w="29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g &lt; 1 early; bandwidth cues</w:t>
            </w:r>
          </w:p>
        </w:tc>
      </w:tr>
      <w:tr>
        <w:trPr>
          <w:cantSplit/>
        </w:trPr>
        <w:tc>
          <w:tcPr>
            <w:tcW w:type="dxa" w:w="18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Challenge point</w:t>
            </w:r>
          </w:p>
        </w:tc>
        <w:tc>
          <w:tcPr>
            <w:tcW w:type="dxa" w:w="309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Best difficulty depends on skill</w:t>
            </w:r>
          </w:p>
        </w:tc>
        <w:tc>
          <w:tcPr>
            <w:tcW w:type="dxa" w:w="116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[23]</w:t>
            </w:r>
          </w:p>
        </w:tc>
        <w:tc>
          <w:tcPr>
            <w:tcW w:type="dxa" w:w="29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g tracks the gap to mastery</w:t>
            </w:r>
          </w:p>
        </w:tc>
      </w:tr>
      <w:tr>
        <w:trPr>
          <w:cantSplit/>
        </w:trPr>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Skill-dependent haptics</w:t>
            </w:r>
          </w:p>
        </w:tc>
        <w:tc>
          <w:tcPr>
            <w:tcW w:type="dxa" w:w="30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Novices gain from guidance, experts from error amplification</w:t>
            </w:r>
          </w:p>
        </w:tc>
        <w:tc>
          <w:tcPr>
            <w:tcW w:type="dxa" w:w="116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[29, 30]</w:t>
            </w:r>
          </w:p>
        </w:tc>
        <w:tc>
          <w:tcPr>
            <w:tcW w:type="dxa" w:w="29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Mode switch at ŝ ≥ 0.7</w:t>
            </w:r>
          </w:p>
        </w:tc>
      </w:tr>
      <w:tr>
        <w:trPr>
          <w:cantSplit/>
        </w:trPr>
        <w:tc>
          <w:tcPr>
            <w:tcW w:type="dxa" w:w="18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Haptics are double-edged</w:t>
            </w:r>
          </w:p>
        </w:tc>
        <w:tc>
          <w:tcPr>
            <w:tcW w:type="dxa" w:w="309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Information helps; passivity harms</w:t>
            </w:r>
          </w:p>
        </w:tc>
        <w:tc>
          <w:tcPr>
            <w:tcW w:type="dxa" w:w="116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[16, 28, 31]</w:t>
            </w:r>
          </w:p>
        </w:tc>
        <w:tc>
          <w:tcPr>
            <w:tcW w:type="dxa" w:w="29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Active striking; anticipatory, never forcing</w:t>
            </w:r>
          </w:p>
        </w:tc>
      </w:tr>
      <w:tr>
        <w:trPr>
          <w:cantSplit/>
        </w:trPr>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Haptics and timing structure</w:t>
            </w:r>
          </w:p>
        </w:tc>
        <w:tc>
          <w:tcPr>
            <w:tcW w:type="dxa" w:w="30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Haptic training dominated timing accuracy; vibrotactile cues halved piano timing error vs visual</w:t>
            </w:r>
          </w:p>
        </w:tc>
        <w:tc>
          <w:tcPr>
            <w:tcW w:type="dxa" w:w="116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[1, 3, 13]</w:t>
            </w:r>
          </w:p>
        </w:tc>
        <w:tc>
          <w:tcPr>
            <w:tcW w:type="dxa" w:w="29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Touch carries structure</w:t>
            </w:r>
          </w:p>
        </w:tc>
      </w:tr>
      <w:tr>
        <w:trPr>
          <w:cantSplit/>
        </w:trPr>
        <w:tc>
          <w:tcPr>
            <w:tcW w:type="dxa" w:w="18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Fine timing by ear</w:t>
            </w:r>
          </w:p>
        </w:tc>
        <w:tc>
          <w:tcPr>
            <w:tcW w:type="dxa" w:w="309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Auditory JND about 10 ms; tactile asynchrony 10–30 ms+</w:t>
            </w:r>
          </w:p>
        </w:tc>
        <w:tc>
          <w:tcPr>
            <w:tcW w:type="dxa" w:w="116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[110, 114]</w:t>
            </w:r>
          </w:p>
        </w:tc>
        <w:tc>
          <w:tcPr>
            <w:tcW w:type="dxa" w:w="29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Micro-timing taught by ear (Tier 3)</w:t>
            </w:r>
          </w:p>
        </w:tc>
      </w:tr>
      <w:tr>
        <w:trPr>
          <w:cantSplit/>
        </w:trPr>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Movement-related suppression</w:t>
            </w:r>
          </w:p>
        </w:tc>
        <w:tc>
          <w:tcPr>
            <w:tcW w:type="dxa" w:w="30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Touch dulled 25–45 ms before and during movement</w:t>
            </w:r>
          </w:p>
        </w:tc>
        <w:tc>
          <w:tcPr>
            <w:tcW w:type="dxa" w:w="116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[112, 113]</w:t>
            </w:r>
          </w:p>
        </w:tc>
        <w:tc>
          <w:tcPr>
            <w:tcW w:type="dxa" w:w="29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Cues end before the lift</w:t>
            </w:r>
          </w:p>
        </w:tc>
      </w:tr>
      <w:tr>
        <w:trPr>
          <w:cantSplit/>
        </w:trPr>
        <w:tc>
          <w:tcPr>
            <w:tcW w:type="dxa" w:w="18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Sensorimotor synchronisation</w:t>
            </w:r>
          </w:p>
        </w:tc>
        <w:tc>
          <w:tcPr>
            <w:tcW w:type="dxa" w:w="309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Negative mean asynchrony; clock vs motor noise</w:t>
            </w:r>
          </w:p>
        </w:tc>
        <w:tc>
          <w:tcPr>
            <w:tcW w:type="dxa" w:w="116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[34, 35, 36]</w:t>
            </w:r>
          </w:p>
        </w:tc>
        <w:tc>
          <w:tcPr>
            <w:tcW w:type="dxa" w:w="29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Bias-corrected scoring</w:t>
            </w:r>
          </w:p>
        </w:tc>
      </w:tr>
      <w:tr>
        <w:trPr>
          <w:cantSplit/>
        </w:trPr>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Contextual interference</w:t>
            </w:r>
          </w:p>
        </w:tc>
        <w:tc>
          <w:tcPr>
            <w:tcW w:type="dxa" w:w="30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Mixed practice beats blocked practice at retention</w:t>
            </w:r>
          </w:p>
        </w:tc>
        <w:tc>
          <w:tcPr>
            <w:tcW w:type="dxa" w:w="116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[24, 25]</w:t>
            </w:r>
          </w:p>
        </w:tc>
        <w:tc>
          <w:tcPr>
            <w:tcW w:type="dxa" w:w="29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Interleave phrases later</w:t>
            </w:r>
          </w:p>
        </w:tc>
      </w:tr>
      <w:tr>
        <w:trPr>
          <w:cantSplit/>
        </w:trPr>
        <w:tc>
          <w:tcPr>
            <w:tcW w:type="dxa" w:w="18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Power law of practice</w:t>
            </w:r>
          </w:p>
        </w:tc>
        <w:tc>
          <w:tcPr>
            <w:tcW w:type="dxa" w:w="309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Error falls as a power of practice</w:t>
            </w:r>
          </w:p>
        </w:tc>
        <w:tc>
          <w:tcPr>
            <w:tcW w:type="dxa" w:w="116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[26]</w:t>
            </w:r>
          </w:p>
        </w:tc>
        <w:tc>
          <w:tcPr>
            <w:tcW w:type="dxa" w:w="29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Per-learner curves</w:t>
            </w:r>
          </w:p>
        </w:tc>
      </w:tr>
      <w:tr>
        <w:trPr>
          <w:cantSplit/>
        </w:trPr>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Touch perception</w:t>
            </w:r>
          </w:p>
        </w:tc>
        <w:tc>
          <w:tcPr>
            <w:tcW w:type="dxa" w:w="309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Pacinian peak near 250 Hz; about 4 wrist sites</w:t>
            </w:r>
          </w:p>
        </w:tc>
        <w:tc>
          <w:tcPr>
            <w:tcW w:type="dxa" w:w="116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[37, 38, 39]</w:t>
            </w:r>
          </w:p>
        </w:tc>
        <w:tc>
          <w:tcPr>
            <w:tcW w:type="dxa" w:w="29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LRAs; four sites</w:t>
            </w:r>
          </w:p>
        </w:tc>
      </w:tr>
      <w:tr>
        <w:trPr>
          <w:cantSplit/>
        </w:trPr>
        <w:tc>
          <w:tcPr>
            <w:tcW w:type="dxa" w:w="18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Tactile rhythm is usable</w:t>
            </w:r>
          </w:p>
        </w:tc>
        <w:tc>
          <w:tcPr>
            <w:tcW w:type="dxa" w:w="309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Tactile synchronisation near auditory for simple rhythms</w:t>
            </w:r>
          </w:p>
        </w:tc>
        <w:tc>
          <w:tcPr>
            <w:tcW w:type="dxa" w:w="116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1F4E79"/>
                <w:sz w:val="15"/>
                <w:szCs w:val="15"/>
              </w:rPr>
              <w:t xml:space="preserve">[14, 15]</w:t>
            </w:r>
          </w:p>
        </w:tc>
        <w:tc>
          <w:tcPr>
            <w:tcW w:type="dxa" w:w="29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Touch adds a channel; sound stays on</w:t>
            </w:r>
          </w:p>
        </w:tc>
      </w:tr>
    </w:tbl>
    <w:p>
      <w:pPr>
        <w:spacing w:after="80"/>
      </w:pPr>
    </w:p>
    <w:p>
      <w:pPr>
        <w:pStyle w:val="Heading1"/>
        <w:keepNext/>
        <w:spacing w:after="200" w:before="480"/>
      </w:pPr>
      <w:r>
        <w:rPr>
          <w:rFonts w:ascii="Arial" w:cs="Arial" w:eastAsia="Arial" w:hAnsi="Arial"/>
        </w:rPr>
        <w:t xml:space="preserve">7. Simulations: fade controller and fingerprint planning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9B2C2C" w:sz="24"/>
              <w:bottom w:val="single" w:color="D9CFC0" w:sz="4"/>
              <w:right w:val="single" w:color="D9CFC0" w:sz="4"/>
            </w:tcBorders>
            <w:shd w:fill="FBEFEF" w:color="auto" w:val="clear"/>
            <w:tcMar>
              <w:top w:type="dxa" w:w="120"/>
              <w:left w:type="dxa" w:w="200"/>
              <w:bottom w:type="dxa" w:w="100"/>
              <w:right w:type="dxa" w:w="160"/>
            </w:tcMar>
          </w:tcPr>
          <w:p>
            <w:pPr>
              <w:spacing w:after="80"/>
            </w:pPr>
            <w:r>
              <w:rPr>
                <w:rFonts w:ascii="Arial" w:cs="Arial" w:eastAsia="Arial" w:hAnsi="Arial"/>
                <w:b/>
                <w:bCs/>
                <w:color w:val="9B2C2C"/>
                <w:sz w:val="21"/>
                <w:szCs w:val="21"/>
              </w:rPr>
              <w:t xml:space="preserve">What these are</w:t>
            </w:r>
          </w:p>
          <w:p>
            <w:pPr>
              <w:spacing w:after="70" w:line="266"/>
            </w:pPr>
            <w:r>
              <w:rPr>
                <w:rFonts w:ascii="Arial" w:cs="Arial" w:eastAsia="Arial" w:hAnsi="Arial"/>
                <w:color w:val="222222"/>
                <w:sz w:val="19"/>
                <w:szCs w:val="19"/>
              </w:rPr>
              <w:t xml:space="preserve">Controller checks and sample-size planning with </w:t>
            </w:r>
            <w:r>
              <w:rPr>
                <w:rFonts w:ascii="Arial" w:cs="Arial" w:eastAsia="Arial" w:hAnsi="Arial"/>
                <w:b/>
                <w:bCs/>
                <w:color w:val="222222"/>
                <w:sz w:val="19"/>
                <w:szCs w:val="19"/>
              </w:rPr>
              <w:t xml:space="preserve">assumed</w:t>
            </w:r>
            <w:r>
              <w:rPr>
                <w:rFonts w:ascii="Arial" w:cs="Arial" w:eastAsia="Arial" w:hAnsi="Arial"/>
                <w:color w:val="222222"/>
                <w:sz w:val="19"/>
                <w:szCs w:val="19"/>
              </w:rPr>
              <w:t xml:space="preserve"> models. They show how the design behaves and how much data to collect. </w:t>
            </w:r>
            <w:r>
              <w:rPr>
                <w:rFonts w:ascii="Arial" w:cs="Arial" w:eastAsia="Arial" w:hAnsi="Arial"/>
                <w:b/>
                <w:bCs/>
                <w:color w:val="222222"/>
                <w:sz w:val="19"/>
                <w:szCs w:val="19"/>
              </w:rPr>
              <w:t xml:space="preserve">They are not evidence that people learn.</w:t>
            </w:r>
          </w:p>
        </w:tc>
      </w:tr>
    </w:tbl>
    <w:p>
      <w:pPr>
        <w:spacing w:after="100"/>
      </w:pPr>
    </w:p>
    <w:p>
      <w:pPr>
        <w:pStyle w:val="Heading2"/>
        <w:keepNext/>
      </w:pPr>
      <w:r>
        <w:rPr>
          <w:rFonts w:ascii="Arial" w:cs="Arial" w:eastAsia="Arial" w:hAnsi="Arial"/>
        </w:rPr>
        <w:t xml:space="preserve">7.1 v1 simulation (ideal conditions)</w:t>
      </w:r>
    </w:p>
    <w:p>
      <w:pPr>
        <w:spacing w:after="120" w:before="0" w:line="276"/>
        <w:jc w:val="left"/>
      </w:pPr>
      <w:r>
        <w:rPr>
          <w:rFonts w:ascii="Arial" w:cs="Arial" w:eastAsia="Arial" w:hAnsi="Arial"/>
          <w:color w:val="222222"/>
          <w:sz w:val="20"/>
          <w:szCs w:val="20"/>
        </w:rPr>
        <w:t xml:space="preserve">500 learners, one 48-cycle session, three learner models (challenge point; fixed optimum; guidance hurts). Findings: always-on cues were never best; the original dossier constants never reached zero guidance (0 of 500 in every model); Fade Engine 2.0 roughly tied with a fixed linear fade (within ±0.02). Code: </w:t>
      </w:r>
      <w:r>
        <w:rPr>
          <w:rFonts w:ascii="Courier New" w:cs="Courier New" w:eastAsia="Courier New" w:hAnsi="Courier New"/>
          <w:color w:val="222222"/>
          <w:sz w:val="18"/>
          <w:szCs w:val="18"/>
        </w:rPr>
        <w:t xml:space="preserve">sim/fade_engine_sim.py</w:t>
      </w:r>
      <w:r>
        <w:rPr>
          <w:rFonts w:ascii="Arial" w:cs="Arial" w:eastAsia="Arial" w:hAnsi="Arial"/>
          <w:color w:val="222222"/>
          <w:sz w:val="20"/>
          <w:szCs w:val="20"/>
        </w:rPr>
        <w:t xml:space="preserve">.</w:t>
      </w:r>
    </w:p>
    <w:p>
      <w:pPr>
        <w:keepNext/>
        <w:spacing w:after="60" w:before="60"/>
        <w:jc w:val="center"/>
      </w:pPr>
      <w:r>
        <w:drawing>
          <wp:inline distT="0" distB="0" distL="0" distR="0">
            <wp:extent cx="5715000" cy="2343150"/>
            <wp:effectExtent t="0" r="0" b="0" l="0"/>
            <wp:docPr id="1" name="Figure 5. v1 simulat" descr="Figure 5. v1 simulation, model A: guidance and internal skill per cycle." title="Figure 5. v1 simulation, model A: gui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343150"/>
                    </a:xfrm>
                    <a:prstGeom prst="rect">
                      <a:avLst/>
                    </a:prstGeom>
                  </pic:spPr>
                </pic:pic>
              </a:graphicData>
            </a:graphic>
          </wp:inline>
        </w:drawing>
      </w:r>
    </w:p>
    <w:p>
      <w:pPr>
        <w:spacing w:after="180"/>
        <w:jc w:val="center"/>
      </w:pPr>
      <w:r>
        <w:rPr>
          <w:rFonts w:ascii="Arial" w:cs="Arial" w:eastAsia="Arial" w:hAnsi="Arial"/>
          <w:i/>
          <w:iCs/>
          <w:color w:val="5E5E5E"/>
          <w:sz w:val="17"/>
          <w:szCs w:val="17"/>
        </w:rPr>
        <w:t xml:space="preserve">Figure 5. v1 simulation, model A: guidance and internal skill per cycle.</w:t>
      </w:r>
    </w:p>
    <w:p>
      <w:pPr>
        <w:pStyle w:val="Heading2"/>
        <w:keepNext/>
      </w:pPr>
      <w:r>
        <w:rPr>
          <w:rFonts w:ascii="Arial" w:cs="Arial" w:eastAsia="Arial" w:hAnsi="Arial"/>
        </w:rPr>
        <w:t xml:space="preserve">7.2 v2 simulation (realistic conditions)</w:t>
      </w:r>
    </w:p>
    <w:p>
      <w:pPr>
        <w:pStyle w:val="ListParagraph"/>
        <w:numPr>
          <w:ilvl w:val="0"/>
          <w:numId w:val="2"/>
        </w:numPr>
        <w:spacing w:after="60" w:line="268"/>
      </w:pPr>
      <w:r>
        <w:rPr>
          <w:rFonts w:ascii="Arial" w:cs="Arial" w:eastAsia="Arial" w:hAnsi="Arial"/>
          <w:color w:val="222222"/>
          <w:sz w:val="20"/>
          <w:szCs w:val="20"/>
        </w:rPr>
        <w:t xml:space="preserve">1,000 learners; </w:t>
      </w:r>
      <w:r>
        <w:rPr>
          <w:rFonts w:ascii="Arial" w:cs="Arial" w:eastAsia="Arial" w:hAnsi="Arial"/>
          <w:b/>
          <w:bCs/>
          <w:color w:val="222222"/>
          <w:sz w:val="20"/>
          <w:szCs w:val="20"/>
        </w:rPr>
        <w:t xml:space="preserve">3 sessions of 16 cycles on different days</w:t>
      </w:r>
      <w:r>
        <w:rPr>
          <w:rFonts w:ascii="Arial" w:cs="Arial" w:eastAsia="Arial" w:hAnsi="Arial"/>
          <w:color w:val="222222"/>
          <w:sz w:val="20"/>
          <w:szCs w:val="20"/>
        </w:rPr>
        <w:t xml:space="preserve">, with overnight forgetting of 5–20% of the day's gain.</w:t>
      </w:r>
    </w:p>
    <w:p>
      <w:pPr>
        <w:pStyle w:val="ListParagraph"/>
        <w:numPr>
          <w:ilvl w:val="0"/>
          <w:numId w:val="2"/>
        </w:numPr>
        <w:spacing w:after="60" w:line="268"/>
      </w:pPr>
      <w:r>
        <w:rPr>
          <w:rFonts w:ascii="Arial" w:cs="Arial" w:eastAsia="Arial" w:hAnsi="Arial"/>
          <w:color w:val="222222"/>
          <w:sz w:val="20"/>
          <w:szCs w:val="20"/>
        </w:rPr>
        <w:t xml:space="preserve">Learning rates </w:t>
      </w:r>
      <w:r>
        <w:rPr>
          <w:rFonts w:ascii="Arial" w:cs="Arial" w:eastAsia="Arial" w:hAnsi="Arial"/>
          <w:b/>
          <w:bCs/>
          <w:color w:val="222222"/>
          <w:sz w:val="20"/>
          <w:szCs w:val="20"/>
        </w:rPr>
        <w:t xml:space="preserve">log-normal</w:t>
      </w:r>
      <w:r>
        <w:rPr>
          <w:rFonts w:ascii="Arial" w:cs="Arial" w:eastAsia="Arial" w:hAnsi="Arial"/>
          <w:color w:val="222222"/>
          <w:sz w:val="20"/>
          <w:szCs w:val="20"/>
        </w:rPr>
        <w:t xml:space="preserve"> (about 8× spread between slow and fast learners), instead of a narrow normal.</w:t>
      </w:r>
    </w:p>
    <w:p>
      <w:pPr>
        <w:pStyle w:val="ListParagraph"/>
        <w:numPr>
          <w:ilvl w:val="0"/>
          <w:numId w:val="2"/>
        </w:numPr>
        <w:spacing w:after="60" w:line="268"/>
      </w:pPr>
      <w:r>
        <w:rPr>
          <w:rFonts w:ascii="Arial" w:cs="Arial" w:eastAsia="Arial" w:hAnsi="Arial"/>
          <w:color w:val="222222"/>
          <w:sz w:val="20"/>
          <w:szCs w:val="20"/>
        </w:rPr>
        <w:t xml:space="preserve">Primary outcome: </w:t>
      </w:r>
      <w:r>
        <w:rPr>
          <w:rFonts w:ascii="Arial" w:cs="Arial" w:eastAsia="Arial" w:hAnsi="Arial"/>
          <w:b/>
          <w:bCs/>
          <w:color w:val="222222"/>
          <w:sz w:val="20"/>
          <w:szCs w:val="20"/>
        </w:rPr>
        <w:t xml:space="preserve">unaided retention on day 4</w:t>
      </w:r>
      <w:r>
        <w:rPr>
          <w:rFonts w:ascii="Arial" w:cs="Arial" w:eastAsia="Arial" w:hAnsi="Arial"/>
          <w:color w:val="222222"/>
          <w:sz w:val="20"/>
          <w:szCs w:val="20"/>
        </w:rPr>
        <w:t xml:space="preserve">, after one more night of forgetting, as in the pilot.</w:t>
      </w:r>
    </w:p>
    <w:p>
      <w:pPr>
        <w:pStyle w:val="ListParagraph"/>
        <w:numPr>
          <w:ilvl w:val="0"/>
          <w:numId w:val="2"/>
        </w:numPr>
        <w:spacing w:after="60" w:line="268"/>
      </w:pPr>
      <w:r>
        <w:rPr>
          <w:rFonts w:ascii="Arial" w:cs="Arial" w:eastAsia="Arial" w:hAnsi="Arial"/>
          <w:color w:val="222222"/>
          <w:sz w:val="20"/>
          <w:szCs w:val="20"/>
        </w:rPr>
        <w:t xml:space="preserve">Fade Engine 2.1 adds a probe at the start of every session. Code: </w:t>
      </w:r>
      <w:r>
        <w:rPr>
          <w:rFonts w:ascii="Courier New" w:cs="Courier New" w:eastAsia="Courier New" w:hAnsi="Courier New"/>
          <w:color w:val="222222"/>
          <w:sz w:val="18"/>
          <w:szCs w:val="18"/>
        </w:rPr>
        <w:t xml:space="preserve">sim/fade_engine_sim_v2.py</w:t>
      </w:r>
      <w:r>
        <w:rPr>
          <w:rFonts w:ascii="Arial" w:cs="Arial" w:eastAsia="Arial" w:hAnsi="Arial"/>
          <w:color w:val="222222"/>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805"/>
        <w:gridCol w:w="1805"/>
        <w:gridCol w:w="1806"/>
      </w:tblGrid>
      <w:tr>
        <w:trPr>
          <w:cantSplit/>
          <w:tblHeader/>
        </w:trPr>
        <w:tc>
          <w:tcPr>
            <w:tcW w:type="dxa" w:w="361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Day-4 unaided retention (mean)</w:t>
            </w:r>
          </w:p>
        </w:tc>
        <w:tc>
          <w:tcPr>
            <w:tcW w:type="dxa" w:w="180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Model A</w:t>
            </w:r>
          </w:p>
        </w:tc>
        <w:tc>
          <w:tcPr>
            <w:tcW w:type="dxa" w:w="180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Model B</w:t>
            </w:r>
          </w:p>
        </w:tc>
        <w:tc>
          <w:tcPr>
            <w:tcW w:type="dxa" w:w="180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Model C</w:t>
            </w:r>
          </w:p>
        </w:tc>
      </w:tr>
      <w:tr>
        <w:trPr>
          <w:cantSplit/>
        </w:trPr>
        <w:tc>
          <w:tcPr>
            <w:tcW w:type="dxa" w:w="361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Always-on cues</w:t>
            </w:r>
          </w:p>
        </w:tc>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0.479</w:t>
            </w:r>
          </w:p>
        </w:tc>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0.424</w:t>
            </w:r>
          </w:p>
        </w:tc>
        <w:tc>
          <w:tcPr>
            <w:tcW w:type="dxa" w:w="180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0.572</w:t>
            </w:r>
          </w:p>
        </w:tc>
      </w:tr>
      <w:tr>
        <w:trPr>
          <w:cantSplit/>
        </w:trPr>
        <w:tc>
          <w:tcPr>
            <w:tcW w:type="dxa" w:w="361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No cues (video-only proxy)</w:t>
            </w:r>
          </w:p>
        </w:tc>
        <w:tc>
          <w:tcPr>
            <w:tcW w:type="dxa" w:w="18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0.464</w:t>
            </w:r>
          </w:p>
        </w:tc>
        <w:tc>
          <w:tcPr>
            <w:tcW w:type="dxa" w:w="18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0.580</w:t>
            </w:r>
          </w:p>
        </w:tc>
        <w:tc>
          <w:tcPr>
            <w:tcW w:type="dxa" w:w="180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0.708</w:t>
            </w:r>
          </w:p>
        </w:tc>
      </w:tr>
      <w:tr>
        <w:trPr>
          <w:cantSplit/>
        </w:trPr>
        <w:tc>
          <w:tcPr>
            <w:tcW w:type="dxa" w:w="361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Fixed linear fade</w:t>
            </w:r>
          </w:p>
        </w:tc>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0.673</w:t>
            </w:r>
          </w:p>
        </w:tc>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0.630</w:t>
            </w:r>
          </w:p>
        </w:tc>
        <w:tc>
          <w:tcPr>
            <w:tcW w:type="dxa" w:w="180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0.676</w:t>
            </w:r>
          </w:p>
        </w:tc>
      </w:tr>
      <w:tr>
        <w:trPr>
          <w:cantSplit/>
        </w:trPr>
        <w:tc>
          <w:tcPr>
            <w:tcW w:type="dxa" w:w="361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Fade Engine 2.0</w:t>
            </w:r>
          </w:p>
        </w:tc>
        <w:tc>
          <w:tcPr>
            <w:tcW w:type="dxa" w:w="18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0.681</w:t>
            </w:r>
          </w:p>
        </w:tc>
        <w:tc>
          <w:tcPr>
            <w:tcW w:type="dxa" w:w="18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0.637</w:t>
            </w:r>
          </w:p>
        </w:tc>
        <w:tc>
          <w:tcPr>
            <w:tcW w:type="dxa" w:w="180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0.663</w:t>
            </w:r>
          </w:p>
        </w:tc>
      </w:tr>
      <w:tr>
        <w:trPr>
          <w:cantSplit/>
        </w:trPr>
        <w:tc>
          <w:tcPr>
            <w:tcW w:type="dxa" w:w="361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Fade Engine 2.1</w:t>
            </w:r>
          </w:p>
        </w:tc>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0.688</w:t>
            </w:r>
          </w:p>
        </w:tc>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0.645</w:t>
            </w:r>
          </w:p>
        </w:tc>
        <w:tc>
          <w:tcPr>
            <w:tcW w:type="dxa" w:w="180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0.676</w:t>
            </w:r>
          </w:p>
        </w:tc>
      </w:tr>
      <w:tr>
        <w:trPr>
          <w:cantSplit/>
        </w:trPr>
        <w:tc>
          <w:tcPr>
            <w:tcW w:type="dxa" w:w="361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2.1 minus linear fade (95% bootstrap CI)</w:t>
            </w:r>
          </w:p>
        </w:tc>
        <w:tc>
          <w:tcPr>
            <w:tcW w:type="dxa" w:w="18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+0.015 (0.013–0.017)</w:t>
            </w:r>
          </w:p>
        </w:tc>
        <w:tc>
          <w:tcPr>
            <w:tcW w:type="dxa" w:w="18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+0.016 (0.013–0.018)</w:t>
            </w:r>
          </w:p>
        </w:tc>
        <w:tc>
          <w:tcPr>
            <w:tcW w:type="dxa" w:w="180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+0.001 (−0.001–0.003)</w:t>
            </w:r>
          </w:p>
        </w:tc>
      </w:tr>
      <w:tr>
        <w:trPr>
          <w:cantSplit/>
        </w:trPr>
        <w:tc>
          <w:tcPr>
            <w:tcW w:type="dxa" w:w="361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Learners better off with 2.1</w:t>
            </w:r>
          </w:p>
        </w:tc>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66.8%</w:t>
            </w:r>
          </w:p>
        </w:tc>
        <w:tc>
          <w:tcPr>
            <w:tcW w:type="dxa" w:w="18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66.2%</w:t>
            </w:r>
          </w:p>
        </w:tc>
        <w:tc>
          <w:tcPr>
            <w:tcW w:type="dxa" w:w="180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51.0%</w:t>
            </w:r>
          </w:p>
        </w:tc>
      </w:tr>
      <w:tr>
        <w:trPr>
          <w:cantSplit/>
        </w:trPr>
        <w:tc>
          <w:tcPr>
            <w:tcW w:type="dxa" w:w="361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Slow third of learners: linear → 2.1</w:t>
            </w:r>
          </w:p>
        </w:tc>
        <w:tc>
          <w:tcPr>
            <w:tcW w:type="dxa" w:w="18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0.466 → 0.496</w:t>
            </w:r>
          </w:p>
        </w:tc>
        <w:tc>
          <w:tcPr>
            <w:tcW w:type="dxa" w:w="18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0.446 → 0.452</w:t>
            </w:r>
          </w:p>
        </w:tc>
        <w:tc>
          <w:tcPr>
            <w:tcW w:type="dxa" w:w="180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0.491 → 0.479</w:t>
            </w:r>
          </w:p>
        </w:tc>
      </w:tr>
    </w:tbl>
    <w:p>
      <w:pPr>
        <w:spacing w:after="80"/>
      </w:pPr>
    </w:p>
    <w:p>
      <w:pPr>
        <w:pStyle w:val="Heading3"/>
        <w:keepNext/>
      </w:pPr>
      <w:r>
        <w:rPr>
          <w:rFonts w:ascii="Arial" w:cs="Arial" w:eastAsia="Arial" w:hAnsi="Arial"/>
        </w:rPr>
        <w:t xml:space="preserve">What we learned</w:t>
      </w:r>
    </w:p>
    <w:p>
      <w:pPr>
        <w:pStyle w:val="ListParagraph"/>
        <w:numPr>
          <w:ilvl w:val="0"/>
          <w:numId w:val="4"/>
        </w:numPr>
        <w:spacing w:after="60" w:line="268"/>
      </w:pPr>
      <w:r>
        <w:rPr>
          <w:rFonts w:ascii="Arial" w:cs="Arial" w:eastAsia="Arial" w:hAnsi="Arial"/>
          <w:b/>
          <w:bCs/>
          <w:color w:val="222222"/>
          <w:sz w:val="20"/>
          <w:szCs w:val="20"/>
        </w:rPr>
        <w:t xml:space="preserve">Always-on cues are poor in every model</w:t>
      </w:r>
      <w:r>
        <w:rPr>
          <w:rFonts w:ascii="Arial" w:cs="Arial" w:eastAsia="Arial" w:hAnsi="Arial"/>
          <w:color w:val="222222"/>
          <w:sz w:val="20"/>
          <w:szCs w:val="20"/>
        </w:rPr>
        <w:t xml:space="preserve">, as the guidance hypothesis predicts.</w:t>
      </w:r>
    </w:p>
    <w:p>
      <w:pPr>
        <w:pStyle w:val="ListParagraph"/>
        <w:numPr>
          <w:ilvl w:val="0"/>
          <w:numId w:val="4"/>
        </w:numPr>
        <w:spacing w:after="60" w:line="268"/>
      </w:pPr>
      <w:r>
        <w:rPr>
          <w:rFonts w:ascii="Arial" w:cs="Arial" w:eastAsia="Arial" w:hAnsi="Arial"/>
          <w:b/>
          <w:bCs/>
          <w:color w:val="222222"/>
          <w:sz w:val="20"/>
          <w:szCs w:val="20"/>
        </w:rPr>
        <w:t xml:space="preserve">Under realistic conditions Fade Engine 2.1 gives a small but consistent advantage</w:t>
      </w:r>
      <w:r>
        <w:rPr>
          <w:rFonts w:ascii="Arial" w:cs="Arial" w:eastAsia="Arial" w:hAnsi="Arial"/>
          <w:color w:val="222222"/>
          <w:sz w:val="20"/>
          <w:szCs w:val="20"/>
        </w:rPr>
        <w:t xml:space="preserve"> over a fixed fade in two models and ties in the third. The gain is concentrated in slow learners in model A (+0.030), exactly where a one-size schedule fades too early.</w:t>
      </w:r>
    </w:p>
    <w:p>
      <w:pPr>
        <w:pStyle w:val="ListParagraph"/>
        <w:numPr>
          <w:ilvl w:val="0"/>
          <w:numId w:val="4"/>
        </w:numPr>
        <w:spacing w:after="60" w:line="268"/>
      </w:pPr>
      <w:r>
        <w:rPr>
          <w:rFonts w:ascii="Arial" w:cs="Arial" w:eastAsia="Arial" w:hAnsi="Arial"/>
          <w:b/>
          <w:bCs/>
          <w:color w:val="222222"/>
          <w:sz w:val="20"/>
          <w:szCs w:val="20"/>
        </w:rPr>
        <w:t xml:space="preserve">The effect is small and assumption-bound.</w:t>
      </w:r>
      <w:r>
        <w:rPr>
          <w:rFonts w:ascii="Arial" w:cs="Arial" w:eastAsia="Arial" w:hAnsi="Arial"/>
          <w:color w:val="222222"/>
          <w:sz w:val="20"/>
          <w:szCs w:val="20"/>
        </w:rPr>
        <w:t xml:space="preserve"> We therefore claim </w:t>
      </w:r>
      <w:r>
        <w:rPr>
          <w:rFonts w:ascii="Arial" w:cs="Arial" w:eastAsia="Arial" w:hAnsi="Arial"/>
          <w:i/>
          <w:iCs/>
          <w:color w:val="222222"/>
          <w:sz w:val="20"/>
          <w:szCs w:val="20"/>
        </w:rPr>
        <w:t xml:space="preserve">probe-gated mastery</w:t>
      </w:r>
      <w:r>
        <w:rPr>
          <w:rFonts w:ascii="Arial" w:cs="Arial" w:eastAsia="Arial" w:hAnsi="Arial"/>
          <w:color w:val="222222"/>
          <w:sz w:val="20"/>
          <w:szCs w:val="20"/>
        </w:rPr>
        <w:t xml:space="preserve">, and the Stage B trial keeps a fixed-fade arm to test adaptivity on people.</w:t>
      </w:r>
    </w:p>
    <w:p>
      <w:pPr>
        <w:pStyle w:val="ListParagraph"/>
        <w:numPr>
          <w:ilvl w:val="0"/>
          <w:numId w:val="4"/>
        </w:numPr>
        <w:spacing w:after="60" w:line="268"/>
      </w:pPr>
      <w:r>
        <w:rPr>
          <w:rFonts w:ascii="Arial" w:cs="Arial" w:eastAsia="Arial" w:hAnsi="Arial"/>
          <w:color w:val="222222"/>
          <w:sz w:val="20"/>
          <w:szCs w:val="20"/>
        </w:rPr>
        <w:t xml:space="preserve">In model C (guidance only hurts) no cues is best, by construction. If the trial looks like model C, PARAMPARA's value shifts to measurement, the fingerprint and the archive. That is why E1 matters.</w:t>
      </w:r>
    </w:p>
    <w:p>
      <w:pPr>
        <w:pStyle w:val="Heading2"/>
        <w:keepNext/>
      </w:pPr>
      <w:r>
        <w:rPr>
          <w:rFonts w:ascii="Arial" w:cs="Arial" w:eastAsia="Arial" w:hAnsi="Arial"/>
        </w:rPr>
        <w:t xml:space="preserve">7.3 Fingerprint planning</w:t>
      </w:r>
    </w:p>
    <w:p>
      <w:pPr>
        <w:spacing w:after="120" w:before="0" w:line="276"/>
        <w:jc w:val="left"/>
      </w:pPr>
      <w:r>
        <w:rPr>
          <w:rFonts w:ascii="Arial" w:cs="Arial" w:eastAsia="Arial" w:hAnsi="Arial"/>
          <w:color w:val="222222"/>
          <w:sz w:val="20"/>
          <w:szCs w:val="20"/>
        </w:rPr>
        <w:t xml:space="preserve">Section 4.3 and Figure 1: with 3 players and assumed cycle-to-cycle noise of 15 ms and 1.5 dB, 20 cycles per player identify players at about 80% accuracy if their profiles differ by about 6 ms and 0.6 dB per matra, about 96% at 10 ms, and about 52% at 3 ms (still above the 33% chance level). Code: </w:t>
      </w:r>
      <w:r>
        <w:rPr>
          <w:rFonts w:ascii="Courier New" w:cs="Courier New" w:eastAsia="Courier New" w:hAnsi="Courier New"/>
          <w:color w:val="222222"/>
          <w:sz w:val="18"/>
          <w:szCs w:val="18"/>
        </w:rPr>
        <w:t xml:space="preserve">sim/fingerprint.py power</w:t>
      </w:r>
      <w:r>
        <w:rPr>
          <w:rFonts w:ascii="Arial" w:cs="Arial" w:eastAsia="Arial" w:hAnsi="Arial"/>
          <w:color w:val="222222"/>
          <w:sz w:val="20"/>
          <w:szCs w:val="20"/>
        </w:rPr>
        <w:t xml:space="preserve">; self-test: </w:t>
      </w:r>
      <w:r>
        <w:rPr>
          <w:rFonts w:ascii="Courier New" w:cs="Courier New" w:eastAsia="Courier New" w:hAnsi="Courier New"/>
          <w:color w:val="222222"/>
          <w:sz w:val="18"/>
          <w:szCs w:val="18"/>
        </w:rPr>
        <w:t xml:space="preserve">sim/fingerprint.py selftest</w:t>
      </w:r>
      <w:r>
        <w:rPr>
          <w:rFonts w:ascii="Arial" w:cs="Arial" w:eastAsia="Arial" w:hAnsi="Arial"/>
          <w:color w:val="222222"/>
          <w:sz w:val="20"/>
          <w:szCs w:val="20"/>
        </w:rPr>
        <w:t xml:space="preserve">.</w:t>
      </w:r>
    </w:p>
    <w:p>
      <w:pPr>
        <w:pStyle w:val="Heading1"/>
        <w:keepNext/>
        <w:pageBreakBefore/>
        <w:spacing w:after="200" w:before="0"/>
      </w:pPr>
      <w:r>
        <w:rPr>
          <w:rFonts w:ascii="Arial" w:cs="Arial" w:eastAsia="Arial" w:hAnsi="Arial"/>
        </w:rPr>
        <w:t xml:space="preserve">8. Innovation: where exactly we innovate</w:t>
      </w:r>
    </w:p>
    <w:p>
      <w:pPr>
        <w:spacing w:after="120" w:before="0" w:line="276"/>
        <w:jc w:val="left"/>
      </w:pPr>
      <w:r>
        <w:rPr>
          <w:rFonts w:ascii="Arial" w:cs="Arial" w:eastAsia="Arial" w:hAnsi="Arial"/>
          <w:color w:val="222222"/>
          <w:sz w:val="20"/>
          <w:szCs w:val="20"/>
        </w:rPr>
        <w:t xml:space="preserve">We claim no new component physics. Our innovations are at the </w:t>
      </w:r>
      <w:r>
        <w:rPr>
          <w:rFonts w:ascii="Arial" w:cs="Arial" w:eastAsia="Arial" w:hAnsi="Arial"/>
          <w:b/>
          <w:bCs/>
          <w:color w:val="222222"/>
          <w:sz w:val="20"/>
          <w:szCs w:val="20"/>
        </w:rPr>
        <w:t xml:space="preserve">system</w:t>
      </w:r>
      <w:r>
        <w:rPr>
          <w:rFonts w:ascii="Arial" w:cs="Arial" w:eastAsia="Arial" w:hAnsi="Arial"/>
          <w:color w:val="222222"/>
          <w:sz w:val="20"/>
          <w:szCs w:val="20"/>
        </w:rPr>
        <w:t xml:space="preserve"> and </w:t>
      </w:r>
      <w:r>
        <w:rPr>
          <w:rFonts w:ascii="Arial" w:cs="Arial" w:eastAsia="Arial" w:hAnsi="Arial"/>
          <w:b/>
          <w:bCs/>
          <w:color w:val="222222"/>
          <w:sz w:val="20"/>
          <w:szCs w:val="20"/>
        </w:rPr>
        <w:t xml:space="preserve">context</w:t>
      </w:r>
      <w:r>
        <w:rPr>
          <w:rFonts w:ascii="Arial" w:cs="Arial" w:eastAsia="Arial" w:hAnsi="Arial"/>
          <w:color w:val="222222"/>
          <w:sz w:val="20"/>
          <w:szCs w:val="20"/>
        </w:rPr>
        <w:t xml:space="preserve"> levels, and each one is specific enough for a judge to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
        <w:gridCol w:w="1610"/>
        <w:gridCol w:w="2415"/>
        <w:gridCol w:w="2185"/>
        <w:gridCol w:w="2414"/>
      </w:tblGrid>
      <w:tr>
        <w:trPr>
          <w:cantSplit/>
          <w:tblHeader/>
        </w:trPr>
        <w:tc>
          <w:tcPr>
            <w:tcW w:type="dxa" w:w="40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w:t>
            </w:r>
          </w:p>
        </w:tc>
        <w:tc>
          <w:tcPr>
            <w:tcW w:type="dxa" w:w="161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Innovation</w:t>
            </w:r>
          </w:p>
        </w:tc>
        <w:tc>
          <w:tcPr>
            <w:tcW w:type="dxa" w:w="241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What it is</w:t>
            </w:r>
          </w:p>
        </w:tc>
        <w:tc>
          <w:tcPr>
            <w:tcW w:type="dxa" w:w="218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Closest prior art</w:t>
            </w:r>
          </w:p>
        </w:tc>
        <w:tc>
          <w:tcPr>
            <w:tcW w:type="dxa" w:w="241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Our difference</w:t>
            </w:r>
          </w:p>
        </w:tc>
      </w:tr>
      <w:tr>
        <w:trPr>
          <w:cantSplit/>
        </w:trPr>
        <w:tc>
          <w:tcPr>
            <w:tcW w:type="dxa" w:w="40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I1</w:t>
            </w:r>
          </w:p>
        </w:tc>
        <w:tc>
          <w:tcPr>
            <w:tcW w:type="dxa" w:w="161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Gharana Fingerprint from the instrument</w:t>
            </w:r>
          </w:p>
        </w:tc>
        <w:tc>
          <w:tcPr>
            <w:tcW w:type="dxa" w:w="24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Per-matra micro-timing, accent contour, stroke sequence and arm preparation of one master, from piezo + wrist IMU, with no glove</w:t>
            </w:r>
          </w:p>
        </w:tc>
        <w:tc>
          <w:tcPr>
            <w:tcW w:type="dxa" w:w="21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Gharana recognition from audio </w:t>
            </w:r>
            <w:r>
              <w:rPr>
                <w:rFonts w:ascii="Arial" w:cs="Arial" w:eastAsia="Arial" w:hAnsi="Arial"/>
                <w:b w:val="false"/>
                <w:bCs w:val="false"/>
                <w:color w:val="1F4E79"/>
                <w:sz w:val="15"/>
                <w:szCs w:val="15"/>
              </w:rPr>
              <w:t xml:space="preserve">[104]</w:t>
            </w:r>
            <w:r>
              <w:rPr>
                <w:rFonts w:ascii="Arial" w:cs="Arial" w:eastAsia="Arial" w:hAnsi="Arial"/>
                <w:color w:val="222222"/>
                <w:sz w:val="15"/>
                <w:szCs w:val="15"/>
              </w:rPr>
              <w:t xml:space="preserve">; tabla stroke CNNs </w:t>
            </w:r>
            <w:r>
              <w:rPr>
                <w:rFonts w:ascii="Arial" w:cs="Arial" w:eastAsia="Arial" w:hAnsi="Arial"/>
                <w:b w:val="false"/>
                <w:bCs w:val="false"/>
                <w:color w:val="1F4E79"/>
                <w:sz w:val="15"/>
                <w:szCs w:val="15"/>
              </w:rPr>
              <w:t xml:space="preserve">[49]</w:t>
            </w:r>
            <w:r>
              <w:rPr>
                <w:rFonts w:ascii="Arial" w:cs="Arial" w:eastAsia="Arial" w:hAnsi="Arial"/>
                <w:color w:val="222222"/>
                <w:sz w:val="15"/>
                <w:szCs w:val="15"/>
              </w:rPr>
              <w:t xml:space="preserve">; drummer fingerprints </w:t>
            </w:r>
            <w:r>
              <w:rPr>
                <w:rFonts w:ascii="Arial" w:cs="Arial" w:eastAsia="Arial" w:hAnsi="Arial"/>
                <w:b w:val="false"/>
                <w:bCs w:val="false"/>
                <w:color w:val="1F4E79"/>
                <w:sz w:val="15"/>
                <w:szCs w:val="15"/>
              </w:rPr>
              <w:t xml:space="preserve">[107]</w:t>
            </w:r>
          </w:p>
        </w:tc>
        <w:tc>
          <w:tcPr>
            <w:tcW w:type="dxa" w:w="24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Recognition becomes a </w:t>
            </w:r>
            <w:r>
              <w:rPr>
                <w:rFonts w:ascii="Arial" w:cs="Arial" w:eastAsia="Arial" w:hAnsi="Arial"/>
                <w:b/>
                <w:bCs/>
                <w:color w:val="222222"/>
                <w:sz w:val="15"/>
                <w:szCs w:val="15"/>
              </w:rPr>
              <w:t xml:space="preserve">teachable, consented reference</w:t>
            </w:r>
            <w:r>
              <w:rPr>
                <w:rFonts w:ascii="Arial" w:cs="Arial" w:eastAsia="Arial" w:hAnsi="Arial"/>
                <w:color w:val="222222"/>
                <w:sz w:val="15"/>
                <w:szCs w:val="15"/>
              </w:rPr>
              <w:t xml:space="preserve"> of a specific master, measured on the instrument itself</w:t>
            </w:r>
          </w:p>
        </w:tc>
      </w:tr>
      <w:tr>
        <w:trPr>
          <w:cantSplit/>
        </w:trPr>
        <w:tc>
          <w:tcPr>
            <w:tcW w:type="dxa" w:w="40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I2</w:t>
            </w:r>
          </w:p>
        </w:tc>
        <w:tc>
          <w:tcPr>
            <w:tcW w:type="dxa" w:w="161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Perception-driven multisensory curriculum</w:t>
            </w:r>
          </w:p>
        </w:tc>
        <w:tc>
          <w:tcPr>
            <w:tcW w:type="dxa" w:w="241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Three tiers; touch for structure, hearing for micro-timing, vision for movement; tolerance tightens by tier; Tier 3 scores style similarity</w:t>
            </w:r>
          </w:p>
        </w:tc>
        <w:tc>
          <w:tcPr>
            <w:tcW w:type="dxa" w:w="21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Haptic drum teaching </w:t>
            </w:r>
            <w:r>
              <w:rPr>
                <w:rFonts w:ascii="Arial" w:cs="Arial" w:eastAsia="Arial" w:hAnsi="Arial"/>
                <w:b w:val="false"/>
                <w:bCs w:val="false"/>
                <w:color w:val="1F4E79"/>
                <w:sz w:val="15"/>
                <w:szCs w:val="15"/>
              </w:rPr>
              <w:t xml:space="preserve">[4, 9]</w:t>
            </w:r>
            <w:r>
              <w:rPr>
                <w:rFonts w:ascii="Arial" w:cs="Arial" w:eastAsia="Arial" w:hAnsi="Arial"/>
                <w:color w:val="222222"/>
                <w:sz w:val="15"/>
                <w:szCs w:val="15"/>
              </w:rPr>
              <w:t xml:space="preserve">; multimodal feedback review </w:t>
            </w:r>
            <w:r>
              <w:rPr>
                <w:rFonts w:ascii="Arial" w:cs="Arial" w:eastAsia="Arial" w:hAnsi="Arial"/>
                <w:b w:val="false"/>
                <w:bCs w:val="false"/>
                <w:color w:val="1F4E79"/>
                <w:sz w:val="15"/>
                <w:szCs w:val="15"/>
              </w:rPr>
              <w:t xml:space="preserve">[16]</w:t>
            </w:r>
          </w:p>
        </w:tc>
        <w:tc>
          <w:tcPr>
            <w:tcW w:type="dxa" w:w="241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Channel allocation derived from measured perceptual limits </w:t>
            </w:r>
            <w:r>
              <w:rPr>
                <w:rFonts w:ascii="Arial" w:cs="Arial" w:eastAsia="Arial" w:hAnsi="Arial"/>
                <w:b w:val="false"/>
                <w:bCs w:val="false"/>
                <w:color w:val="1F4E79"/>
                <w:sz w:val="15"/>
                <w:szCs w:val="15"/>
              </w:rPr>
              <w:t xml:space="preserve">[110, 114]</w:t>
            </w:r>
          </w:p>
        </w:tc>
      </w:tr>
      <w:tr>
        <w:trPr>
          <w:cantSplit/>
        </w:trPr>
        <w:tc>
          <w:tcPr>
            <w:tcW w:type="dxa" w:w="40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I3</w:t>
            </w:r>
          </w:p>
        </w:tc>
        <w:tc>
          <w:tcPr>
            <w:tcW w:type="dxa" w:w="161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Movement-aware anticipatory tactons</w:t>
            </w:r>
          </w:p>
        </w:tc>
        <w:tc>
          <w:tcPr>
            <w:tcW w:type="dxa" w:w="24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Cues end before the student's measured preparatory lift, outside the suppression window, at ≥ 3× threshold</w:t>
            </w:r>
          </w:p>
        </w:tc>
        <w:tc>
          <w:tcPr>
            <w:tcW w:type="dxa" w:w="21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Wearable metronomes cue on the beat </w:t>
            </w:r>
            <w:r>
              <w:rPr>
                <w:rFonts w:ascii="Arial" w:cs="Arial" w:eastAsia="Arial" w:hAnsi="Arial"/>
                <w:b w:val="false"/>
                <w:bCs w:val="false"/>
                <w:color w:val="1F4E79"/>
                <w:sz w:val="15"/>
                <w:szCs w:val="15"/>
              </w:rPr>
              <w:t xml:space="preserve">[18]</w:t>
            </w:r>
          </w:p>
        </w:tc>
        <w:tc>
          <w:tcPr>
            <w:tcW w:type="dxa" w:w="24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Uses movement-related tactile suppression research </w:t>
            </w:r>
            <w:r>
              <w:rPr>
                <w:rFonts w:ascii="Arial" w:cs="Arial" w:eastAsia="Arial" w:hAnsi="Arial"/>
                <w:b w:val="false"/>
                <w:bCs w:val="false"/>
                <w:color w:val="1F4E79"/>
                <w:sz w:val="15"/>
                <w:szCs w:val="15"/>
              </w:rPr>
              <w:t xml:space="preserve">[112, 113]</w:t>
            </w:r>
            <w:r>
              <w:rPr>
                <w:rFonts w:ascii="Arial" w:cs="Arial" w:eastAsia="Arial" w:hAnsi="Arial"/>
                <w:color w:val="222222"/>
                <w:sz w:val="15"/>
                <w:szCs w:val="15"/>
              </w:rPr>
              <w:t xml:space="preserve"> to schedule cues</w:t>
            </w:r>
          </w:p>
        </w:tc>
      </w:tr>
      <w:tr>
        <w:trPr>
          <w:cantSplit/>
        </w:trPr>
        <w:tc>
          <w:tcPr>
            <w:tcW w:type="dxa" w:w="40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I4</w:t>
            </w:r>
          </w:p>
        </w:tc>
        <w:tc>
          <w:tcPr>
            <w:tcW w:type="dxa" w:w="161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Probe-gated mastery (Fade Engine 2.1)</w:t>
            </w:r>
          </w:p>
        </w:tc>
        <w:tc>
          <w:tcPr>
            <w:tcW w:type="dxa" w:w="241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Session-start and periodic unaided probes drive guidance; skill-aware switch to error-only cues; guru approval gate</w:t>
            </w:r>
          </w:p>
        </w:tc>
        <w:tc>
          <w:tcPr>
            <w:tcW w:type="dxa" w:w="21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Lab feedback-schedule studies </w:t>
            </w:r>
            <w:r>
              <w:rPr>
                <w:rFonts w:ascii="Arial" w:cs="Arial" w:eastAsia="Arial" w:hAnsi="Arial"/>
                <w:b w:val="false"/>
                <w:bCs w:val="false"/>
                <w:color w:val="1F4E79"/>
                <w:sz w:val="15"/>
                <w:szCs w:val="15"/>
              </w:rPr>
              <w:t xml:space="preserve">[22, 30]</w:t>
            </w:r>
          </w:p>
        </w:tc>
        <w:tc>
          <w:tcPr>
            <w:tcW w:type="dxa" w:w="241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Embedded in a product loop; realistic simulation shows a small, consistent gain over a fixed fade</w:t>
            </w:r>
          </w:p>
        </w:tc>
      </w:tr>
      <w:tr>
        <w:trPr>
          <w:cantSplit/>
        </w:trPr>
        <w:tc>
          <w:tcPr>
            <w:tcW w:type="dxa" w:w="40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I5</w:t>
            </w:r>
          </w:p>
        </w:tc>
        <w:tc>
          <w:tcPr>
            <w:tcW w:type="dxa" w:w="161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Guru-first consent and credit</w:t>
            </w:r>
          </w:p>
        </w:tc>
        <w:tc>
          <w:tcPr>
            <w:tcW w:type="dxa" w:w="24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Passkey fingerprint signing; spoken consent in the guru's language; CARE and TK-label governance; archive-ready provenance</w:t>
            </w:r>
          </w:p>
        </w:tc>
        <w:tc>
          <w:tcPr>
            <w:tcW w:type="dxa" w:w="21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C2PA for media </w:t>
            </w:r>
            <w:r>
              <w:rPr>
                <w:rFonts w:ascii="Arial" w:cs="Arial" w:eastAsia="Arial" w:hAnsi="Arial"/>
                <w:b w:val="false"/>
                <w:bCs w:val="false"/>
                <w:color w:val="1F4E79"/>
                <w:sz w:val="15"/>
                <w:szCs w:val="15"/>
              </w:rPr>
              <w:t xml:space="preserve">[93]</w:t>
            </w:r>
            <w:r>
              <w:rPr>
                <w:rFonts w:ascii="Arial" w:cs="Arial" w:eastAsia="Arial" w:hAnsi="Arial"/>
                <w:color w:val="222222"/>
                <w:sz w:val="15"/>
                <w:szCs w:val="15"/>
              </w:rPr>
              <w:t xml:space="preserve">; TK Labels </w:t>
            </w:r>
            <w:r>
              <w:rPr>
                <w:rFonts w:ascii="Arial" w:cs="Arial" w:eastAsia="Arial" w:hAnsi="Arial"/>
                <w:b w:val="false"/>
                <w:bCs w:val="false"/>
                <w:color w:val="1F4E79"/>
                <w:sz w:val="15"/>
                <w:szCs w:val="15"/>
              </w:rPr>
              <w:t xml:space="preserve">[117]</w:t>
            </w:r>
            <w:r>
              <w:rPr>
                <w:rFonts w:ascii="Arial" w:cs="Arial" w:eastAsia="Arial" w:hAnsi="Arial"/>
                <w:color w:val="222222"/>
                <w:sz w:val="15"/>
                <w:szCs w:val="15"/>
              </w:rPr>
              <w:t xml:space="preserve">; TKDL </w:t>
            </w:r>
            <w:r>
              <w:rPr>
                <w:rFonts w:ascii="Arial" w:cs="Arial" w:eastAsia="Arial" w:hAnsi="Arial"/>
                <w:b w:val="false"/>
                <w:bCs w:val="false"/>
                <w:color w:val="1F4E79"/>
                <w:sz w:val="15"/>
                <w:szCs w:val="15"/>
              </w:rPr>
              <w:t xml:space="preserve">[80]</w:t>
            </w:r>
          </w:p>
        </w:tc>
        <w:tc>
          <w:tcPr>
            <w:tcW w:type="dxa" w:w="24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Applied to embodied performance data, with guru–shishya branching rules</w:t>
            </w:r>
          </w:p>
        </w:tc>
      </w:tr>
      <w:tr>
        <w:trPr>
          <w:cantSplit/>
        </w:trPr>
        <w:tc>
          <w:tcPr>
            <w:tcW w:type="dxa" w:w="40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I6</w:t>
            </w:r>
          </w:p>
        </w:tc>
        <w:tc>
          <w:tcPr>
            <w:tcW w:type="dxa" w:w="161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'Feel the gharanas' showcase</w:t>
            </w:r>
          </w:p>
        </w:tc>
        <w:tc>
          <w:tcPr>
            <w:tcW w:type="dxa" w:w="241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Public kiosk: feel and hear three masters' theka, see their fingerprints, guess which is which</w:t>
            </w:r>
          </w:p>
        </w:tc>
        <w:tc>
          <w:tcPr>
            <w:tcW w:type="dxa" w:w="21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Static museum audio; Tabla Touch electronic tabla </w:t>
            </w:r>
            <w:r>
              <w:rPr>
                <w:rFonts w:ascii="Arial" w:cs="Arial" w:eastAsia="Arial" w:hAnsi="Arial"/>
                <w:b w:val="false"/>
                <w:bCs w:val="false"/>
                <w:color w:val="1F4E79"/>
                <w:sz w:val="15"/>
                <w:szCs w:val="15"/>
              </w:rPr>
              <w:t xml:space="preserve">[124]</w:t>
            </w:r>
          </w:p>
        </w:tc>
        <w:tc>
          <w:tcPr>
            <w:tcW w:type="dxa" w:w="241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Turns style into an experience and a measurable discrimination test</w:t>
            </w:r>
          </w:p>
        </w:tc>
      </w:tr>
      <w:tr>
        <w:trPr>
          <w:cantSplit/>
        </w:trPr>
        <w:tc>
          <w:tcPr>
            <w:tcW w:type="dxa" w:w="40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I7</w:t>
            </w:r>
          </w:p>
        </w:tc>
        <w:tc>
          <w:tcPr>
            <w:tcW w:type="dxa" w:w="161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One stack, many traditions</w:t>
            </w:r>
          </w:p>
        </w:tc>
        <w:tc>
          <w:tcPr>
            <w:tcW w:type="dxa" w:w="24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Sense → fingerprint → multisensory faded teaching → consented lineage</w:t>
            </w:r>
          </w:p>
        </w:tc>
        <w:tc>
          <w:tcPr>
            <w:tcW w:type="dxa" w:w="21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i-Treasures and Mingei captured crafts and dance </w:t>
            </w:r>
            <w:r>
              <w:rPr>
                <w:rFonts w:ascii="Arial" w:cs="Arial" w:eastAsia="Arial" w:hAnsi="Arial"/>
                <w:b w:val="false"/>
                <w:bCs w:val="false"/>
                <w:color w:val="1F4E79"/>
                <w:sz w:val="15"/>
                <w:szCs w:val="15"/>
              </w:rPr>
              <w:t xml:space="preserve">[60, 61, 62]</w:t>
            </w:r>
          </w:p>
        </w:tc>
        <w:tc>
          <w:tcPr>
            <w:tcW w:type="dxa" w:w="24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 deployable, low-cost transmission stack, not only analysis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7A1F1F" w:sz="24"/>
              <w:bottom w:val="single" w:color="D9CFC0" w:sz="4"/>
              <w:right w:val="single" w:color="D9CFC0" w:sz="4"/>
            </w:tcBorders>
            <w:shd w:fill="FBF6EC" w:color="auto" w:val="clear"/>
            <w:tcMar>
              <w:top w:type="dxa" w:w="120"/>
              <w:left w:type="dxa" w:w="200"/>
              <w:bottom w:type="dxa" w:w="100"/>
              <w:right w:type="dxa" w:w="160"/>
            </w:tcMar>
          </w:tcPr>
          <w:p>
            <w:pPr>
              <w:spacing w:after="80"/>
            </w:pPr>
            <w:r>
              <w:rPr>
                <w:rFonts w:ascii="Arial" w:cs="Arial" w:eastAsia="Arial" w:hAnsi="Arial"/>
                <w:b/>
                <w:bCs/>
                <w:color w:val="7A1F1F"/>
                <w:sz w:val="21"/>
                <w:szCs w:val="21"/>
              </w:rPr>
              <w:t xml:space="preserve">The innovation in one sentence</w:t>
            </w:r>
          </w:p>
          <w:p>
            <w:pPr>
              <w:spacing w:after="70" w:line="266"/>
            </w:pPr>
            <w:r>
              <w:rPr>
                <w:rFonts w:ascii="Arial" w:cs="Arial" w:eastAsia="Arial" w:hAnsi="Arial"/>
                <w:b/>
                <w:bCs/>
                <w:color w:val="222222"/>
                <w:sz w:val="19"/>
                <w:szCs w:val="19"/>
              </w:rPr>
              <w:t xml:space="preserve">PARAMPARA measures a master's rhythmic fingerprint, teaches it through the senses best suited to each part, deliberately withdraws its help, and keeps the master's consent and credit attached to every byte.</w:t>
            </w:r>
          </w:p>
        </w:tc>
      </w:tr>
    </w:tbl>
    <w:p>
      <w:pPr>
        <w:spacing w:after="100"/>
      </w:pPr>
    </w:p>
    <w:p>
      <w:pPr>
        <w:pStyle w:val="Heading1"/>
        <w:keepNext/>
        <w:spacing w:after="200" w:before="480"/>
      </w:pPr>
      <w:r>
        <w:rPr>
          <w:rFonts w:ascii="Arial" w:cs="Arial" w:eastAsia="Arial" w:hAnsi="Arial"/>
        </w:rPr>
        <w:t xml:space="preserve">9. Novelty: evidence and prior-art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61"/>
        <w:gridCol w:w="671"/>
        <w:gridCol w:w="1037"/>
        <w:gridCol w:w="976"/>
        <w:gridCol w:w="915"/>
        <w:gridCol w:w="976"/>
        <w:gridCol w:w="976"/>
        <w:gridCol w:w="914"/>
      </w:tblGrid>
      <w:tr>
        <w:trPr>
          <w:cantSplit/>
          <w:tblHeader/>
        </w:trPr>
        <w:tc>
          <w:tcPr>
            <w:tcW w:type="dxa" w:w="256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4"/>
                <w:szCs w:val="14"/>
              </w:rPr>
              <w:t xml:space="preserve">Work</w:t>
            </w:r>
          </w:p>
        </w:tc>
        <w:tc>
          <w:tcPr>
            <w:tcW w:type="dxa" w:w="67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4"/>
                <w:szCs w:val="14"/>
              </w:rPr>
              <w:t xml:space="preserve">Year</w:t>
            </w:r>
          </w:p>
        </w:tc>
        <w:tc>
          <w:tcPr>
            <w:tcW w:type="dxa" w:w="103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4"/>
                <w:szCs w:val="14"/>
              </w:rPr>
              <w:t xml:space="preserve">Measures a master's style</w:t>
            </w:r>
          </w:p>
        </w:tc>
        <w:tc>
          <w:tcPr>
            <w:tcW w:type="dxa" w:w="97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4"/>
                <w:szCs w:val="14"/>
              </w:rPr>
              <w:t xml:space="preserve">Haptic to learner</w:t>
            </w:r>
          </w:p>
        </w:tc>
        <w:tc>
          <w:tcPr>
            <w:tcW w:type="dxa" w:w="91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4"/>
                <w:szCs w:val="14"/>
              </w:rPr>
              <w:t xml:space="preserve">Fades guidance</w:t>
            </w:r>
          </w:p>
        </w:tc>
        <w:tc>
          <w:tcPr>
            <w:tcW w:type="dxa" w:w="97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4"/>
                <w:szCs w:val="14"/>
              </w:rPr>
              <w:t xml:space="preserve">Unaided retention</w:t>
            </w:r>
          </w:p>
        </w:tc>
        <w:tc>
          <w:tcPr>
            <w:tcW w:type="dxa" w:w="97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4"/>
                <w:szCs w:val="14"/>
              </w:rPr>
              <w:t xml:space="preserve">Signed + consent</w:t>
            </w:r>
          </w:p>
        </w:tc>
        <w:tc>
          <w:tcPr>
            <w:tcW w:type="dxa" w:w="91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4"/>
                <w:szCs w:val="14"/>
              </w:rPr>
              <w:t xml:space="preserve">Indian tradition</w:t>
            </w:r>
          </w:p>
        </w:tc>
      </w:tr>
      <w:tr>
        <w:trPr>
          <w:cantSplit/>
        </w:trPr>
        <w:tc>
          <w:tcPr>
            <w:tcW w:type="dxa" w:w="256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Electronic Tabla Controller </w:t>
            </w:r>
            <w:r>
              <w:rPr>
                <w:rFonts w:ascii="Arial" w:cs="Arial" w:eastAsia="Arial" w:hAnsi="Arial"/>
                <w:b w:val="false"/>
                <w:bCs w:val="false"/>
                <w:color w:val="1F4E79"/>
                <w:sz w:val="14"/>
                <w:szCs w:val="14"/>
              </w:rPr>
              <w:t xml:space="preserve">[45]</w:t>
            </w:r>
          </w:p>
        </w:tc>
        <w:tc>
          <w:tcPr>
            <w:tcW w:type="dxa" w:w="6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2002</w:t>
            </w:r>
          </w:p>
        </w:tc>
        <w:tc>
          <w:tcPr>
            <w:tcW w:type="dxa" w:w="103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Yes</w:t>
            </w:r>
          </w:p>
        </w:tc>
      </w:tr>
      <w:tr>
        <w:trPr>
          <w:cantSplit/>
        </w:trPr>
        <w:tc>
          <w:tcPr>
            <w:tcW w:type="dxa" w:w="256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TablaNet </w:t>
            </w:r>
            <w:r>
              <w:rPr>
                <w:rFonts w:ascii="Arial" w:cs="Arial" w:eastAsia="Arial" w:hAnsi="Arial"/>
                <w:b w:val="false"/>
                <w:bCs w:val="false"/>
                <w:color w:val="1F4E79"/>
                <w:sz w:val="14"/>
                <w:szCs w:val="14"/>
              </w:rPr>
              <w:t xml:space="preserve">[46]</w:t>
            </w:r>
          </w:p>
        </w:tc>
        <w:tc>
          <w:tcPr>
            <w:tcW w:type="dxa" w:w="6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2007</w:t>
            </w:r>
          </w:p>
        </w:tc>
        <w:tc>
          <w:tcPr>
            <w:tcW w:type="dxa" w:w="103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Part (recognition)</w:t>
            </w:r>
          </w:p>
        </w:tc>
        <w:tc>
          <w:tcPr>
            <w:tcW w:type="dxa" w:w="9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1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1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Yes</w:t>
            </w:r>
          </w:p>
        </w:tc>
      </w:tr>
      <w:tr>
        <w:trPr>
          <w:cantSplit/>
        </w:trPr>
        <w:tc>
          <w:tcPr>
            <w:tcW w:type="dxa" w:w="256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Electronic tabla (Pardue et al.) </w:t>
            </w:r>
            <w:r>
              <w:rPr>
                <w:rFonts w:ascii="Arial" w:cs="Arial" w:eastAsia="Arial" w:hAnsi="Arial"/>
                <w:b w:val="false"/>
                <w:bCs w:val="false"/>
                <w:color w:val="1F4E79"/>
                <w:sz w:val="14"/>
                <w:szCs w:val="14"/>
              </w:rPr>
              <w:t xml:space="preserve">[47]</w:t>
            </w:r>
          </w:p>
        </w:tc>
        <w:tc>
          <w:tcPr>
            <w:tcW w:type="dxa" w:w="6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2020</w:t>
            </w:r>
          </w:p>
        </w:tc>
        <w:tc>
          <w:tcPr>
            <w:tcW w:type="dxa" w:w="103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Yes</w:t>
            </w:r>
          </w:p>
        </w:tc>
      </w:tr>
      <w:tr>
        <w:trPr>
          <w:cantSplit/>
        </w:trPr>
        <w:tc>
          <w:tcPr>
            <w:tcW w:type="dxa" w:w="256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Tabla gharana recognition </w:t>
            </w:r>
            <w:r>
              <w:rPr>
                <w:rFonts w:ascii="Arial" w:cs="Arial" w:eastAsia="Arial" w:hAnsi="Arial"/>
                <w:b w:val="false"/>
                <w:bCs w:val="false"/>
                <w:color w:val="1F4E79"/>
                <w:sz w:val="14"/>
                <w:szCs w:val="14"/>
              </w:rPr>
              <w:t xml:space="preserve">[104]</w:t>
            </w:r>
          </w:p>
        </w:tc>
        <w:tc>
          <w:tcPr>
            <w:tcW w:type="dxa" w:w="6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2021</w:t>
            </w:r>
          </w:p>
        </w:tc>
        <w:tc>
          <w:tcPr>
            <w:tcW w:type="dxa" w:w="103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Yes (gharana)</w:t>
            </w:r>
          </w:p>
        </w:tc>
        <w:tc>
          <w:tcPr>
            <w:tcW w:type="dxa" w:w="9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1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1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Yes</w:t>
            </w:r>
          </w:p>
        </w:tc>
      </w:tr>
      <w:tr>
        <w:trPr>
          <w:cantSplit/>
        </w:trPr>
        <w:tc>
          <w:tcPr>
            <w:tcW w:type="dxa" w:w="256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Tabla stroke CNN </w:t>
            </w:r>
            <w:r>
              <w:rPr>
                <w:rFonts w:ascii="Arial" w:cs="Arial" w:eastAsia="Arial" w:hAnsi="Arial"/>
                <w:b w:val="false"/>
                <w:bCs w:val="false"/>
                <w:color w:val="1F4E79"/>
                <w:sz w:val="14"/>
                <w:szCs w:val="14"/>
              </w:rPr>
              <w:t xml:space="preserve">[48, 49]</w:t>
            </w:r>
          </w:p>
        </w:tc>
        <w:tc>
          <w:tcPr>
            <w:tcW w:type="dxa" w:w="6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2021–23</w:t>
            </w:r>
          </w:p>
        </w:tc>
        <w:tc>
          <w:tcPr>
            <w:tcW w:type="dxa" w:w="103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Part</w:t>
            </w:r>
          </w:p>
        </w:tc>
        <w:tc>
          <w:tcPr>
            <w:tcW w:type="dxa" w:w="9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Yes</w:t>
            </w:r>
          </w:p>
        </w:tc>
      </w:tr>
      <w:tr>
        <w:trPr>
          <w:cantSplit/>
        </w:trPr>
        <w:tc>
          <w:tcPr>
            <w:tcW w:type="dxa" w:w="256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Tabla Touch </w:t>
            </w:r>
            <w:r>
              <w:rPr>
                <w:rFonts w:ascii="Arial" w:cs="Arial" w:eastAsia="Arial" w:hAnsi="Arial"/>
                <w:b w:val="false"/>
                <w:bCs w:val="false"/>
                <w:color w:val="1F4E79"/>
                <w:sz w:val="14"/>
                <w:szCs w:val="14"/>
              </w:rPr>
              <w:t xml:space="preserve">[124]</w:t>
            </w:r>
          </w:p>
        </w:tc>
        <w:tc>
          <w:tcPr>
            <w:tcW w:type="dxa" w:w="6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recent</w:t>
            </w:r>
          </w:p>
        </w:tc>
        <w:tc>
          <w:tcPr>
            <w:tcW w:type="dxa" w:w="103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1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1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Yes</w:t>
            </w:r>
          </w:p>
        </w:tc>
      </w:tr>
      <w:tr>
        <w:trPr>
          <w:cantSplit/>
        </w:trPr>
        <w:tc>
          <w:tcPr>
            <w:tcW w:type="dxa" w:w="256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Multi-modal Indian percussion tutor (poster) </w:t>
            </w:r>
            <w:r>
              <w:rPr>
                <w:rFonts w:ascii="Arial" w:cs="Arial" w:eastAsia="Arial" w:hAnsi="Arial"/>
                <w:b w:val="false"/>
                <w:bCs w:val="false"/>
                <w:color w:val="1F4E79"/>
                <w:sz w:val="14"/>
                <w:szCs w:val="14"/>
              </w:rPr>
              <w:t xml:space="preserve">[126]</w:t>
            </w:r>
          </w:p>
        </w:tc>
        <w:tc>
          <w:tcPr>
            <w:tcW w:type="dxa" w:w="6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2026</w:t>
            </w:r>
          </w:p>
        </w:tc>
        <w:tc>
          <w:tcPr>
            <w:tcW w:type="dxa" w:w="103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Part (senses learner)</w:t>
            </w:r>
          </w:p>
        </w:tc>
        <w:tc>
          <w:tcPr>
            <w:tcW w:type="dxa" w:w="9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Yes</w:t>
            </w:r>
          </w:p>
        </w:tc>
      </w:tr>
      <w:tr>
        <w:trPr>
          <w:cantSplit/>
        </w:trPr>
        <w:tc>
          <w:tcPr>
            <w:tcW w:type="dxa" w:w="256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Layika glove </w:t>
            </w:r>
            <w:r>
              <w:rPr>
                <w:rFonts w:ascii="Arial" w:cs="Arial" w:eastAsia="Arial" w:hAnsi="Arial"/>
                <w:b w:val="false"/>
                <w:bCs w:val="false"/>
                <w:color w:val="1F4E79"/>
                <w:sz w:val="14"/>
                <w:szCs w:val="14"/>
              </w:rPr>
              <w:t xml:space="preserve">[50]</w:t>
            </w:r>
          </w:p>
        </w:tc>
        <w:tc>
          <w:tcPr>
            <w:tcW w:type="dxa" w:w="6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2026</w:t>
            </w:r>
          </w:p>
        </w:tc>
        <w:tc>
          <w:tcPr>
            <w:tcW w:type="dxa" w:w="103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1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1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Yes</w:t>
            </w:r>
          </w:p>
        </w:tc>
      </w:tr>
      <w:tr>
        <w:trPr>
          <w:cantSplit/>
        </w:trPr>
        <w:tc>
          <w:tcPr>
            <w:tcW w:type="dxa" w:w="256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Haptic Drum Kit </w:t>
            </w:r>
            <w:r>
              <w:rPr>
                <w:rFonts w:ascii="Arial" w:cs="Arial" w:eastAsia="Arial" w:hAnsi="Arial"/>
                <w:b w:val="false"/>
                <w:bCs w:val="false"/>
                <w:color w:val="1F4E79"/>
                <w:sz w:val="14"/>
                <w:szCs w:val="14"/>
              </w:rPr>
              <w:t xml:space="preserve">[4]</w:t>
            </w:r>
          </w:p>
        </w:tc>
        <w:tc>
          <w:tcPr>
            <w:tcW w:type="dxa" w:w="6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2010</w:t>
            </w:r>
          </w:p>
        </w:tc>
        <w:tc>
          <w:tcPr>
            <w:tcW w:type="dxa" w:w="103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Yes</w:t>
            </w:r>
          </w:p>
        </w:tc>
        <w:tc>
          <w:tcPr>
            <w:tcW w:type="dxa" w:w="9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Part</w:t>
            </w:r>
          </w:p>
        </w:tc>
        <w:tc>
          <w:tcPr>
            <w:tcW w:type="dxa" w:w="9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r>
      <w:tr>
        <w:trPr>
          <w:cantSplit/>
        </w:trPr>
        <w:tc>
          <w:tcPr>
            <w:tcW w:type="dxa" w:w="256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Haptic Bracelets </w:t>
            </w:r>
            <w:r>
              <w:rPr>
                <w:rFonts w:ascii="Arial" w:cs="Arial" w:eastAsia="Arial" w:hAnsi="Arial"/>
                <w:b w:val="false"/>
                <w:bCs w:val="false"/>
                <w:color w:val="1F4E79"/>
                <w:sz w:val="14"/>
                <w:szCs w:val="14"/>
              </w:rPr>
              <w:t xml:space="preserve">[5, 6]</w:t>
            </w:r>
          </w:p>
        </w:tc>
        <w:tc>
          <w:tcPr>
            <w:tcW w:type="dxa" w:w="6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2013–18</w:t>
            </w:r>
          </w:p>
        </w:tc>
        <w:tc>
          <w:tcPr>
            <w:tcW w:type="dxa" w:w="103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Part (live)</w:t>
            </w:r>
          </w:p>
        </w:tc>
        <w:tc>
          <w:tcPr>
            <w:tcW w:type="dxa" w:w="9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Yes</w:t>
            </w:r>
          </w:p>
        </w:tc>
        <w:tc>
          <w:tcPr>
            <w:tcW w:type="dxa" w:w="91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Part</w:t>
            </w:r>
          </w:p>
        </w:tc>
        <w:tc>
          <w:tcPr>
            <w:tcW w:type="dxa" w:w="9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1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r>
      <w:tr>
        <w:trPr>
          <w:cantSplit/>
        </w:trPr>
        <w:tc>
          <w:tcPr>
            <w:tcW w:type="dxa" w:w="256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MusicJacket </w:t>
            </w:r>
            <w:r>
              <w:rPr>
                <w:rFonts w:ascii="Arial" w:cs="Arial" w:eastAsia="Arial" w:hAnsi="Arial"/>
                <w:b w:val="false"/>
                <w:bCs w:val="false"/>
                <w:color w:val="1F4E79"/>
                <w:sz w:val="14"/>
                <w:szCs w:val="14"/>
              </w:rPr>
              <w:t xml:space="preserve">[7]</w:t>
            </w:r>
          </w:p>
        </w:tc>
        <w:tc>
          <w:tcPr>
            <w:tcW w:type="dxa" w:w="6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2011</w:t>
            </w:r>
          </w:p>
        </w:tc>
        <w:tc>
          <w:tcPr>
            <w:tcW w:type="dxa" w:w="103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Yes</w:t>
            </w:r>
          </w:p>
        </w:tc>
        <w:tc>
          <w:tcPr>
            <w:tcW w:type="dxa" w:w="9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Part</w:t>
            </w:r>
          </w:p>
        </w:tc>
        <w:tc>
          <w:tcPr>
            <w:tcW w:type="dxa" w:w="9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r>
      <w:tr>
        <w:trPr>
          <w:cantSplit/>
        </w:trPr>
        <w:tc>
          <w:tcPr>
            <w:tcW w:type="dxa" w:w="256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Vibrotactile drumming guidance </w:t>
            </w:r>
            <w:r>
              <w:rPr>
                <w:rFonts w:ascii="Arial" w:cs="Arial" w:eastAsia="Arial" w:hAnsi="Arial"/>
                <w:b w:val="false"/>
                <w:bCs w:val="false"/>
                <w:color w:val="1F4E79"/>
                <w:sz w:val="14"/>
                <w:szCs w:val="14"/>
              </w:rPr>
              <w:t xml:space="preserve">[9]</w:t>
            </w:r>
          </w:p>
        </w:tc>
        <w:tc>
          <w:tcPr>
            <w:tcW w:type="dxa" w:w="6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2013–15</w:t>
            </w:r>
          </w:p>
        </w:tc>
        <w:tc>
          <w:tcPr>
            <w:tcW w:type="dxa" w:w="103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Yes</w:t>
            </w:r>
          </w:p>
        </w:tc>
        <w:tc>
          <w:tcPr>
            <w:tcW w:type="dxa" w:w="91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1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r>
      <w:tr>
        <w:trPr>
          <w:cantSplit/>
        </w:trPr>
        <w:tc>
          <w:tcPr>
            <w:tcW w:type="dxa" w:w="256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Grindlay haptic drumstick </w:t>
            </w:r>
            <w:r>
              <w:rPr>
                <w:rFonts w:ascii="Arial" w:cs="Arial" w:eastAsia="Arial" w:hAnsi="Arial"/>
                <w:b w:val="false"/>
                <w:bCs w:val="false"/>
                <w:color w:val="1F4E79"/>
                <w:sz w:val="14"/>
                <w:szCs w:val="14"/>
              </w:rPr>
              <w:t xml:space="preserve">[1]</w:t>
            </w:r>
          </w:p>
        </w:tc>
        <w:tc>
          <w:tcPr>
            <w:tcW w:type="dxa" w:w="6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2008</w:t>
            </w:r>
          </w:p>
        </w:tc>
        <w:tc>
          <w:tcPr>
            <w:tcW w:type="dxa" w:w="103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Part</w:t>
            </w:r>
          </w:p>
        </w:tc>
        <w:tc>
          <w:tcPr>
            <w:tcW w:type="dxa" w:w="9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Yes (force)</w:t>
            </w:r>
          </w:p>
        </w:tc>
        <w:tc>
          <w:tcPr>
            <w:tcW w:type="dxa" w:w="9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Yes</w:t>
            </w:r>
          </w:p>
        </w:tc>
        <w:tc>
          <w:tcPr>
            <w:tcW w:type="dxa" w:w="9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r>
      <w:tr>
        <w:trPr>
          <w:cantSplit/>
        </w:trPr>
        <w:tc>
          <w:tcPr>
            <w:tcW w:type="dxa" w:w="256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Bharatanatyam haptics performance </w:t>
            </w:r>
            <w:r>
              <w:rPr>
                <w:rFonts w:ascii="Arial" w:cs="Arial" w:eastAsia="Arial" w:hAnsi="Arial"/>
                <w:b w:val="false"/>
                <w:bCs w:val="false"/>
                <w:color w:val="1F4E79"/>
                <w:sz w:val="14"/>
                <w:szCs w:val="14"/>
              </w:rPr>
              <w:t xml:space="preserve">[127]</w:t>
            </w:r>
          </w:p>
        </w:tc>
        <w:tc>
          <w:tcPr>
            <w:tcW w:type="dxa" w:w="6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2023</w:t>
            </w:r>
          </w:p>
        </w:tc>
        <w:tc>
          <w:tcPr>
            <w:tcW w:type="dxa" w:w="103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Part</w:t>
            </w:r>
          </w:p>
        </w:tc>
        <w:tc>
          <w:tcPr>
            <w:tcW w:type="dxa" w:w="91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1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Yes</w:t>
            </w:r>
          </w:p>
        </w:tc>
      </w:tr>
      <w:tr>
        <w:trPr>
          <w:cantSplit/>
        </w:trPr>
        <w:tc>
          <w:tcPr>
            <w:tcW w:type="dxa" w:w="256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i-Treasures </w:t>
            </w:r>
            <w:r>
              <w:rPr>
                <w:rFonts w:ascii="Arial" w:cs="Arial" w:eastAsia="Arial" w:hAnsi="Arial"/>
                <w:b w:val="false"/>
                <w:bCs w:val="false"/>
                <w:color w:val="1F4E79"/>
                <w:sz w:val="14"/>
                <w:szCs w:val="14"/>
              </w:rPr>
              <w:t xml:space="preserve">[60]</w:t>
            </w:r>
          </w:p>
        </w:tc>
        <w:tc>
          <w:tcPr>
            <w:tcW w:type="dxa" w:w="6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2013–17</w:t>
            </w:r>
          </w:p>
        </w:tc>
        <w:tc>
          <w:tcPr>
            <w:tcW w:type="dxa" w:w="103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Yes</w:t>
            </w:r>
          </w:p>
        </w:tc>
        <w:tc>
          <w:tcPr>
            <w:tcW w:type="dxa" w:w="9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Part</w:t>
            </w:r>
          </w:p>
        </w:tc>
        <w:tc>
          <w:tcPr>
            <w:tcW w:type="dxa" w:w="9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r>
      <w:tr>
        <w:trPr>
          <w:cantSplit/>
        </w:trPr>
        <w:tc>
          <w:tcPr>
            <w:tcW w:type="dxa" w:w="256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Expert pottery gestures </w:t>
            </w:r>
            <w:r>
              <w:rPr>
                <w:rFonts w:ascii="Arial" w:cs="Arial" w:eastAsia="Arial" w:hAnsi="Arial"/>
                <w:b w:val="false"/>
                <w:bCs w:val="false"/>
                <w:color w:val="1F4E79"/>
                <w:sz w:val="14"/>
                <w:szCs w:val="14"/>
              </w:rPr>
              <w:t xml:space="preserve">[61]</w:t>
            </w:r>
          </w:p>
        </w:tc>
        <w:tc>
          <w:tcPr>
            <w:tcW w:type="dxa" w:w="6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2014</w:t>
            </w:r>
          </w:p>
        </w:tc>
        <w:tc>
          <w:tcPr>
            <w:tcW w:type="dxa" w:w="103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Yes</w:t>
            </w:r>
          </w:p>
        </w:tc>
        <w:tc>
          <w:tcPr>
            <w:tcW w:type="dxa" w:w="9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1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1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r>
      <w:tr>
        <w:trPr>
          <w:cantSplit/>
        </w:trPr>
        <w:tc>
          <w:tcPr>
            <w:tcW w:type="dxa" w:w="256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Soundbrenner Pulse </w:t>
            </w:r>
            <w:r>
              <w:rPr>
                <w:rFonts w:ascii="Arial" w:cs="Arial" w:eastAsia="Arial" w:hAnsi="Arial"/>
                <w:b w:val="false"/>
                <w:bCs w:val="false"/>
                <w:color w:val="1F4E79"/>
                <w:sz w:val="14"/>
                <w:szCs w:val="14"/>
              </w:rPr>
              <w:t xml:space="preserve">[18]</w:t>
            </w:r>
          </w:p>
        </w:tc>
        <w:tc>
          <w:tcPr>
            <w:tcW w:type="dxa" w:w="6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2016</w:t>
            </w:r>
          </w:p>
        </w:tc>
        <w:tc>
          <w:tcPr>
            <w:tcW w:type="dxa" w:w="103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Yes</w:t>
            </w:r>
          </w:p>
        </w:tc>
        <w:tc>
          <w:tcPr>
            <w:tcW w:type="dxa" w:w="91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1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r>
      <w:tr>
        <w:trPr>
          <w:cantSplit/>
        </w:trPr>
        <w:tc>
          <w:tcPr>
            <w:tcW w:type="dxa" w:w="256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C2PA </w:t>
            </w:r>
            <w:r>
              <w:rPr>
                <w:rFonts w:ascii="Arial" w:cs="Arial" w:eastAsia="Arial" w:hAnsi="Arial"/>
                <w:b w:val="false"/>
                <w:bCs w:val="false"/>
                <w:color w:val="1F4E79"/>
                <w:sz w:val="14"/>
                <w:szCs w:val="14"/>
              </w:rPr>
              <w:t xml:space="preserve">[93]</w:t>
            </w:r>
          </w:p>
        </w:tc>
        <w:tc>
          <w:tcPr>
            <w:tcW w:type="dxa" w:w="6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2021–25</w:t>
            </w:r>
          </w:p>
        </w:tc>
        <w:tc>
          <w:tcPr>
            <w:tcW w:type="dxa" w:w="103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n/a</w:t>
            </w:r>
          </w:p>
        </w:tc>
        <w:tc>
          <w:tcPr>
            <w:tcW w:type="dxa" w:w="9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1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c>
          <w:tcPr>
            <w:tcW w:type="dxa" w:w="97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Yes (media)</w:t>
            </w:r>
          </w:p>
        </w:tc>
        <w:tc>
          <w:tcPr>
            <w:tcW w:type="dxa" w:w="91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No</w:t>
            </w:r>
          </w:p>
        </w:tc>
      </w:tr>
      <w:tr>
        <w:trPr>
          <w:cantSplit/>
        </w:trPr>
        <w:tc>
          <w:tcPr>
            <w:tcW w:type="dxa" w:w="2561"/>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bCs/>
                <w:color w:val="222222"/>
                <w:sz w:val="14"/>
                <w:szCs w:val="14"/>
              </w:rPr>
              <w:t xml:space="preserve">PARAMPARA 2.0</w:t>
            </w:r>
          </w:p>
        </w:tc>
        <w:tc>
          <w:tcPr>
            <w:tcW w:type="dxa" w:w="671"/>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2026</w:t>
            </w:r>
          </w:p>
        </w:tc>
        <w:tc>
          <w:tcPr>
            <w:tcW w:type="dxa" w:w="1037"/>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bCs/>
                <w:color w:val="222222"/>
                <w:sz w:val="14"/>
                <w:szCs w:val="14"/>
              </w:rPr>
              <w:t xml:space="preserve">Yes</w:t>
            </w:r>
          </w:p>
        </w:tc>
        <w:tc>
          <w:tcPr>
            <w:tcW w:type="dxa" w:w="976"/>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bCs/>
                <w:color w:val="222222"/>
                <w:sz w:val="14"/>
                <w:szCs w:val="14"/>
              </w:rPr>
              <w:t xml:space="preserve">Yes</w:t>
            </w:r>
          </w:p>
        </w:tc>
        <w:tc>
          <w:tcPr>
            <w:tcW w:type="dxa" w:w="915"/>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bCs/>
                <w:color w:val="222222"/>
                <w:sz w:val="14"/>
                <w:szCs w:val="14"/>
              </w:rPr>
              <w:t xml:space="preserve">Yes</w:t>
            </w:r>
          </w:p>
        </w:tc>
        <w:tc>
          <w:tcPr>
            <w:tcW w:type="dxa" w:w="976"/>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bCs/>
                <w:color w:val="222222"/>
                <w:sz w:val="14"/>
                <w:szCs w:val="14"/>
              </w:rPr>
              <w:t xml:space="preserve">Yes</w:t>
            </w:r>
          </w:p>
        </w:tc>
        <w:tc>
          <w:tcPr>
            <w:tcW w:type="dxa" w:w="976"/>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bCs/>
                <w:color w:val="222222"/>
                <w:sz w:val="14"/>
                <w:szCs w:val="14"/>
              </w:rPr>
              <w:t xml:space="preserve">Yes</w:t>
            </w:r>
          </w:p>
        </w:tc>
        <w:tc>
          <w:tcPr>
            <w:tcW w:type="dxa" w:w="914"/>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bCs/>
                <w:color w:val="222222"/>
                <w:sz w:val="14"/>
                <w:szCs w:val="14"/>
              </w:rPr>
              <w:t xml:space="preserve">Yes</w:t>
            </w:r>
          </w:p>
        </w:tc>
      </w:tr>
    </w:tbl>
    <w:p>
      <w:pPr>
        <w:spacing w:after="80"/>
      </w:pPr>
    </w:p>
    <w:p>
      <w:pPr>
        <w:pStyle w:val="Heading2"/>
        <w:keepNext/>
      </w:pPr>
      <w:r>
        <w:rPr>
          <w:rFonts w:ascii="Arial" w:cs="Arial" w:eastAsia="Arial" w:hAnsi="Arial"/>
        </w:rPr>
        <w:t xml:space="preserve">9.1 Search log (4–5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966"/>
        <w:gridCol w:w="3352"/>
      </w:tblGrid>
      <w:tr>
        <w:trPr>
          <w:cantSplit/>
          <w:tblHeader/>
        </w:trPr>
        <w:tc>
          <w:tcPr>
            <w:tcW w:type="dxa" w:w="270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Where</w:t>
            </w:r>
          </w:p>
        </w:tc>
        <w:tc>
          <w:tcPr>
            <w:tcW w:type="dxa" w:w="296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Query</w:t>
            </w:r>
          </w:p>
        </w:tc>
        <w:tc>
          <w:tcPr>
            <w:tcW w:type="dxa" w:w="335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Result</w:t>
            </w:r>
          </w:p>
        </w:tc>
      </w:tr>
      <w:tr>
        <w:trPr>
          <w:cantSplit/>
        </w:trPr>
        <w:tc>
          <w:tcPr>
            <w:tcW w:type="dxa" w:w="270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Web index incl. NIME, ISMIR, IEEE, ACM, arXiv</w:t>
            </w:r>
          </w:p>
        </w:tc>
        <w:tc>
          <w:tcPr>
            <w:tcW w:type="dxa" w:w="29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tabla + haptic / vibrotactile / wearable teaching</w:t>
            </w:r>
          </w:p>
        </w:tc>
        <w:tc>
          <w:tcPr>
            <w:tcW w:type="dxa" w:w="335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 system that teaches a master's style back through touch. Closest: Layika (2026), HotMobile 2026 mridangam tutor poster, electronic tablas</w:t>
            </w:r>
          </w:p>
        </w:tc>
      </w:tr>
      <w:tr>
        <w:trPr>
          <w:cantSplit/>
        </w:trPr>
        <w:tc>
          <w:tcPr>
            <w:tcW w:type="dxa" w:w="270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Web index</w:t>
            </w:r>
          </w:p>
        </w:tc>
        <w:tc>
          <w:tcPr>
            <w:tcW w:type="dxa" w:w="29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tabla gharana recognition; microtiming tabla</w:t>
            </w:r>
          </w:p>
        </w:tc>
        <w:tc>
          <w:tcPr>
            <w:tcW w:type="dxa" w:w="335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Gharana recognition (ISMIR 2021); Hindustani tempo/accent corpus study; expressive timing in vocals</w:t>
            </w:r>
          </w:p>
        </w:tc>
      </w:tr>
      <w:tr>
        <w:trPr>
          <w:cantSplit/>
        </w:trPr>
        <w:tc>
          <w:tcPr>
            <w:tcW w:type="dxa" w:w="270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Google Patents (via web search)</w:t>
            </w:r>
          </w:p>
        </w:tc>
        <w:tc>
          <w:tcPr>
            <w:tcW w:type="dxa" w:w="29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tabla learning device + vibration feedback</w:t>
            </w:r>
          </w:p>
        </w:tc>
        <w:tc>
          <w:tcPr>
            <w:tcW w:type="dxa" w:w="335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 tabla-specific patent found; generic wearable motion-teaching patents exist</w:t>
            </w:r>
          </w:p>
        </w:tc>
      </w:tr>
      <w:tr>
        <w:trPr>
          <w:cantSplit/>
        </w:trPr>
        <w:tc>
          <w:tcPr>
            <w:tcW w:type="dxa" w:w="270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Hugging Face Hub</w:t>
            </w:r>
          </w:p>
        </w:tc>
        <w:tc>
          <w:tcPr>
            <w:tcW w:type="dxa" w:w="296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tabla datasets</w:t>
            </w:r>
          </w:p>
        </w:tc>
        <w:tc>
          <w:tcPr>
            <w:tcW w:type="dxa" w:w="335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None (only unrelated results); public tabla data sits on Zenodo</w:t>
            </w:r>
          </w:p>
        </w:tc>
      </w:tr>
      <w:tr>
        <w:trPr>
          <w:cantSplit/>
        </w:trPr>
        <w:tc>
          <w:tcPr>
            <w:tcW w:type="dxa" w:w="270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Web index</w:t>
            </w:r>
          </w:p>
        </w:tc>
        <w:tc>
          <w:tcPr>
            <w:tcW w:type="dxa" w:w="296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pottery / puppetry / dance haptic teaching</w:t>
            </w:r>
          </w:p>
        </w:tc>
        <w:tc>
          <w:tcPr>
            <w:tcW w:type="dxa" w:w="335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Pottery gesture capture; shadow-play teaching patent (China); Bharatanatyam haptics performance</w:t>
            </w:r>
          </w:p>
        </w:tc>
      </w:tr>
    </w:tbl>
    <w:p>
      <w:pPr>
        <w:spacing w:after="80"/>
      </w:pPr>
    </w:p>
    <w:p>
      <w:pPr>
        <w:spacing w:after="120" w:before="0" w:line="276"/>
        <w:jc w:val="left"/>
      </w:pPr>
      <w:r>
        <w:rPr>
          <w:rFonts w:ascii="Arial" w:cs="Arial" w:eastAsia="Arial" w:hAnsi="Arial"/>
          <w:b/>
          <w:bCs/>
          <w:color w:val="222222"/>
          <w:sz w:val="20"/>
          <w:szCs w:val="20"/>
        </w:rPr>
        <w:t xml:space="preserve">Limit:</w:t>
      </w:r>
      <w:r>
        <w:rPr>
          <w:rFonts w:ascii="Arial" w:cs="Arial" w:eastAsia="Arial" w:hAnsi="Arial"/>
          <w:color w:val="222222"/>
          <w:sz w:val="20"/>
          <w:szCs w:val="20"/>
        </w:rPr>
        <w:t xml:space="preserve"> this is not a professional patent search. Before submission, search InPASS (Indian Patent Office), Google Patents and IEEE Xplore directly and record the date. [To validate]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1F4E79" w:sz="24"/>
              <w:bottom w:val="single" w:color="D9CFC0" w:sz="4"/>
              <w:right w:val="single" w:color="D9CFC0" w:sz="4"/>
            </w:tcBorders>
            <w:shd w:fill="EEF3F8" w:color="auto" w:val="clear"/>
            <w:tcMar>
              <w:top w:type="dxa" w:w="120"/>
              <w:left w:type="dxa" w:w="200"/>
              <w:bottom w:type="dxa" w:w="100"/>
              <w:right w:type="dxa" w:w="160"/>
            </w:tcMar>
          </w:tcPr>
          <w:p>
            <w:pPr>
              <w:spacing w:after="80"/>
            </w:pPr>
            <w:r>
              <w:rPr>
                <w:rFonts w:ascii="Arial" w:cs="Arial" w:eastAsia="Arial" w:hAnsi="Arial"/>
                <w:b/>
                <w:bCs/>
                <w:color w:val="1F4E79"/>
                <w:sz w:val="21"/>
                <w:szCs w:val="21"/>
              </w:rPr>
              <w:t xml:space="preserve">Defensible novelty statement</w:t>
            </w:r>
          </w:p>
          <w:p>
            <w:pPr>
              <w:spacing w:after="70" w:line="266"/>
            </w:pPr>
            <w:r>
              <w:rPr>
                <w:rFonts w:ascii="Arial" w:cs="Arial" w:eastAsia="Arial" w:hAnsi="Arial"/>
                <w:i/>
                <w:iCs/>
                <w:color w:val="222222"/>
                <w:sz w:val="19"/>
                <w:szCs w:val="19"/>
              </w:rPr>
              <w:t xml:space="preserve">"To our knowledge, PARAMPARA is the first system that measures a specific tabla master's rhythmic fingerprint on the instrument, teaches it back through a multisensory curriculum in which touch carries structure and hearing carries micro-timing, schedules cues around movement-related tactile suppression, gates progress on unaided probes, and binds the data to the master's consent and lineage. Each component builds on cited work."</w:t>
            </w:r>
          </w:p>
        </w:tc>
      </w:tr>
    </w:tbl>
    <w:p>
      <w:pPr>
        <w:spacing w:after="100"/>
      </w:pPr>
    </w:p>
    <w:p>
      <w:pPr>
        <w:pStyle w:val="Heading3"/>
        <w:keepNext/>
      </w:pPr>
      <w:r>
        <w:rPr>
          <w:rFonts w:ascii="Arial" w:cs="Arial" w:eastAsia="Arial" w:hAnsi="Arial"/>
        </w:rPr>
        <w:t xml:space="preserve">Words to avoid</w:t>
      </w:r>
    </w:p>
    <w:p>
      <w:pPr>
        <w:pStyle w:val="ListParagraph"/>
        <w:numPr>
          <w:ilvl w:val="0"/>
          <w:numId w:val="2"/>
        </w:numPr>
        <w:spacing w:after="60" w:line="268"/>
      </w:pPr>
      <w:r>
        <w:rPr>
          <w:rFonts w:ascii="Arial" w:cs="Arial" w:eastAsia="Arial" w:hAnsi="Arial"/>
          <w:color w:val="222222"/>
          <w:sz w:val="20"/>
          <w:szCs w:val="20"/>
        </w:rPr>
        <w:t xml:space="preserve">'World's first' (say 'to our knowledge')</w:t>
      </w:r>
    </w:p>
    <w:p>
      <w:pPr>
        <w:pStyle w:val="ListParagraph"/>
        <w:numPr>
          <w:ilvl w:val="0"/>
          <w:numId w:val="2"/>
        </w:numPr>
        <w:spacing w:after="60" w:line="268"/>
      </w:pPr>
      <w:r>
        <w:rPr>
          <w:rFonts w:ascii="Arial" w:cs="Arial" w:eastAsia="Arial" w:hAnsi="Arial"/>
          <w:color w:val="222222"/>
          <w:sz w:val="20"/>
          <w:szCs w:val="20"/>
        </w:rPr>
        <w:t xml:space="preserve">'Transmits the guru's soul or feel' (say 'measures and teaches timing, accents, strokes and hand')</w:t>
      </w:r>
    </w:p>
    <w:p>
      <w:pPr>
        <w:pStyle w:val="ListParagraph"/>
        <w:numPr>
          <w:ilvl w:val="0"/>
          <w:numId w:val="2"/>
        </w:numPr>
        <w:spacing w:after="60" w:line="268"/>
      </w:pPr>
      <w:r>
        <w:rPr>
          <w:rFonts w:ascii="Arial" w:cs="Arial" w:eastAsia="Arial" w:hAnsi="Arial"/>
          <w:color w:val="222222"/>
          <w:sz w:val="20"/>
          <w:szCs w:val="20"/>
        </w:rPr>
        <w:t xml:space="preserve">'Replaces the guru'</w:t>
      </w:r>
    </w:p>
    <w:p>
      <w:pPr>
        <w:pStyle w:val="ListParagraph"/>
        <w:numPr>
          <w:ilvl w:val="0"/>
          <w:numId w:val="2"/>
        </w:numPr>
        <w:spacing w:after="60" w:line="268"/>
      </w:pPr>
      <w:r>
        <w:rPr>
          <w:rFonts w:ascii="Arial" w:cs="Arial" w:eastAsia="Arial" w:hAnsi="Arial"/>
          <w:color w:val="222222"/>
          <w:sz w:val="20"/>
          <w:szCs w:val="20"/>
        </w:rPr>
        <w:t xml:space="preserve">'Blockchain'</w:t>
      </w:r>
    </w:p>
    <w:p>
      <w:pPr>
        <w:pStyle w:val="ListParagraph"/>
        <w:numPr>
          <w:ilvl w:val="0"/>
          <w:numId w:val="2"/>
        </w:numPr>
        <w:spacing w:after="60" w:line="268"/>
      </w:pPr>
      <w:r>
        <w:rPr>
          <w:rFonts w:ascii="Arial" w:cs="Arial" w:eastAsia="Arial" w:hAnsi="Arial"/>
          <w:color w:val="222222"/>
          <w:sz w:val="20"/>
          <w:szCs w:val="20"/>
        </w:rPr>
        <w:t xml:space="preserve">'AI generates gharana style' (we never blend or generate)</w:t>
      </w:r>
    </w:p>
    <w:p>
      <w:pPr>
        <w:pStyle w:val="Heading1"/>
        <w:keepNext/>
        <w:spacing w:after="200" w:before="480"/>
      </w:pPr>
      <w:r>
        <w:rPr>
          <w:rFonts w:ascii="Arial" w:cs="Arial" w:eastAsia="Arial" w:hAnsi="Arial"/>
        </w:rPr>
        <w:t xml:space="preserve">10. Evidence plan: four decisive experiments, then trials</w:t>
      </w:r>
    </w:p>
    <w:p>
      <w:pPr>
        <w:spacing w:after="120" w:before="0" w:line="276"/>
        <w:jc w:val="left"/>
      </w:pPr>
      <w:r>
        <w:rPr>
          <w:rFonts w:ascii="Arial" w:cs="Arial" w:eastAsia="Arial" w:hAnsi="Arial"/>
          <w:color w:val="222222"/>
          <w:sz w:val="20"/>
          <w:szCs w:val="20"/>
        </w:rPr>
        <w:t xml:space="preserve">Version 1 had only borrowed evidence. Version 2 adds four short experiments that retire the two killer risks (is style measurable? can a cue be felt while playing?) within the 4-week build, before any learning trial. All are minimal-risk perception tasks; they still need written consent and the institute's ethics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5"/>
        <w:gridCol w:w="1682"/>
        <w:gridCol w:w="2579"/>
        <w:gridCol w:w="897"/>
        <w:gridCol w:w="1682"/>
        <w:gridCol w:w="1681"/>
      </w:tblGrid>
      <w:tr>
        <w:trPr>
          <w:cantSplit/>
          <w:tblHeader/>
        </w:trPr>
        <w:tc>
          <w:tcPr>
            <w:tcW w:type="dxa" w:w="50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w:t>
            </w:r>
          </w:p>
        </w:tc>
        <w:tc>
          <w:tcPr>
            <w:tcW w:type="dxa" w:w="168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Aim</w:t>
            </w:r>
          </w:p>
        </w:tc>
        <w:tc>
          <w:tcPr>
            <w:tcW w:type="dxa" w:w="257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Design</w:t>
            </w:r>
          </w:p>
        </w:tc>
        <w:tc>
          <w:tcPr>
            <w:tcW w:type="dxa" w:w="89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n</w:t>
            </w:r>
          </w:p>
        </w:tc>
        <w:tc>
          <w:tcPr>
            <w:tcW w:type="dxa" w:w="168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Success [Target]</w:t>
            </w:r>
          </w:p>
        </w:tc>
        <w:tc>
          <w:tcPr>
            <w:tcW w:type="dxa" w:w="168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If it fails</w:t>
            </w:r>
          </w:p>
        </w:tc>
      </w:tr>
      <w:tr>
        <w:trPr>
          <w:cantSplit/>
        </w:trPr>
        <w:tc>
          <w:tcPr>
            <w:tcW w:type="dxa" w:w="5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E1</w:t>
            </w:r>
          </w:p>
        </w:tc>
        <w:tc>
          <w:tcPr>
            <w:tcW w:type="dxa" w:w="16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Style is measurable</w:t>
            </w:r>
          </w:p>
        </w:tc>
        <w:tc>
          <w:tcPr>
            <w:tcW w:type="dxa" w:w="257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3 players × ≥ 20 Teentaal cycles at 80/min (+10 at 60 and 100); features per Section 4.2; nearest-centroid LOO; 1,000 permutations</w:t>
            </w:r>
          </w:p>
        </w:tc>
        <w:tc>
          <w:tcPr>
            <w:tcW w:type="dxa" w:w="89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3 players</w:t>
            </w:r>
          </w:p>
        </w:tc>
        <w:tc>
          <w:tcPr>
            <w:tcW w:type="dxa" w:w="16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Accuracy ≥ 0.70 (chance 0.33), p &lt; 0.01</w:t>
            </w:r>
          </w:p>
        </w:tc>
        <w:tc>
          <w:tcPr>
            <w:tcW w:type="dxa" w:w="168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Drop the style claim; keep Tiers 1–2 and the archive</w:t>
            </w:r>
          </w:p>
        </w:tc>
      </w:tr>
      <w:tr>
        <w:trPr>
          <w:cantSplit/>
        </w:trPr>
        <w:tc>
          <w:tcPr>
            <w:tcW w:type="dxa" w:w="5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E2</w:t>
            </w:r>
          </w:p>
        </w:tc>
        <w:tc>
          <w:tcPr>
            <w:tcW w:type="dxa" w:w="16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Cues are felt while playing</w:t>
            </w:r>
          </w:p>
        </w:tc>
        <w:tc>
          <w:tcPr>
            <w:tcW w:type="dxa" w:w="257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1-up/2-down staircase threshold at rest vs while playing; wrist vs forearm; on-beat vs anticipatory</w:t>
            </w:r>
          </w:p>
        </w:tc>
        <w:tc>
          <w:tcPr>
            <w:tcW w:type="dxa" w:w="89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8</w:t>
            </w:r>
          </w:p>
        </w:tc>
        <w:tc>
          <w:tcPr>
            <w:tcW w:type="dxa" w:w="16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Threshold rise ≤ 2× in at least one condition</w:t>
            </w:r>
          </w:p>
        </w:tc>
        <w:tc>
          <w:tcPr>
            <w:tcW w:type="dxa" w:w="168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Move to upper arm; raise intensity; two-level code</w:t>
            </w:r>
          </w:p>
        </w:tc>
      </w:tr>
      <w:tr>
        <w:trPr>
          <w:cantSplit/>
        </w:trPr>
        <w:tc>
          <w:tcPr>
            <w:tcW w:type="dxa" w:w="50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E3</w:t>
            </w:r>
          </w:p>
        </w:tc>
        <w:tc>
          <w:tcPr>
            <w:tcW w:type="dxa" w:w="16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Masters can be told apart</w:t>
            </w:r>
          </w:p>
        </w:tc>
        <w:tc>
          <w:tcPr>
            <w:tcW w:type="dxa" w:w="257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ABX: A and B are two masters' envelopes of the same theka; 20 trials touch-only, 20 trials touch + sound</w:t>
            </w:r>
          </w:p>
        </w:tc>
        <w:tc>
          <w:tcPr>
            <w:tcW w:type="dxa" w:w="89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10</w:t>
            </w:r>
          </w:p>
        </w:tc>
        <w:tc>
          <w:tcPr>
            <w:tcW w:type="dxa" w:w="16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 15/20 correct (binomial p = 0.021); group mean &gt; 50%</w:t>
            </w:r>
          </w:p>
        </w:tc>
        <w:tc>
          <w:tcPr>
            <w:tcW w:type="dxa" w:w="168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Style taught by ear only; touch stays structural</w:t>
            </w:r>
          </w:p>
        </w:tc>
      </w:tr>
      <w:tr>
        <w:trPr>
          <w:cantSplit/>
        </w:trPr>
        <w:tc>
          <w:tcPr>
            <w:tcW w:type="dxa" w:w="50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E4</w:t>
            </w:r>
          </w:p>
        </w:tc>
        <w:tc>
          <w:tcPr>
            <w:tcW w:type="dxa" w:w="16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Codes decoded while playing</w:t>
            </w:r>
          </w:p>
        </w:tc>
        <w:tc>
          <w:tcPr>
            <w:tcW w:type="dxa" w:w="257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40 trials: 5 families × 2–3 strength levels during a theka</w:t>
            </w:r>
          </w:p>
        </w:tc>
        <w:tc>
          <w:tcPr>
            <w:tcW w:type="dxa" w:w="89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8–10</w:t>
            </w:r>
          </w:p>
        </w:tc>
        <w:tc>
          <w:tcPr>
            <w:tcW w:type="dxa" w:w="16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 90% families; ≥ 80% levels</w:t>
            </w:r>
          </w:p>
        </w:tc>
        <w:tc>
          <w:tcPr>
            <w:tcW w:type="dxa" w:w="168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Fewer codes; two strength levels</w:t>
            </w:r>
          </w:p>
        </w:tc>
      </w:tr>
    </w:tbl>
    <w:p>
      <w:pPr>
        <w:spacing w:after="80"/>
      </w:pPr>
    </w:p>
    <w:p>
      <w:pPr>
        <w:pStyle w:val="Heading2"/>
        <w:keepNext/>
      </w:pPr>
      <w:r>
        <w:rPr>
          <w:rFonts w:ascii="Arial" w:cs="Arial" w:eastAsia="Arial" w:hAnsi="Arial"/>
        </w:rPr>
        <w:t xml:space="preserve">10.1 Stage A: within-subject crossover pilot (if time allows before the finale)</w:t>
      </w:r>
    </w:p>
    <w:p>
      <w:pPr>
        <w:pStyle w:val="ListParagraph"/>
        <w:numPr>
          <w:ilvl w:val="0"/>
          <w:numId w:val="2"/>
        </w:numPr>
        <w:spacing w:after="60" w:line="268"/>
      </w:pPr>
      <w:r>
        <w:rPr>
          <w:rFonts w:ascii="Arial" w:cs="Arial" w:eastAsia="Arial" w:hAnsi="Arial"/>
          <w:color w:val="222222"/>
          <w:sz w:val="20"/>
          <w:szCs w:val="20"/>
        </w:rPr>
        <w:t xml:space="preserve">12–15 adults without tabla training learn two matched 8-stroke phrases, one with PARAMPARA (Tiers 1–2) and one with guru audio + hand video; order counterbalanced.</w:t>
      </w:r>
    </w:p>
    <w:p>
      <w:pPr>
        <w:pStyle w:val="ListParagraph"/>
        <w:numPr>
          <w:ilvl w:val="0"/>
          <w:numId w:val="2"/>
        </w:numPr>
        <w:spacing w:after="60" w:line="268"/>
      </w:pPr>
      <w:r>
        <w:rPr>
          <w:rFonts w:ascii="Arial" w:cs="Arial" w:eastAsia="Arial" w:hAnsi="Arial"/>
          <w:color w:val="222222"/>
          <w:sz w:val="20"/>
          <w:szCs w:val="20"/>
        </w:rPr>
        <w:t xml:space="preserve">Primary outcome: 24-hour unaided timing spread. Power: dz ≈ 1.0 needs about 10 people, dz ≈ 0.8 about 15 </w:t>
      </w:r>
      <w:r>
        <w:rPr>
          <w:rFonts w:ascii="Arial" w:cs="Arial" w:eastAsia="Arial" w:hAnsi="Arial"/>
          <w:b w:val="false"/>
          <w:bCs w:val="false"/>
          <w:color w:val="1F4E79"/>
          <w:sz w:val="20"/>
          <w:szCs w:val="20"/>
        </w:rPr>
        <w:t xml:space="preserve">[133]</w:t>
      </w:r>
      <w:r>
        <w:rPr>
          <w:rFonts w:ascii="Arial" w:cs="Arial" w:eastAsia="Arial" w:hAnsi="Arial"/>
          <w:color w:val="222222"/>
          <w:sz w:val="20"/>
          <w:szCs w:val="20"/>
        </w:rPr>
        <w:t xml:space="preserve">. Report dz with a bootstrap 95% CI; with fewer people, call it a pilot.</w:t>
      </w:r>
    </w:p>
    <w:p>
      <w:pPr>
        <w:pStyle w:val="ListParagraph"/>
        <w:numPr>
          <w:ilvl w:val="0"/>
          <w:numId w:val="2"/>
        </w:numPr>
        <w:spacing w:after="60" w:line="268"/>
      </w:pPr>
      <w:r>
        <w:rPr>
          <w:rFonts w:ascii="Arial" w:cs="Arial" w:eastAsia="Arial" w:hAnsi="Arial"/>
          <w:color w:val="222222"/>
          <w:sz w:val="20"/>
          <w:szCs w:val="20"/>
        </w:rPr>
        <w:t xml:space="preserve">Questionnaires: SUS </w:t>
      </w:r>
      <w:r>
        <w:rPr>
          <w:rFonts w:ascii="Arial" w:cs="Arial" w:eastAsia="Arial" w:hAnsi="Arial"/>
          <w:b w:val="false"/>
          <w:bCs w:val="false"/>
          <w:color w:val="1F4E79"/>
          <w:sz w:val="20"/>
          <w:szCs w:val="20"/>
        </w:rPr>
        <w:t xml:space="preserve">[131]</w:t>
      </w:r>
      <w:r>
        <w:rPr>
          <w:rFonts w:ascii="Arial" w:cs="Arial" w:eastAsia="Arial" w:hAnsi="Arial"/>
          <w:color w:val="222222"/>
          <w:sz w:val="20"/>
          <w:szCs w:val="20"/>
        </w:rPr>
        <w:t xml:space="preserve">, NASA-TLX </w:t>
      </w:r>
      <w:r>
        <w:rPr>
          <w:rFonts w:ascii="Arial" w:cs="Arial" w:eastAsia="Arial" w:hAnsi="Arial"/>
          <w:b w:val="false"/>
          <w:bCs w:val="false"/>
          <w:color w:val="1F4E79"/>
          <w:sz w:val="20"/>
          <w:szCs w:val="20"/>
        </w:rPr>
        <w:t xml:space="preserve">[132]</w:t>
      </w:r>
      <w:r>
        <w:rPr>
          <w:rFonts w:ascii="Arial" w:cs="Arial" w:eastAsia="Arial" w:hAnsi="Arial"/>
          <w:color w:val="222222"/>
          <w:sz w:val="20"/>
          <w:szCs w:val="20"/>
        </w:rPr>
        <w:t xml:space="preserve">, comfort.</w:t>
      </w:r>
    </w:p>
    <w:p>
      <w:pPr>
        <w:pStyle w:val="Heading2"/>
        <w:keepNext/>
      </w:pPr>
      <w:r>
        <w:rPr>
          <w:rFonts w:ascii="Arial" w:cs="Arial" w:eastAsia="Arial" w:hAnsi="Arial"/>
        </w:rPr>
        <w:t xml:space="preserve">10.2 Stage B: four-arm randomised trial (after SIH)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1"/>
        <w:gridCol w:w="6225"/>
      </w:tblGrid>
      <w:tr>
        <w:trPr>
          <w:cantSplit/>
          <w:tblHeader/>
        </w:trPr>
        <w:tc>
          <w:tcPr>
            <w:tcW w:type="dxa" w:w="280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Arm</w:t>
            </w:r>
          </w:p>
        </w:tc>
        <w:tc>
          <w:tcPr>
            <w:tcW w:type="dxa" w:w="622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What participants get</w:t>
            </w:r>
          </w:p>
        </w:tc>
      </w:tr>
      <w:tr>
        <w:trPr>
          <w:cantSplit/>
        </w:trPr>
        <w:tc>
          <w:tcPr>
            <w:tcW w:type="dxa" w:w="28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1. Video only</w:t>
            </w:r>
          </w:p>
        </w:tc>
        <w:tc>
          <w:tcPr>
            <w:tcW w:type="dxa" w:w="62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Recorded guru phrase with audio</w:t>
            </w:r>
          </w:p>
        </w:tc>
      </w:tr>
      <w:tr>
        <w:trPr>
          <w:cantSplit/>
        </w:trPr>
        <w:tc>
          <w:tcPr>
            <w:tcW w:type="dxa" w:w="280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2. Video + metronome</w:t>
            </w:r>
          </w:p>
        </w:tc>
        <w:tc>
          <w:tcPr>
            <w:tcW w:type="dxa" w:w="62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Same, plus an audio metronome (the obvious cheap competitor)</w:t>
            </w:r>
          </w:p>
        </w:tc>
      </w:tr>
      <w:tr>
        <w:trPr>
          <w:cantSplit/>
        </w:trPr>
        <w:tc>
          <w:tcPr>
            <w:tcW w:type="dxa" w:w="28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3. PARAMPARA, fixed fade</w:t>
            </w:r>
          </w:p>
        </w:tc>
        <w:tc>
          <w:tcPr>
            <w:tcW w:type="dxa" w:w="62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Multisensory curriculum with a fixed linear fade</w:t>
            </w:r>
          </w:p>
        </w:tc>
      </w:tr>
      <w:tr>
        <w:trPr>
          <w:cantSplit/>
        </w:trPr>
        <w:tc>
          <w:tcPr>
            <w:tcW w:type="dxa" w:w="280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4. PARAMPARA, Fade Engine 2.1</w:t>
            </w:r>
          </w:p>
        </w:tc>
        <w:tc>
          <w:tcPr>
            <w:tcW w:type="dxa" w:w="62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Multisensory curriculum with probe-gated fading</w:t>
            </w:r>
          </w:p>
        </w:tc>
      </w:tr>
    </w:tbl>
    <w:p>
      <w:pPr>
        <w:spacing w:after="80"/>
      </w:pPr>
    </w:p>
    <w:p>
      <w:pPr>
        <w:spacing w:after="120" w:before="0" w:line="276"/>
        <w:jc w:val="left"/>
      </w:pPr>
      <w:r>
        <w:rPr>
          <w:rFonts w:ascii="Arial" w:cs="Arial" w:eastAsia="Arial" w:hAnsi="Arial"/>
          <w:color w:val="222222"/>
          <w:sz w:val="20"/>
          <w:szCs w:val="20"/>
        </w:rPr>
        <w:t xml:space="preserve">About 29 per arm for d ≈ 0.75 (two-sided α = 0.05, 80% power), about 120 in total </w:t>
      </w:r>
      <w:r>
        <w:rPr>
          <w:rFonts w:ascii="Arial" w:cs="Arial" w:eastAsia="Arial" w:hAnsi="Arial"/>
          <w:b w:val="false"/>
          <w:bCs w:val="false"/>
          <w:color w:val="1F4E79"/>
          <w:sz w:val="20"/>
          <w:szCs w:val="20"/>
        </w:rPr>
        <w:t xml:space="preserve">[133]</w:t>
      </w:r>
      <w:r>
        <w:rPr>
          <w:rFonts w:ascii="Arial" w:cs="Arial" w:eastAsia="Arial" w:hAnsi="Arial"/>
          <w:color w:val="222222"/>
          <w:sz w:val="20"/>
          <w:szCs w:val="20"/>
        </w:rPr>
        <w:t xml:space="preserve">. Three 30-minute sessions over a week; unaided tests before, after and at 1 week, plus tempo transfer. Mixed model (group × time); planned contrasts 3 vs 2 (beats a metronome?), 4 vs 3 (does adaptivity help?), 3 vs 1. Pre-registered on OSF.</w:t>
      </w:r>
    </w:p>
    <w:p>
      <w:pPr>
        <w:pStyle w:val="Heading2"/>
        <w:keepNext/>
      </w:pPr>
      <w:r>
        <w:rPr>
          <w:rFonts w:ascii="Arial" w:cs="Arial" w:eastAsia="Arial" w:hAnsi="Arial"/>
        </w:rPr>
        <w:t xml:space="preserve">10.3 Stage C: guru and student interviews</w:t>
      </w:r>
    </w:p>
    <w:p>
      <w:pPr>
        <w:spacing w:after="120" w:before="0" w:line="276"/>
        <w:jc w:val="left"/>
      </w:pPr>
      <w:r>
        <w:rPr>
          <w:rFonts w:ascii="Arial" w:cs="Arial" w:eastAsia="Arial" w:hAnsi="Arial"/>
          <w:color w:val="222222"/>
          <w:sz w:val="20"/>
          <w:szCs w:val="20"/>
        </w:rPr>
        <w:t xml:space="preserve">3–5 gurus and 5–10 students, with consent: how readiness is judged; what is corrected most; what 'laya sense' means; what video loses; terms for recording for unseen students; control after their lifetime; cross-gharana teaching; what would make them distrust the device; what it must never claim. Themes reported; quotes only with permission. [To validate]</w:t>
      </w:r>
    </w:p>
    <w:p>
      <w:pPr>
        <w:spacing w:after="120" w:before="0" w:line="276"/>
        <w:jc w:val="left"/>
      </w:pPr>
      <w:r>
        <w:rPr>
          <w:rFonts w:ascii="Arial" w:cs="Arial" w:eastAsia="Arial" w:hAnsi="Arial"/>
          <w:b/>
          <w:bCs/>
          <w:color w:val="222222"/>
          <w:sz w:val="20"/>
          <w:szCs w:val="20"/>
        </w:rPr>
        <w:t xml:space="preserve">If any result is negative, we report it.</w:t>
      </w:r>
      <w:r>
        <w:rPr>
          <w:rFonts w:ascii="Arial" w:cs="Arial" w:eastAsia="Arial" w:hAnsi="Arial"/>
          <w:color w:val="222222"/>
          <w:sz w:val="20"/>
          <w:szCs w:val="20"/>
        </w:rPr>
        <w:t xml:space="preserve"> The archive, fingerprint and measurement value remain, and the design changes. [Plausible]</w:t>
      </w:r>
    </w:p>
    <w:p>
      <w:pPr>
        <w:pStyle w:val="Heading1"/>
        <w:keepNext/>
        <w:spacing w:after="200" w:before="480"/>
      </w:pPr>
      <w:r>
        <w:rPr>
          <w:rFonts w:ascii="Arial" w:cs="Arial" w:eastAsia="Arial" w:hAnsi="Arial"/>
        </w:rPr>
        <w:t xml:space="preserve">11. Feasibility</w:t>
      </w:r>
    </w:p>
    <w:p>
      <w:pPr>
        <w:pStyle w:val="Heading2"/>
        <w:keepNext/>
      </w:pPr>
      <w:r>
        <w:rPr>
          <w:rFonts w:ascii="Arial" w:cs="Arial" w:eastAsia="Arial" w:hAnsi="Arial"/>
        </w:rPr>
        <w:t xml:space="preserve">11.1 Technical maturity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44"/>
        <w:gridCol w:w="3610"/>
        <w:gridCol w:w="2222"/>
        <w:gridCol w:w="1250"/>
      </w:tblGrid>
      <w:tr>
        <w:trPr>
          <w:cantSplit/>
          <w:tblHeader/>
        </w:trPr>
        <w:tc>
          <w:tcPr>
            <w:tcW w:type="dxa" w:w="194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Subsystem</w:t>
            </w:r>
          </w:p>
        </w:tc>
        <w:tc>
          <w:tcPr>
            <w:tcW w:type="dxa" w:w="361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Proof that it works</w:t>
            </w:r>
          </w:p>
        </w:tc>
        <w:tc>
          <w:tcPr>
            <w:tcW w:type="dxa" w:w="222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Key number</w:t>
            </w:r>
          </w:p>
        </w:tc>
        <w:tc>
          <w:tcPr>
            <w:tcW w:type="dxa" w:w="125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TRL now → finale</w:t>
            </w:r>
          </w:p>
        </w:tc>
      </w:tr>
      <w:tr>
        <w:trPr>
          <w:cantSplit/>
        </w:trPr>
        <w:tc>
          <w:tcPr>
            <w:tcW w:type="dxa" w:w="194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Onset detection</w:t>
            </w:r>
          </w:p>
        </w:tc>
        <w:tc>
          <w:tcPr>
            <w:tcW w:type="dxa" w:w="361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Standard drum-trigger practice; onset methods </w:t>
            </w:r>
            <w:r>
              <w:rPr>
                <w:rFonts w:ascii="Arial" w:cs="Arial" w:eastAsia="Arial" w:hAnsi="Arial"/>
                <w:b w:val="false"/>
                <w:bCs w:val="false"/>
                <w:color w:val="1F4E79"/>
                <w:sz w:val="15"/>
                <w:szCs w:val="15"/>
              </w:rPr>
              <w:t xml:space="preserve">[55]</w:t>
            </w:r>
          </w:p>
        </w:tc>
        <w:tc>
          <w:tcPr>
            <w:tcW w:type="dxa" w:w="222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0.25 ms resolution at 4 kHz</w:t>
            </w:r>
          </w:p>
        </w:tc>
        <w:tc>
          <w:tcPr>
            <w:tcW w:type="dxa" w:w="125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4 → 5</w:t>
            </w:r>
          </w:p>
        </w:tc>
      </w:tr>
      <w:tr>
        <w:trPr>
          <w:cantSplit/>
        </w:trPr>
        <w:tc>
          <w:tcPr>
            <w:tcW w:type="dxa" w:w="194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Fingerprint features + classifier</w:t>
            </w:r>
          </w:p>
        </w:tc>
        <w:tc>
          <w:tcPr>
            <w:tcW w:type="dxa" w:w="361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Gharana and performer recognition literature </w:t>
            </w:r>
            <w:r>
              <w:rPr>
                <w:rFonts w:ascii="Arial" w:cs="Arial" w:eastAsia="Arial" w:hAnsi="Arial"/>
                <w:b w:val="false"/>
                <w:bCs w:val="false"/>
                <w:color w:val="1F4E79"/>
                <w:sz w:val="15"/>
                <w:szCs w:val="15"/>
              </w:rPr>
              <w:t xml:space="preserve">[104, 105]</w:t>
            </w:r>
            <w:r>
              <w:rPr>
                <w:rFonts w:ascii="Arial" w:cs="Arial" w:eastAsia="Arial" w:hAnsi="Arial"/>
                <w:color w:val="222222"/>
                <w:sz w:val="15"/>
                <w:szCs w:val="15"/>
              </w:rPr>
              <w:t xml:space="preserve">; our pipeline (self-tested)</w:t>
            </w:r>
          </w:p>
        </w:tc>
        <w:tc>
          <w:tcPr>
            <w:tcW w:type="dxa" w:w="222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 20 cycles per player (Figure 1)</w:t>
            </w:r>
          </w:p>
        </w:tc>
        <w:tc>
          <w:tcPr>
            <w:tcW w:type="dxa" w:w="125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3 → 4</w:t>
            </w:r>
          </w:p>
        </w:tc>
      </w:tr>
      <w:tr>
        <w:trPr>
          <w:cantSplit/>
        </w:trPr>
        <w:tc>
          <w:tcPr>
            <w:tcW w:type="dxa" w:w="194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Stroke family on device</w:t>
            </w:r>
          </w:p>
        </w:tc>
        <w:tc>
          <w:tcPr>
            <w:tcW w:type="dxa" w:w="361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Four-way tabla CNN </w:t>
            </w:r>
            <w:r>
              <w:rPr>
                <w:rFonts w:ascii="Arial" w:cs="Arial" w:eastAsia="Arial" w:hAnsi="Arial"/>
                <w:b w:val="false"/>
                <w:bCs w:val="false"/>
                <w:color w:val="1F4E79"/>
                <w:sz w:val="15"/>
                <w:szCs w:val="15"/>
              </w:rPr>
              <w:t xml:space="preserve">[48, 49]</w:t>
            </w:r>
            <w:r>
              <w:rPr>
                <w:rFonts w:ascii="Arial" w:cs="Arial" w:eastAsia="Arial" w:hAnsi="Arial"/>
                <w:color w:val="222222"/>
                <w:sz w:val="15"/>
                <w:szCs w:val="15"/>
              </w:rPr>
              <w:t xml:space="preserve">; TinyML on ESP32-S3 </w:t>
            </w:r>
            <w:r>
              <w:rPr>
                <w:rFonts w:ascii="Arial" w:cs="Arial" w:eastAsia="Arial" w:hAnsi="Arial"/>
                <w:b w:val="false"/>
                <w:bCs w:val="false"/>
                <w:color w:val="1F4E79"/>
                <w:sz w:val="15"/>
                <w:szCs w:val="15"/>
              </w:rPr>
              <w:t xml:space="preserve">[121]</w:t>
            </w:r>
          </w:p>
        </w:tc>
        <w:tc>
          <w:tcPr>
            <w:tcW w:type="dxa" w:w="222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 26,600 training strokes</w:t>
            </w:r>
          </w:p>
        </w:tc>
        <w:tc>
          <w:tcPr>
            <w:tcW w:type="dxa" w:w="125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3 → 4</w:t>
            </w:r>
          </w:p>
        </w:tc>
      </w:tr>
      <w:tr>
        <w:trPr>
          <w:cantSplit/>
        </w:trPr>
        <w:tc>
          <w:tcPr>
            <w:tcW w:type="dxa" w:w="194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Wireless timing</w:t>
            </w:r>
          </w:p>
        </w:tc>
        <w:tc>
          <w:tcPr>
            <w:tcW w:type="dxa" w:w="361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ESP-NOW round trip about 2.4 ms </w:t>
            </w:r>
            <w:r>
              <w:rPr>
                <w:rFonts w:ascii="Arial" w:cs="Arial" w:eastAsia="Arial" w:hAnsi="Arial"/>
                <w:b w:val="false"/>
                <w:bCs w:val="false"/>
                <w:color w:val="1F4E79"/>
                <w:sz w:val="15"/>
                <w:szCs w:val="15"/>
              </w:rPr>
              <w:t xml:space="preserve">[98]</w:t>
            </w:r>
            <w:r>
              <w:rPr>
                <w:rFonts w:ascii="Arial" w:cs="Arial" w:eastAsia="Arial" w:hAnsi="Arial"/>
                <w:color w:val="222222"/>
                <w:sz w:val="15"/>
                <w:szCs w:val="15"/>
              </w:rPr>
              <w:t xml:space="preserve">; regression skew compensation </w:t>
            </w:r>
            <w:r>
              <w:rPr>
                <w:rFonts w:ascii="Arial" w:cs="Arial" w:eastAsia="Arial" w:hAnsi="Arial"/>
                <w:b w:val="false"/>
                <w:bCs w:val="false"/>
                <w:color w:val="1F4E79"/>
                <w:sz w:val="15"/>
                <w:szCs w:val="15"/>
              </w:rPr>
              <w:t xml:space="preserve">[122]</w:t>
            </w:r>
          </w:p>
        </w:tc>
        <w:tc>
          <w:tcPr>
            <w:tcW w:type="dxa" w:w="222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Sync target ≤ 1 ms</w:t>
            </w:r>
          </w:p>
        </w:tc>
        <w:tc>
          <w:tcPr>
            <w:tcW w:type="dxa" w:w="125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4 → 5</w:t>
            </w:r>
          </w:p>
        </w:tc>
      </w:tr>
      <w:tr>
        <w:trPr>
          <w:cantSplit/>
        </w:trPr>
        <w:tc>
          <w:tcPr>
            <w:tcW w:type="dxa" w:w="194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Haptic drive</w:t>
            </w:r>
          </w:p>
        </w:tc>
        <w:tc>
          <w:tcPr>
            <w:tcW w:type="dxa" w:w="361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DRV2605L closed-loop LRA drive </w:t>
            </w:r>
            <w:r>
              <w:rPr>
                <w:rFonts w:ascii="Arial" w:cs="Arial" w:eastAsia="Arial" w:hAnsi="Arial"/>
                <w:b w:val="false"/>
                <w:bCs w:val="false"/>
                <w:color w:val="1F4E79"/>
                <w:sz w:val="15"/>
                <w:szCs w:val="15"/>
              </w:rPr>
              <w:t xml:space="preserve">[97]</w:t>
            </w:r>
          </w:p>
        </w:tc>
        <w:tc>
          <w:tcPr>
            <w:tcW w:type="dxa" w:w="222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4 drivers, 2 I²C buses</w:t>
            </w:r>
          </w:p>
        </w:tc>
        <w:tc>
          <w:tcPr>
            <w:tcW w:type="dxa" w:w="125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5 → 6</w:t>
            </w:r>
          </w:p>
        </w:tc>
      </w:tr>
      <w:tr>
        <w:trPr>
          <w:cantSplit/>
        </w:trPr>
        <w:tc>
          <w:tcPr>
            <w:tcW w:type="dxa" w:w="194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Cue perception during play</w:t>
            </w:r>
          </w:p>
        </w:tc>
        <w:tc>
          <w:tcPr>
            <w:tcW w:type="dxa" w:w="361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Wrist cues during drumming </w:t>
            </w:r>
            <w:r>
              <w:rPr>
                <w:rFonts w:ascii="Arial" w:cs="Arial" w:eastAsia="Arial" w:hAnsi="Arial"/>
                <w:b w:val="false"/>
                <w:bCs w:val="false"/>
                <w:color w:val="1F4E79"/>
                <w:sz w:val="15"/>
                <w:szCs w:val="15"/>
              </w:rPr>
              <w:t xml:space="preserve">[4]</w:t>
            </w:r>
            <w:r>
              <w:rPr>
                <w:rFonts w:ascii="Arial" w:cs="Arial" w:eastAsia="Arial" w:hAnsi="Arial"/>
                <w:color w:val="222222"/>
                <w:sz w:val="15"/>
                <w:szCs w:val="15"/>
              </w:rPr>
              <w:t xml:space="preserve">; suppression timing </w:t>
            </w:r>
            <w:r>
              <w:rPr>
                <w:rFonts w:ascii="Arial" w:cs="Arial" w:eastAsia="Arial" w:hAnsi="Arial"/>
                <w:b w:val="false"/>
                <w:bCs w:val="false"/>
                <w:color w:val="1F4E79"/>
                <w:sz w:val="15"/>
                <w:szCs w:val="15"/>
              </w:rPr>
              <w:t xml:space="preserve">[113]</w:t>
            </w:r>
          </w:p>
        </w:tc>
        <w:tc>
          <w:tcPr>
            <w:tcW w:type="dxa" w:w="222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E2</w:t>
            </w:r>
          </w:p>
        </w:tc>
        <w:tc>
          <w:tcPr>
            <w:tcW w:type="dxa" w:w="125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3 → 4</w:t>
            </w:r>
          </w:p>
        </w:tc>
      </w:tr>
      <w:tr>
        <w:trPr>
          <w:cantSplit/>
        </w:trPr>
        <w:tc>
          <w:tcPr>
            <w:tcW w:type="dxa" w:w="194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Passkey signing</w:t>
            </w:r>
          </w:p>
        </w:tc>
        <w:tc>
          <w:tcPr>
            <w:tcW w:type="dxa" w:w="361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WebAuthn Level 3 Recommendation </w:t>
            </w:r>
            <w:r>
              <w:rPr>
                <w:rFonts w:ascii="Arial" w:cs="Arial" w:eastAsia="Arial" w:hAnsi="Arial"/>
                <w:b w:val="false"/>
                <w:bCs w:val="false"/>
                <w:color w:val="1F4E79"/>
                <w:sz w:val="15"/>
                <w:szCs w:val="15"/>
              </w:rPr>
              <w:t xml:space="preserve">[119]</w:t>
            </w:r>
            <w:r>
              <w:rPr>
                <w:rFonts w:ascii="Arial" w:cs="Arial" w:eastAsia="Arial" w:hAnsi="Arial"/>
                <w:color w:val="222222"/>
                <w:sz w:val="15"/>
                <w:szCs w:val="15"/>
              </w:rPr>
              <w:t xml:space="preserve">; COSE </w:t>
            </w:r>
            <w:r>
              <w:rPr>
                <w:rFonts w:ascii="Arial" w:cs="Arial" w:eastAsia="Arial" w:hAnsi="Arial"/>
                <w:b w:val="false"/>
                <w:bCs w:val="false"/>
                <w:color w:val="1F4E79"/>
                <w:sz w:val="15"/>
                <w:szCs w:val="15"/>
              </w:rPr>
              <w:t xml:space="preserve">[92]</w:t>
            </w:r>
          </w:p>
        </w:tc>
        <w:tc>
          <w:tcPr>
            <w:tcW w:type="dxa" w:w="222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Fingerprint on the guru's phone</w:t>
            </w:r>
          </w:p>
        </w:tc>
        <w:tc>
          <w:tcPr>
            <w:tcW w:type="dxa" w:w="125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6</w:t>
            </w:r>
          </w:p>
        </w:tc>
      </w:tr>
      <w:tr>
        <w:trPr>
          <w:cantSplit/>
        </w:trPr>
        <w:tc>
          <w:tcPr>
            <w:tcW w:type="dxa" w:w="194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App</w:t>
            </w:r>
          </w:p>
        </w:tc>
        <w:tc>
          <w:tcPr>
            <w:tcW w:type="dxa" w:w="361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Web Bluetooth in Chrome and Edge </w:t>
            </w:r>
            <w:r>
              <w:rPr>
                <w:rFonts w:ascii="Arial" w:cs="Arial" w:eastAsia="Arial" w:hAnsi="Arial"/>
                <w:b w:val="false"/>
                <w:bCs w:val="false"/>
                <w:color w:val="1F4E79"/>
                <w:sz w:val="15"/>
                <w:szCs w:val="15"/>
              </w:rPr>
              <w:t xml:space="preserve">[99]</w:t>
            </w:r>
          </w:p>
        </w:tc>
        <w:tc>
          <w:tcPr>
            <w:tcW w:type="dxa" w:w="222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Demo on a Chrome laptop</w:t>
            </w:r>
          </w:p>
        </w:tc>
        <w:tc>
          <w:tcPr>
            <w:tcW w:type="dxa" w:w="125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5</w:t>
            </w:r>
          </w:p>
        </w:tc>
      </w:tr>
      <w:tr>
        <w:trPr>
          <w:cantSplit/>
        </w:trPr>
        <w:tc>
          <w:tcPr>
            <w:tcW w:type="dxa" w:w="194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Open-source haptic platforms</w:t>
            </w:r>
          </w:p>
        </w:tc>
        <w:tc>
          <w:tcPr>
            <w:tcW w:type="dxa" w:w="361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VHP 12-channel board </w:t>
            </w:r>
            <w:r>
              <w:rPr>
                <w:rFonts w:ascii="Arial" w:cs="Arial" w:eastAsia="Arial" w:hAnsi="Arial"/>
                <w:b w:val="false"/>
                <w:bCs w:val="false"/>
                <w:color w:val="1F4E79"/>
                <w:sz w:val="15"/>
                <w:szCs w:val="15"/>
              </w:rPr>
              <w:t xml:space="preserve">[100]</w:t>
            </w:r>
            <w:r>
              <w:rPr>
                <w:rFonts w:ascii="Arial" w:cs="Arial" w:eastAsia="Arial" w:hAnsi="Arial"/>
                <w:color w:val="222222"/>
                <w:sz w:val="15"/>
                <w:szCs w:val="15"/>
              </w:rPr>
              <w:t xml:space="preserve">; ARIADNE </w:t>
            </w:r>
            <w:r>
              <w:rPr>
                <w:rFonts w:ascii="Arial" w:cs="Arial" w:eastAsia="Arial" w:hAnsi="Arial"/>
                <w:b w:val="false"/>
                <w:bCs w:val="false"/>
                <w:color w:val="1F4E79"/>
                <w:sz w:val="15"/>
                <w:szCs w:val="15"/>
              </w:rPr>
              <w:t xml:space="preserve">[101]</w:t>
            </w:r>
          </w:p>
        </w:tc>
        <w:tc>
          <w:tcPr>
            <w:tcW w:type="dxa" w:w="222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Reference designs exist</w:t>
            </w:r>
          </w:p>
        </w:tc>
        <w:tc>
          <w:tcPr>
            <w:tcW w:type="dxa" w:w="125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w:t>
            </w:r>
          </w:p>
        </w:tc>
      </w:tr>
      <w:tr>
        <w:trPr>
          <w:cantSplit/>
        </w:trPr>
        <w:tc>
          <w:tcPr>
            <w:tcW w:type="dxa" w:w="194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Fade controller</w:t>
            </w:r>
          </w:p>
        </w:tc>
        <w:tc>
          <w:tcPr>
            <w:tcW w:type="dxa" w:w="361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Two simulations (Section 7)</w:t>
            </w:r>
          </w:p>
        </w:tc>
        <w:tc>
          <w:tcPr>
            <w:tcW w:type="dxa" w:w="222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Stable; small gain under realistic conditions</w:t>
            </w:r>
          </w:p>
        </w:tc>
        <w:tc>
          <w:tcPr>
            <w:tcW w:type="dxa" w:w="125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3 → 4</w:t>
            </w:r>
          </w:p>
        </w:tc>
      </w:tr>
    </w:tbl>
    <w:p>
      <w:pPr>
        <w:spacing w:after="80"/>
      </w:pPr>
    </w:p>
    <w:p>
      <w:pPr>
        <w:pStyle w:val="Heading2"/>
        <w:keepNext/>
      </w:pPr>
      <w:r>
        <w:rPr>
          <w:rFonts w:ascii="Arial" w:cs="Arial" w:eastAsia="Arial" w:hAnsi="Arial"/>
        </w:rPr>
        <w:t xml:space="preserve">11.2 Timing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17"/>
        <w:gridCol w:w="3009"/>
      </w:tblGrid>
      <w:tr>
        <w:trPr>
          <w:cantSplit/>
          <w:tblHeader/>
        </w:trPr>
        <w:tc>
          <w:tcPr>
            <w:tcW w:type="dxa" w:w="601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Live Mirror stage (targets)</w:t>
            </w:r>
          </w:p>
        </w:tc>
        <w:tc>
          <w:tcPr>
            <w:tcW w:type="dxa" w:w="300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ms</w:t>
            </w:r>
          </w:p>
        </w:tc>
      </w:tr>
      <w:tr>
        <w:trPr>
          <w:cantSplit/>
        </w:trPr>
        <w:tc>
          <w:tcPr>
            <w:tcW w:type="dxa" w:w="601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Piezo sampling and threshold</w:t>
            </w:r>
          </w:p>
        </w:tc>
        <w:tc>
          <w:tcPr>
            <w:tcW w:type="dxa" w:w="30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 0.25</w:t>
            </w:r>
          </w:p>
        </w:tc>
      </w:tr>
      <w:tr>
        <w:trPr>
          <w:cantSplit/>
        </w:trPr>
        <w:tc>
          <w:tcPr>
            <w:tcW w:type="dxa" w:w="601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Peak window</w:t>
            </w:r>
          </w:p>
        </w:tc>
        <w:tc>
          <w:tcPr>
            <w:tcW w:type="dxa" w:w="300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3–4</w:t>
            </w:r>
          </w:p>
        </w:tc>
      </w:tr>
      <w:tr>
        <w:trPr>
          <w:cantSplit/>
        </w:trPr>
        <w:tc>
          <w:tcPr>
            <w:tcW w:type="dxa" w:w="601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ESP-NOW transfer</w:t>
            </w:r>
          </w:p>
        </w:tc>
        <w:tc>
          <w:tcPr>
            <w:tcW w:type="dxa" w:w="30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2–6</w:t>
            </w:r>
          </w:p>
        </w:tc>
      </w:tr>
      <w:tr>
        <w:trPr>
          <w:cantSplit/>
        </w:trPr>
        <w:tc>
          <w:tcPr>
            <w:tcW w:type="dxa" w:w="601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Cuff processing</w:t>
            </w:r>
          </w:p>
        </w:tc>
        <w:tc>
          <w:tcPr>
            <w:tcW w:type="dxa" w:w="300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 1</w:t>
            </w:r>
          </w:p>
        </w:tc>
      </w:tr>
      <w:tr>
        <w:trPr>
          <w:cantSplit/>
        </w:trPr>
        <w:tc>
          <w:tcPr>
            <w:tcW w:type="dxa" w:w="601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DRV2605L + LRA rise to perceptible vibration</w:t>
            </w:r>
          </w:p>
        </w:tc>
        <w:tc>
          <w:tcPr>
            <w:tcW w:type="dxa" w:w="300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10–30</w:t>
            </w:r>
          </w:p>
        </w:tc>
      </w:tr>
      <w:tr>
        <w:trPr>
          <w:cantSplit/>
        </w:trPr>
        <w:tc>
          <w:tcPr>
            <w:tcW w:type="dxa" w:w="6017"/>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Total</w:t>
            </w:r>
          </w:p>
        </w:tc>
        <w:tc>
          <w:tcPr>
            <w:tcW w:type="dxa" w:w="3009"/>
            <w:tcBorders>
              <w:top w:val="single" w:color="D9CFC0" w:sz="4"/>
              <w:left w:val="single" w:color="D9CFC0" w:sz="4"/>
              <w:bottom w:val="single" w:color="D9CFC0" w:sz="4"/>
              <w:right w:val="single" w:color="D9CFC0" w:sz="4"/>
            </w:tcBorders>
            <w:shd w:fill="EAF1F8"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 20–45 (target ≤ 50)</w:t>
            </w:r>
          </w:p>
        </w:tc>
      </w:tr>
    </w:tbl>
    <w:p>
      <w:pPr>
        <w:spacing w:after="80"/>
      </w:pPr>
    </w:p>
    <w:p>
      <w:pPr>
        <w:spacing w:after="120" w:before="0" w:line="276"/>
        <w:jc w:val="left"/>
      </w:pPr>
      <w:r>
        <w:rPr>
          <w:rFonts w:ascii="Arial" w:cs="Arial" w:eastAsia="Arial" w:hAnsi="Arial"/>
          <w:color w:val="222222"/>
          <w:sz w:val="20"/>
          <w:szCs w:val="20"/>
        </w:rPr>
        <w:t xml:space="preserve">Learn mode does not depend on radio latency: cues fire from cuff timers on a synchronised timeline. Target cue jitter ≤ 3 ms SD, measured with the accelerometer rig. On-device stroke classification runs after each onset and never delays cues. [Target]</w:t>
      </w:r>
    </w:p>
    <w:p>
      <w:pPr>
        <w:pStyle w:val="Heading2"/>
        <w:keepNext/>
      </w:pPr>
      <w:r>
        <w:rPr>
          <w:rFonts w:ascii="Arial" w:cs="Arial" w:eastAsia="Arial" w:hAnsi="Arial"/>
        </w:rPr>
        <w:t xml:space="preserve">11.3 Four-week build plan (with the experiments)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34"/>
        <w:gridCol w:w="4669"/>
        <w:gridCol w:w="3423"/>
      </w:tblGrid>
      <w:tr>
        <w:trPr>
          <w:cantSplit/>
          <w:tblHeader/>
        </w:trPr>
        <w:tc>
          <w:tcPr>
            <w:tcW w:type="dxa" w:w="93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Week</w:t>
            </w:r>
          </w:p>
        </w:tc>
        <w:tc>
          <w:tcPr>
            <w:tcW w:type="dxa" w:w="466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Build</w:t>
            </w:r>
          </w:p>
        </w:tc>
        <w:tc>
          <w:tcPr>
            <w:tcW w:type="dxa" w:w="342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Evidence produced</w:t>
            </w:r>
          </w:p>
        </w:tc>
      </w:tr>
      <w:tr>
        <w:trPr>
          <w:cantSplit/>
        </w:trPr>
        <w:tc>
          <w:tcPr>
            <w:tcW w:type="dxa" w:w="93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w:t>
            </w:r>
          </w:p>
        </w:tc>
        <w:tc>
          <w:tcPr>
            <w:tcW w:type="dxa" w:w="46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Piezo bench, onset detection, logging; accelerometer rig</w:t>
            </w:r>
          </w:p>
        </w:tc>
        <w:tc>
          <w:tcPr>
            <w:tcW w:type="dxa" w:w="34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T1, T2; E2 rig ready</w:t>
            </w:r>
          </w:p>
        </w:tc>
      </w:tr>
      <w:tr>
        <w:trPr>
          <w:cantSplit/>
        </w:trPr>
        <w:tc>
          <w:tcPr>
            <w:tcW w:type="dxa" w:w="93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2</w:t>
            </w:r>
          </w:p>
        </w:tc>
        <w:tc>
          <w:tcPr>
            <w:tcW w:type="dxa" w:w="46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Cuffs (DRV2605L, 2 I²C buses), ESP-NOW sync with skew compensation, movement-aware scheduler</w:t>
            </w:r>
          </w:p>
        </w:tc>
        <w:tc>
          <w:tcPr>
            <w:tcW w:type="dxa" w:w="34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T5–T8; </w:t>
            </w:r>
            <w:r>
              <w:rPr>
                <w:rFonts w:ascii="Arial" w:cs="Arial" w:eastAsia="Arial" w:hAnsi="Arial"/>
                <w:b/>
                <w:bCs/>
                <w:color w:val="222222"/>
                <w:sz w:val="17"/>
                <w:szCs w:val="17"/>
              </w:rPr>
              <w:t xml:space="preserve">E2</w:t>
            </w:r>
            <w:r>
              <w:rPr>
                <w:rFonts w:ascii="Arial" w:cs="Arial" w:eastAsia="Arial" w:hAnsi="Arial"/>
                <w:color w:val="222222"/>
                <w:sz w:val="17"/>
                <w:szCs w:val="17"/>
              </w:rPr>
              <w:t xml:space="preserve"> and </w:t>
            </w:r>
            <w:r>
              <w:rPr>
                <w:rFonts w:ascii="Arial" w:cs="Arial" w:eastAsia="Arial" w:hAnsi="Arial"/>
                <w:b/>
                <w:bCs/>
                <w:color w:val="222222"/>
                <w:sz w:val="17"/>
                <w:szCs w:val="17"/>
              </w:rPr>
              <w:t xml:space="preserve">E4</w:t>
            </w:r>
            <w:r>
              <w:rPr>
                <w:rFonts w:ascii="Arial" w:cs="Arial" w:eastAsia="Arial" w:hAnsi="Arial"/>
                <w:color w:val="222222"/>
                <w:sz w:val="17"/>
                <w:szCs w:val="17"/>
              </w:rPr>
              <w:t xml:space="preserve"> run</w:t>
            </w:r>
          </w:p>
        </w:tc>
      </w:tr>
      <w:tr>
        <w:trPr>
          <w:cantSplit/>
        </w:trPr>
        <w:tc>
          <w:tcPr>
            <w:tcW w:type="dxa" w:w="93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3</w:t>
            </w:r>
          </w:p>
        </w:tc>
        <w:tc>
          <w:tcPr>
            <w:tcW w:type="dxa" w:w="46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Record 3 players; fingerprint analysis; app (tiers, scoring, Fade Engine 2.1, passkey signing, verify)</w:t>
            </w:r>
          </w:p>
        </w:tc>
        <w:tc>
          <w:tcPr>
            <w:tcW w:type="dxa" w:w="34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E1</w:t>
            </w:r>
            <w:r>
              <w:rPr>
                <w:rFonts w:ascii="Arial" w:cs="Arial" w:eastAsia="Arial" w:hAnsi="Arial"/>
                <w:color w:val="222222"/>
                <w:sz w:val="17"/>
                <w:szCs w:val="17"/>
              </w:rPr>
              <w:t xml:space="preserve"> result</w:t>
            </w:r>
          </w:p>
        </w:tc>
      </w:tr>
      <w:tr>
        <w:trPr>
          <w:cantSplit/>
        </w:trPr>
        <w:tc>
          <w:tcPr>
            <w:tcW w:type="dxa" w:w="93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4</w:t>
            </w:r>
          </w:p>
        </w:tc>
        <w:tc>
          <w:tcPr>
            <w:tcW w:type="dxa" w:w="46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Kiosk mode; </w:t>
            </w:r>
            <w:r>
              <w:rPr>
                <w:rFonts w:ascii="Arial" w:cs="Arial" w:eastAsia="Arial" w:hAnsi="Arial"/>
                <w:b/>
                <w:bCs/>
                <w:color w:val="222222"/>
                <w:sz w:val="17"/>
                <w:szCs w:val="17"/>
              </w:rPr>
              <w:t xml:space="preserve">E3</w:t>
            </w:r>
            <w:r>
              <w:rPr>
                <w:rFonts w:ascii="Arial" w:cs="Arial" w:eastAsia="Arial" w:hAnsi="Arial"/>
                <w:color w:val="222222"/>
                <w:sz w:val="17"/>
                <w:szCs w:val="17"/>
              </w:rPr>
              <w:t xml:space="preserve">; mini-pilot (n = 5–8); deck; backup video</w:t>
            </w:r>
          </w:p>
        </w:tc>
        <w:tc>
          <w:tcPr>
            <w:tcW w:type="dxa" w:w="34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E3 result; pilot interval estimate</w:t>
            </w:r>
          </w:p>
        </w:tc>
      </w:tr>
    </w:tbl>
    <w:p>
      <w:pPr>
        <w:spacing w:after="80"/>
      </w:pPr>
    </w:p>
    <w:p>
      <w:pPr>
        <w:spacing w:after="120" w:before="0" w:line="276"/>
        <w:jc w:val="left"/>
      </w:pPr>
      <w:r>
        <w:rPr>
          <w:rFonts w:ascii="Arial" w:cs="Arial" w:eastAsia="Arial" w:hAnsi="Arial"/>
          <w:b/>
          <w:bCs/>
          <w:color w:val="222222"/>
          <w:sz w:val="20"/>
          <w:szCs w:val="20"/>
        </w:rPr>
        <w:t xml:space="preserve">36-hour hackathon:</w:t>
      </w:r>
      <w:r>
        <w:rPr>
          <w:rFonts w:ascii="Arial" w:cs="Arial" w:eastAsia="Arial" w:hAnsi="Arial"/>
          <w:color w:val="222222"/>
          <w:sz w:val="20"/>
          <w:szCs w:val="20"/>
        </w:rPr>
        <w:t xml:space="preserve"> hours 0–6 integrate and calibrate; 6–18 Learn mode, fade curve, fingerprint view; 18–26 kiosk and verify; 26–32 rehearse, backup video, top-3 bug fixes; 32–36 checks and sleep. Feature freeze at hour 26.</w:t>
      </w:r>
    </w:p>
    <w:p>
      <w:pPr>
        <w:pStyle w:val="Heading2"/>
        <w:keepNext/>
      </w:pPr>
      <w:r>
        <w:rPr>
          <w:rFonts w:ascii="Arial" w:cs="Arial" w:eastAsia="Arial" w:hAnsi="Arial"/>
        </w:rPr>
        <w:t xml:space="preserve">11.4 Acceptance tests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2"/>
        <w:gridCol w:w="2329"/>
        <w:gridCol w:w="3785"/>
        <w:gridCol w:w="2330"/>
      </w:tblGrid>
      <w:tr>
        <w:trPr>
          <w:cantSplit/>
          <w:tblHeader/>
        </w:trPr>
        <w:tc>
          <w:tcPr>
            <w:tcW w:type="dxa" w:w="58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w:t>
            </w:r>
          </w:p>
        </w:tc>
        <w:tc>
          <w:tcPr>
            <w:tcW w:type="dxa" w:w="232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Test</w:t>
            </w:r>
          </w:p>
        </w:tc>
        <w:tc>
          <w:tcPr>
            <w:tcW w:type="dxa" w:w="378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Method</w:t>
            </w:r>
          </w:p>
        </w:tc>
        <w:tc>
          <w:tcPr>
            <w:tcW w:type="dxa" w:w="233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Target</w:t>
            </w:r>
          </w:p>
        </w:tc>
      </w:tr>
      <w:tr>
        <w:trPr>
          <w:cantSplit/>
        </w:trPr>
        <w:tc>
          <w:tcPr>
            <w:tcW w:type="dxa" w:w="5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T1</w:t>
            </w:r>
          </w:p>
        </w:tc>
        <w:tc>
          <w:tcPr>
            <w:tcW w:type="dxa" w:w="23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Onset accuracy</w:t>
            </w:r>
          </w:p>
        </w:tc>
        <w:tc>
          <w:tcPr>
            <w:tcW w:type="dxa" w:w="37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200 strokes per drum vs 240 fps video + clap sync</w:t>
            </w:r>
          </w:p>
        </w:tc>
        <w:tc>
          <w:tcPr>
            <w:tcW w:type="dxa" w:w="233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 ≥ 0.95 within ±10 ms</w:t>
            </w:r>
          </w:p>
        </w:tc>
      </w:tr>
      <w:tr>
        <w:trPr>
          <w:cantSplit/>
        </w:trPr>
        <w:tc>
          <w:tcPr>
            <w:tcW w:type="dxa" w:w="5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T2</w:t>
            </w:r>
          </w:p>
        </w:tc>
        <w:tc>
          <w:tcPr>
            <w:tcW w:type="dxa" w:w="23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False triggers</w:t>
            </w:r>
          </w:p>
        </w:tc>
        <w:tc>
          <w:tcPr>
            <w:tcW w:type="dxa" w:w="37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5 min of bumps and room noise</w:t>
            </w:r>
          </w:p>
        </w:tc>
        <w:tc>
          <w:tcPr>
            <w:tcW w:type="dxa" w:w="233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 1%</w:t>
            </w:r>
          </w:p>
        </w:tc>
      </w:tr>
      <w:tr>
        <w:trPr>
          <w:cantSplit/>
        </w:trPr>
        <w:tc>
          <w:tcPr>
            <w:tcW w:type="dxa" w:w="5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T3</w:t>
            </w:r>
          </w:p>
        </w:tc>
        <w:tc>
          <w:tcPr>
            <w:tcW w:type="dxa" w:w="23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Hand attribution</w:t>
            </w:r>
          </w:p>
        </w:tc>
        <w:tc>
          <w:tcPr>
            <w:tcW w:type="dxa" w:w="37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Alternate and simultaneous strokes</w:t>
            </w:r>
          </w:p>
        </w:tc>
        <w:tc>
          <w:tcPr>
            <w:tcW w:type="dxa" w:w="233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 95%</w:t>
            </w:r>
          </w:p>
        </w:tc>
      </w:tr>
      <w:tr>
        <w:trPr>
          <w:cantSplit/>
        </w:trPr>
        <w:tc>
          <w:tcPr>
            <w:tcW w:type="dxa" w:w="5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T5</w:t>
            </w:r>
          </w:p>
        </w:tc>
        <w:tc>
          <w:tcPr>
            <w:tcW w:type="dxa" w:w="23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Cue jitter</w:t>
            </w:r>
          </w:p>
        </w:tc>
        <w:tc>
          <w:tcPr>
            <w:tcW w:type="dxa" w:w="37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Accelerometer, 200 cues</w:t>
            </w:r>
          </w:p>
        </w:tc>
        <w:tc>
          <w:tcPr>
            <w:tcW w:type="dxa" w:w="233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SD ≤ 3 ms</w:t>
            </w:r>
          </w:p>
        </w:tc>
      </w:tr>
      <w:tr>
        <w:trPr>
          <w:cantSplit/>
        </w:trPr>
        <w:tc>
          <w:tcPr>
            <w:tcW w:type="dxa" w:w="5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T7</w:t>
            </w:r>
          </w:p>
        </w:tc>
        <w:tc>
          <w:tcPr>
            <w:tcW w:type="dxa" w:w="23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Live Mirror latency</w:t>
            </w:r>
          </w:p>
        </w:tc>
        <w:tc>
          <w:tcPr>
            <w:tcW w:type="dxa" w:w="37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Strike to vibration onset</w:t>
            </w:r>
          </w:p>
        </w:tc>
        <w:tc>
          <w:tcPr>
            <w:tcW w:type="dxa" w:w="233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 50 ms</w:t>
            </w:r>
          </w:p>
        </w:tc>
      </w:tr>
      <w:tr>
        <w:trPr>
          <w:cantSplit/>
        </w:trPr>
        <w:tc>
          <w:tcPr>
            <w:tcW w:type="dxa" w:w="5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T8</w:t>
            </w:r>
          </w:p>
        </w:tc>
        <w:tc>
          <w:tcPr>
            <w:tcW w:type="dxa" w:w="23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Clock sync</w:t>
            </w:r>
          </w:p>
        </w:tc>
        <w:tc>
          <w:tcPr>
            <w:tcW w:type="dxa" w:w="37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Shared GPIO pulse</w:t>
            </w:r>
          </w:p>
        </w:tc>
        <w:tc>
          <w:tcPr>
            <w:tcW w:type="dxa" w:w="233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 1 ms</w:t>
            </w:r>
          </w:p>
        </w:tc>
      </w:tr>
      <w:tr>
        <w:trPr>
          <w:cantSplit/>
        </w:trPr>
        <w:tc>
          <w:tcPr>
            <w:tcW w:type="dxa" w:w="5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T9</w:t>
            </w:r>
          </w:p>
        </w:tc>
        <w:tc>
          <w:tcPr>
            <w:tcW w:type="dxa" w:w="23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Code recognition while playing (E4)</w:t>
            </w:r>
          </w:p>
        </w:tc>
        <w:tc>
          <w:tcPr>
            <w:tcW w:type="dxa" w:w="37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40 trials</w:t>
            </w:r>
          </w:p>
        </w:tc>
        <w:tc>
          <w:tcPr>
            <w:tcW w:type="dxa" w:w="233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 90% families</w:t>
            </w:r>
          </w:p>
        </w:tc>
      </w:tr>
      <w:tr>
        <w:trPr>
          <w:cantSplit/>
        </w:trPr>
        <w:tc>
          <w:tcPr>
            <w:tcW w:type="dxa" w:w="5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T10</w:t>
            </w:r>
          </w:p>
        </w:tc>
        <w:tc>
          <w:tcPr>
            <w:tcW w:type="dxa" w:w="23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Battery</w:t>
            </w:r>
          </w:p>
        </w:tc>
        <w:tc>
          <w:tcPr>
            <w:tcW w:type="dxa" w:w="37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Continuous Learn mode</w:t>
            </w:r>
          </w:p>
        </w:tc>
        <w:tc>
          <w:tcPr>
            <w:tcW w:type="dxa" w:w="233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 3 h</w:t>
            </w:r>
          </w:p>
        </w:tc>
      </w:tr>
      <w:tr>
        <w:trPr>
          <w:cantSplit/>
        </w:trPr>
        <w:tc>
          <w:tcPr>
            <w:tcW w:type="dxa" w:w="5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T12</w:t>
            </w:r>
          </w:p>
        </w:tc>
        <w:tc>
          <w:tcPr>
            <w:tcW w:type="dxa" w:w="23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Tamper test</w:t>
            </w:r>
          </w:p>
        </w:tc>
        <w:tc>
          <w:tcPr>
            <w:tcW w:type="dxa" w:w="37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Flip each byte in turn</w:t>
            </w:r>
          </w:p>
        </w:tc>
        <w:tc>
          <w:tcPr>
            <w:tcW w:type="dxa" w:w="233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100% rejected</w:t>
            </w:r>
          </w:p>
        </w:tc>
      </w:tr>
      <w:tr>
        <w:trPr>
          <w:cantSplit/>
        </w:trPr>
        <w:tc>
          <w:tcPr>
            <w:tcW w:type="dxa" w:w="5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T13</w:t>
            </w:r>
          </w:p>
        </w:tc>
        <w:tc>
          <w:tcPr>
            <w:tcW w:type="dxa" w:w="23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Fade controller</w:t>
            </w:r>
          </w:p>
        </w:tc>
        <w:tc>
          <w:tcPr>
            <w:tcW w:type="dxa" w:w="37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Simulations</w:t>
            </w:r>
          </w:p>
        </w:tc>
        <w:tc>
          <w:tcPr>
            <w:tcW w:type="dxa" w:w="233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Stable; ≤ 1 reversal / 10 cycles</w:t>
            </w:r>
          </w:p>
        </w:tc>
      </w:tr>
      <w:tr>
        <w:trPr>
          <w:cantSplit/>
        </w:trPr>
        <w:tc>
          <w:tcPr>
            <w:tcW w:type="dxa" w:w="5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T14</w:t>
            </w:r>
          </w:p>
        </w:tc>
        <w:tc>
          <w:tcPr>
            <w:tcW w:type="dxa" w:w="23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Comfort and heat</w:t>
            </w:r>
          </w:p>
        </w:tc>
        <w:tc>
          <w:tcPr>
            <w:tcW w:type="dxa" w:w="37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1 h wear</w:t>
            </w:r>
          </w:p>
        </w:tc>
        <w:tc>
          <w:tcPr>
            <w:tcW w:type="dxa" w:w="233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 warming or discomfort</w:t>
            </w:r>
          </w:p>
        </w:tc>
      </w:tr>
      <w:tr>
        <w:trPr>
          <w:cantSplit/>
        </w:trPr>
        <w:tc>
          <w:tcPr>
            <w:tcW w:type="dxa" w:w="5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T15</w:t>
            </w:r>
          </w:p>
        </w:tc>
        <w:tc>
          <w:tcPr>
            <w:tcW w:type="dxa" w:w="23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Stroke classifier on device</w:t>
            </w:r>
          </w:p>
        </w:tc>
        <w:tc>
          <w:tcPr>
            <w:tcW w:type="dxa" w:w="37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Public four-way test set</w:t>
            </w:r>
          </w:p>
        </w:tc>
        <w:tc>
          <w:tcPr>
            <w:tcW w:type="dxa" w:w="233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Within 5 points of the published desktop model [Target]</w:t>
            </w:r>
          </w:p>
        </w:tc>
      </w:tr>
    </w:tbl>
    <w:p>
      <w:pPr>
        <w:spacing w:after="80"/>
      </w:pPr>
    </w:p>
    <w:p>
      <w:pPr>
        <w:pStyle w:val="Heading2"/>
        <w:keepNext/>
      </w:pPr>
      <w:r>
        <w:rPr>
          <w:rFonts w:ascii="Arial" w:cs="Arial" w:eastAsia="Arial" w:hAnsi="Arial"/>
        </w:rPr>
        <w:t xml:space="preserve">11.5 Top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003"/>
        <w:gridCol w:w="1003"/>
        <w:gridCol w:w="2758"/>
        <w:gridCol w:w="2006"/>
      </w:tblGrid>
      <w:tr>
        <w:trPr>
          <w:cantSplit/>
          <w:tblHeader/>
        </w:trPr>
        <w:tc>
          <w:tcPr>
            <w:tcW w:type="dxa" w:w="225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Risk</w:t>
            </w:r>
          </w:p>
        </w:tc>
        <w:tc>
          <w:tcPr>
            <w:tcW w:type="dxa" w:w="100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Likelihood</w:t>
            </w:r>
          </w:p>
        </w:tc>
        <w:tc>
          <w:tcPr>
            <w:tcW w:type="dxa" w:w="100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Impact</w:t>
            </w:r>
          </w:p>
        </w:tc>
        <w:tc>
          <w:tcPr>
            <w:tcW w:type="dxa" w:w="275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Mitigation</w:t>
            </w:r>
          </w:p>
        </w:tc>
        <w:tc>
          <w:tcPr>
            <w:tcW w:type="dxa" w:w="200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Fallback</w:t>
            </w:r>
          </w:p>
        </w:tc>
      </w:tr>
      <w:tr>
        <w:trPr>
          <w:cantSplit/>
        </w:trPr>
        <w:tc>
          <w:tcPr>
            <w:tcW w:type="dxa" w:w="22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 consenting master for E1</w:t>
            </w:r>
          </w:p>
        </w:tc>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Medium</w:t>
            </w:r>
          </w:p>
        </w:tc>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High</w:t>
            </w:r>
          </w:p>
        </w:tc>
        <w:tc>
          <w:tcPr>
            <w:tcW w:type="dxa" w:w="27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Start outreach now: music colleges, ZCC gurus, local teachers</w:t>
            </w:r>
          </w:p>
        </w:tc>
        <w:tc>
          <w:tcPr>
            <w:tcW w:type="dxa" w:w="200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Three senior students of different teachers; say so</w:t>
            </w:r>
          </w:p>
        </w:tc>
      </w:tr>
      <w:tr>
        <w:trPr>
          <w:cantSplit/>
        </w:trPr>
        <w:tc>
          <w:tcPr>
            <w:tcW w:type="dxa" w:w="22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Fingerprint too small (E1)</w:t>
            </w:r>
          </w:p>
        </w:tc>
        <w:tc>
          <w:tcPr>
            <w:tcW w:type="dxa" w:w="10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Medium</w:t>
            </w:r>
          </w:p>
        </w:tc>
        <w:tc>
          <w:tcPr>
            <w:tcW w:type="dxa" w:w="10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High</w:t>
            </w:r>
          </w:p>
        </w:tc>
        <w:tc>
          <w:tcPr>
            <w:tcW w:type="dxa" w:w="275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Record 30 cycles; add arm kinematics</w:t>
            </w:r>
          </w:p>
        </w:tc>
        <w:tc>
          <w:tcPr>
            <w:tcW w:type="dxa" w:w="200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Tiers 1–2 only; archive value</w:t>
            </w:r>
          </w:p>
        </w:tc>
      </w:tr>
      <w:tr>
        <w:trPr>
          <w:cantSplit/>
        </w:trPr>
        <w:tc>
          <w:tcPr>
            <w:tcW w:type="dxa" w:w="22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Cues masked while playing (E2)</w:t>
            </w:r>
          </w:p>
        </w:tc>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Medium</w:t>
            </w:r>
          </w:p>
        </w:tc>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High</w:t>
            </w:r>
          </w:p>
        </w:tc>
        <w:tc>
          <w:tcPr>
            <w:tcW w:type="dxa" w:w="27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Anticipatory timing; intensity; site choice</w:t>
            </w:r>
          </w:p>
        </w:tc>
        <w:tc>
          <w:tcPr>
            <w:tcW w:type="dxa" w:w="200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Forearm/upper arm; two-level code</w:t>
            </w:r>
          </w:p>
        </w:tc>
      </w:tr>
      <w:tr>
        <w:trPr>
          <w:cantSplit/>
        </w:trPr>
        <w:tc>
          <w:tcPr>
            <w:tcW w:type="dxa" w:w="22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Piezo cross-talk</w:t>
            </w:r>
          </w:p>
        </w:tc>
        <w:tc>
          <w:tcPr>
            <w:tcW w:type="dxa" w:w="10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Medium</w:t>
            </w:r>
          </w:p>
        </w:tc>
        <w:tc>
          <w:tcPr>
            <w:tcW w:type="dxa" w:w="10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High</w:t>
            </w:r>
          </w:p>
        </w:tc>
        <w:tc>
          <w:tcPr>
            <w:tcW w:type="dxa" w:w="275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Foam isolation; dominance rule; tuned window</w:t>
            </w:r>
          </w:p>
        </w:tc>
        <w:tc>
          <w:tcPr>
            <w:tcW w:type="dxa" w:w="200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Practice pad with separated zones</w:t>
            </w:r>
          </w:p>
        </w:tc>
      </w:tr>
      <w:tr>
        <w:trPr>
          <w:cantSplit/>
        </w:trPr>
        <w:tc>
          <w:tcPr>
            <w:tcW w:type="dxa" w:w="22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2.4 GHz congestion at venue</w:t>
            </w:r>
          </w:p>
        </w:tc>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High</w:t>
            </w:r>
          </w:p>
        </w:tc>
        <w:tc>
          <w:tcPr>
            <w:tcW w:type="dxa" w:w="10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Medium</w:t>
            </w:r>
          </w:p>
        </w:tc>
        <w:tc>
          <w:tcPr>
            <w:tcW w:type="dxa" w:w="275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Schedule held on cuffs; short sync bursts</w:t>
            </w:r>
          </w:p>
        </w:tc>
        <w:tc>
          <w:tcPr>
            <w:tcW w:type="dxa" w:w="200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USB wired path; backup video</w:t>
            </w:r>
          </w:p>
        </w:tc>
      </w:tr>
      <w:tr>
        <w:trPr>
          <w:cantSplit/>
        </w:trPr>
        <w:tc>
          <w:tcPr>
            <w:tcW w:type="dxa" w:w="22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Time overrun</w:t>
            </w:r>
          </w:p>
        </w:tc>
        <w:tc>
          <w:tcPr>
            <w:tcW w:type="dxa" w:w="10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High</w:t>
            </w:r>
          </w:p>
        </w:tc>
        <w:tc>
          <w:tcPr>
            <w:tcW w:type="dxa" w:w="10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High</w:t>
            </w:r>
          </w:p>
        </w:tc>
        <w:tc>
          <w:tcPr>
            <w:tcW w:type="dxa" w:w="275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Feature freeze; MoSCoW</w:t>
            </w:r>
          </w:p>
        </w:tc>
        <w:tc>
          <w:tcPr>
            <w:tcW w:type="dxa" w:w="200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Cut Live Mirror and Branch</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9CFC0" w:sz="4"/>
              <w:left w:val="single" w:color="2E6B3A" w:sz="24"/>
              <w:bottom w:val="single" w:color="D9CFC0" w:sz="4"/>
              <w:right w:val="single" w:color="D9CFC0" w:sz="4"/>
            </w:tcBorders>
            <w:shd w:fill="EEF6EF" w:color="auto" w:val="clear"/>
            <w:tcMar>
              <w:top w:type="dxa" w:w="120"/>
              <w:left w:type="dxa" w:w="200"/>
              <w:bottom w:type="dxa" w:w="100"/>
              <w:right w:type="dxa" w:w="160"/>
            </w:tcMar>
          </w:tcPr>
          <w:p>
            <w:pPr>
              <w:spacing w:after="80"/>
            </w:pPr>
            <w:r>
              <w:rPr>
                <w:rFonts w:ascii="Arial" w:cs="Arial" w:eastAsia="Arial" w:hAnsi="Arial"/>
                <w:b/>
                <w:bCs/>
                <w:color w:val="2E6B3A"/>
                <w:sz w:val="21"/>
                <w:szCs w:val="21"/>
              </w:rPr>
              <w:t xml:space="preserve">Feasibility verdict</w:t>
            </w:r>
          </w:p>
          <w:p>
            <w:pPr>
              <w:spacing w:after="70" w:line="266"/>
            </w:pPr>
            <w:r>
              <w:rPr>
                <w:rFonts w:ascii="Arial" w:cs="Arial" w:eastAsia="Arial" w:hAnsi="Arial"/>
                <w:b/>
                <w:bCs/>
                <w:color w:val="222222"/>
                <w:sz w:val="19"/>
                <w:szCs w:val="19"/>
              </w:rPr>
              <w:t xml:space="preserve">Feasible in 4 weeks for a 6-person team</w:t>
            </w:r>
            <w:r>
              <w:rPr>
                <w:rFonts w:ascii="Arial" w:cs="Arial" w:eastAsia="Arial" w:hAnsi="Arial"/>
                <w:color w:val="222222"/>
                <w:sz w:val="19"/>
                <w:szCs w:val="19"/>
              </w:rPr>
              <w:t xml:space="preserve">, with the two killer risks tested by E1 and E2 in weeks 2–3, before the team depends on them. Every part is off the shelf; the analysis code already exists.</w:t>
            </w:r>
          </w:p>
        </w:tc>
      </w:tr>
    </w:tbl>
    <w:p>
      <w:pPr>
        <w:spacing w:after="100"/>
      </w:pPr>
    </w:p>
    <w:p>
      <w:pPr>
        <w:pStyle w:val="Heading1"/>
        <w:keepNext/>
        <w:spacing w:after="200" w:before="480"/>
      </w:pPr>
      <w:r>
        <w:rPr>
          <w:rFonts w:ascii="Arial" w:cs="Arial" w:eastAsia="Arial" w:hAnsi="Arial"/>
        </w:rPr>
        <w:t xml:space="preserve">12. Viability</w:t>
      </w:r>
    </w:p>
    <w:p>
      <w:pPr>
        <w:pStyle w:val="Heading2"/>
        <w:keepNext/>
      </w:pPr>
      <w:r>
        <w:rPr>
          <w:rFonts w:ascii="Arial" w:cs="Arial" w:eastAsia="Arial" w:hAnsi="Arial"/>
        </w:rPr>
        <w:t xml:space="preserve">12.1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2257"/>
        <w:gridCol w:w="3384"/>
      </w:tblGrid>
      <w:tr>
        <w:trPr>
          <w:cantSplit/>
          <w:tblHeader/>
        </w:trPr>
        <w:tc>
          <w:tcPr>
            <w:tcW w:type="dxa" w:w="338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Item</w:t>
            </w:r>
          </w:p>
        </w:tc>
        <w:tc>
          <w:tcPr>
            <w:tcW w:type="dxa" w:w="225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Cost</w:t>
            </w:r>
          </w:p>
        </w:tc>
        <w:tc>
          <w:tcPr>
            <w:tcW w:type="dxa" w:w="338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Note</w:t>
            </w:r>
          </w:p>
        </w:tc>
      </w:tr>
      <w:tr>
        <w:trPr>
          <w:cantSplit/>
        </w:trPr>
        <w:tc>
          <w:tcPr>
            <w:tcW w:type="dxa" w:w="33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Prototype system (dev boards)</w:t>
            </w:r>
          </w:p>
        </w:tc>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 ₹6,000–7,500</w:t>
            </w:r>
          </w:p>
        </w:tc>
        <w:tc>
          <w:tcPr>
            <w:tcW w:type="dxa" w:w="338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Section 5.10</w:t>
            </w:r>
          </w:p>
        </w:tc>
      </w:tr>
      <w:tr>
        <w:trPr>
          <w:cantSplit/>
        </w:trPr>
        <w:tc>
          <w:tcPr>
            <w:tcW w:type="dxa" w:w="33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Production system, ~1,000 units</w:t>
            </w:r>
          </w:p>
        </w:tc>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 ₹3,000–5,600</w:t>
            </w:r>
          </w:p>
        </w:tc>
        <w:tc>
          <w:tcPr>
            <w:tcW w:type="dxa" w:w="338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LCSC reference prices + estimates </w:t>
            </w:r>
            <w:r>
              <w:rPr>
                <w:rFonts w:ascii="Arial" w:cs="Arial" w:eastAsia="Arial" w:hAnsi="Arial"/>
                <w:b w:val="false"/>
                <w:bCs w:val="false"/>
                <w:color w:val="1F4E79"/>
                <w:sz w:val="17"/>
                <w:szCs w:val="17"/>
              </w:rPr>
              <w:t xml:space="preserve">[123]</w:t>
            </w:r>
            <w:r>
              <w:rPr>
                <w:rFonts w:ascii="Arial" w:cs="Arial" w:eastAsia="Arial" w:hAnsi="Arial"/>
                <w:color w:val="222222"/>
                <w:sz w:val="17"/>
                <w:szCs w:val="17"/>
              </w:rPr>
              <w:t xml:space="preserve"> [Target]</w:t>
            </w:r>
          </w:p>
        </w:tc>
      </w:tr>
      <w:tr>
        <w:trPr>
          <w:cantSplit/>
        </w:trPr>
        <w:tc>
          <w:tcPr>
            <w:tcW w:type="dxa" w:w="33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Practice pad (two piezo zones)</w:t>
            </w:r>
          </w:p>
        </w:tc>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 ₹300–500</w:t>
            </w:r>
          </w:p>
        </w:tc>
        <w:tc>
          <w:tcPr>
            <w:tcW w:type="dxa" w:w="338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Estimate; no tabla needed to start [Target]</w:t>
            </w:r>
          </w:p>
        </w:tc>
      </w:tr>
      <w:tr>
        <w:trPr>
          <w:cantSplit/>
        </w:trPr>
        <w:tc>
          <w:tcPr>
            <w:tcW w:type="dxa" w:w="33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Comparison: commercial electronic tabla</w:t>
            </w:r>
          </w:p>
        </w:tc>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£500–1,458</w:t>
            </w:r>
          </w:p>
        </w:tc>
        <w:tc>
          <w:tcPr>
            <w:tcW w:type="dxa" w:w="338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Tabla Touch </w:t>
            </w:r>
            <w:r>
              <w:rPr>
                <w:rFonts w:ascii="Arial" w:cs="Arial" w:eastAsia="Arial" w:hAnsi="Arial"/>
                <w:b w:val="false"/>
                <w:bCs w:val="false"/>
                <w:color w:val="1F4E79"/>
                <w:sz w:val="17"/>
                <w:szCs w:val="17"/>
              </w:rPr>
              <w:t xml:space="preserve">[124]</w:t>
            </w:r>
          </w:p>
        </w:tc>
      </w:tr>
      <w:tr>
        <w:trPr>
          <w:cantSplit/>
        </w:trPr>
        <w:tc>
          <w:tcPr>
            <w:tcW w:type="dxa" w:w="33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Comparison: one month of a guru's state honorarium</w:t>
            </w:r>
          </w:p>
        </w:tc>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₹7,500</w:t>
            </w:r>
          </w:p>
        </w:tc>
        <w:tc>
          <w:tcPr>
            <w:tcW w:type="dxa" w:w="338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Guru-Shishya Parampara </w:t>
            </w:r>
            <w:r>
              <w:rPr>
                <w:rFonts w:ascii="Arial" w:cs="Arial" w:eastAsia="Arial" w:hAnsi="Arial"/>
                <w:b w:val="false"/>
                <w:bCs w:val="false"/>
                <w:color w:val="1F4E79"/>
                <w:sz w:val="17"/>
                <w:szCs w:val="17"/>
              </w:rPr>
              <w:t xml:space="preserve">[74]</w:t>
            </w:r>
          </w:p>
        </w:tc>
      </w:tr>
    </w:tbl>
    <w:p>
      <w:pPr>
        <w:spacing w:after="80"/>
      </w:pPr>
    </w:p>
    <w:p>
      <w:pPr>
        <w:pStyle w:val="Heading2"/>
        <w:keepNext/>
      </w:pPr>
      <w:r>
        <w:rPr>
          <w:rFonts w:ascii="Arial" w:cs="Arial" w:eastAsia="Arial" w:hAnsi="Arial"/>
        </w:rPr>
        <w:t xml:space="preserve">12.2 Honest market sizing (bottom-up)</w:t>
      </w:r>
    </w:p>
    <w:p>
      <w:pPr>
        <w:pStyle w:val="ListParagraph"/>
        <w:numPr>
          <w:ilvl w:val="0"/>
          <w:numId w:val="2"/>
        </w:numPr>
        <w:spacing w:after="60" w:line="268"/>
      </w:pPr>
      <w:r>
        <w:rPr>
          <w:rFonts w:ascii="Arial" w:cs="Arial" w:eastAsia="Arial" w:hAnsi="Arial"/>
          <w:b/>
          <w:bCs/>
          <w:color w:val="222222"/>
          <w:sz w:val="20"/>
          <w:szCs w:val="20"/>
        </w:rPr>
        <w:t xml:space="preserve">Beachhead = institutions, not households.</w:t>
      </w:r>
      <w:r>
        <w:rPr>
          <w:rFonts w:ascii="Arial" w:cs="Arial" w:eastAsia="Arial" w:hAnsi="Arial"/>
          <w:color w:val="222222"/>
          <w:sz w:val="20"/>
          <w:szCs w:val="20"/>
        </w:rPr>
        <w:t xml:space="preserve"> Seven Zonal Cultural Centres run Guru-Shishya Parampara </w:t>
      </w:r>
      <w:r>
        <w:rPr>
          <w:rFonts w:ascii="Arial" w:cs="Arial" w:eastAsia="Arial" w:hAnsi="Arial"/>
          <w:b w:val="false"/>
          <w:bCs w:val="false"/>
          <w:color w:val="1F4E79"/>
          <w:sz w:val="20"/>
          <w:szCs w:val="20"/>
        </w:rPr>
        <w:t xml:space="preserve">[74]</w:t>
      </w:r>
      <w:r>
        <w:rPr>
          <w:rFonts w:ascii="Arial" w:cs="Arial" w:eastAsia="Arial" w:hAnsi="Arial"/>
          <w:color w:val="222222"/>
          <w:sz w:val="20"/>
          <w:szCs w:val="20"/>
        </w:rPr>
        <w:t xml:space="preserve">; SNA runs the ICH scheme </w:t>
      </w:r>
      <w:r>
        <w:rPr>
          <w:rFonts w:ascii="Arial" w:cs="Arial" w:eastAsia="Arial" w:hAnsi="Arial"/>
          <w:b w:val="false"/>
          <w:bCs w:val="false"/>
          <w:color w:val="1F4E79"/>
          <w:sz w:val="20"/>
          <w:szCs w:val="20"/>
        </w:rPr>
        <w:t xml:space="preserve">[73]</w:t>
      </w:r>
      <w:r>
        <w:rPr>
          <w:rFonts w:ascii="Arial" w:cs="Arial" w:eastAsia="Arial" w:hAnsi="Arial"/>
          <w:color w:val="222222"/>
          <w:sz w:val="20"/>
          <w:szCs w:val="20"/>
        </w:rPr>
        <w:t xml:space="preserve">; schools offer CBSE subject 036 </w:t>
      </w:r>
      <w:r>
        <w:rPr>
          <w:rFonts w:ascii="Arial" w:cs="Arial" w:eastAsia="Arial" w:hAnsi="Arial"/>
          <w:b w:val="false"/>
          <w:bCs w:val="false"/>
          <w:color w:val="1F4E79"/>
          <w:sz w:val="20"/>
          <w:szCs w:val="20"/>
        </w:rPr>
        <w:t xml:space="preserve">[128]</w:t>
      </w:r>
      <w:r>
        <w:rPr>
          <w:rFonts w:ascii="Arial" w:cs="Arial" w:eastAsia="Arial" w:hAnsi="Arial"/>
          <w:color w:val="222222"/>
          <w:sz w:val="20"/>
          <w:szCs w:val="20"/>
        </w:rPr>
        <w:t xml:space="preserve">; Kala Utsav runs a percussive category in 36 States/UTs </w:t>
      </w:r>
      <w:r>
        <w:rPr>
          <w:rFonts w:ascii="Arial" w:cs="Arial" w:eastAsia="Arial" w:hAnsi="Arial"/>
          <w:b w:val="false"/>
          <w:bCs w:val="false"/>
          <w:color w:val="1F4E79"/>
          <w:sz w:val="20"/>
          <w:szCs w:val="20"/>
        </w:rPr>
        <w:t xml:space="preserve">[129]</w:t>
      </w:r>
      <w:r>
        <w:rPr>
          <w:rFonts w:ascii="Arial" w:cs="Arial" w:eastAsia="Arial" w:hAnsi="Arial"/>
          <w:color w:val="222222"/>
          <w:sz w:val="20"/>
          <w:szCs w:val="20"/>
        </w:rPr>
        <w:t xml:space="preserve">; NCAA partners with institutions to archive </w:t>
      </w:r>
      <w:r>
        <w:rPr>
          <w:rFonts w:ascii="Arial" w:cs="Arial" w:eastAsia="Arial" w:hAnsi="Arial"/>
          <w:b w:val="false"/>
          <w:bCs w:val="false"/>
          <w:color w:val="1F4E79"/>
          <w:sz w:val="20"/>
          <w:szCs w:val="20"/>
        </w:rPr>
        <w:t xml:space="preserve">[120]</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b/>
          <w:bCs/>
          <w:color w:val="222222"/>
          <w:sz w:val="20"/>
          <w:szCs w:val="20"/>
        </w:rPr>
        <w:t xml:space="preserve">Learners:</w:t>
      </w:r>
      <w:r>
        <w:rPr>
          <w:rFonts w:ascii="Arial" w:cs="Arial" w:eastAsia="Arial" w:hAnsi="Arial"/>
          <w:color w:val="222222"/>
          <w:sz w:val="20"/>
          <w:szCs w:val="20"/>
        </w:rPr>
        <w:t xml:space="preserve"> more than one lakh ABGMVM examinees a year across all disciplines </w:t>
      </w:r>
      <w:r>
        <w:rPr>
          <w:rFonts w:ascii="Arial" w:cs="Arial" w:eastAsia="Arial" w:hAnsi="Arial"/>
          <w:b w:val="false"/>
          <w:bCs w:val="false"/>
          <w:color w:val="1F4E79"/>
          <w:sz w:val="20"/>
          <w:szCs w:val="20"/>
        </w:rPr>
        <w:t xml:space="preserve">[82]</w:t>
      </w:r>
      <w:r>
        <w:rPr>
          <w:rFonts w:ascii="Arial" w:cs="Arial" w:eastAsia="Arial" w:hAnsi="Arial"/>
          <w:color w:val="222222"/>
          <w:sz w:val="20"/>
          <w:szCs w:val="20"/>
        </w:rPr>
        <w:t xml:space="preserve">; the tabla share is unpublished, so we do not multiply it out.</w:t>
      </w:r>
    </w:p>
    <w:p>
      <w:pPr>
        <w:pStyle w:val="ListParagraph"/>
        <w:numPr>
          <w:ilvl w:val="0"/>
          <w:numId w:val="2"/>
        </w:numPr>
        <w:spacing w:after="60" w:line="268"/>
      </w:pPr>
      <w:r>
        <w:rPr>
          <w:rFonts w:ascii="Arial" w:cs="Arial" w:eastAsia="Arial" w:hAnsi="Arial"/>
          <w:b/>
          <w:bCs/>
          <w:color w:val="222222"/>
          <w:sz w:val="20"/>
          <w:szCs w:val="20"/>
        </w:rPr>
        <w:t xml:space="preserve">Willingness to pay for haptic rhythm exists but is niche:</w:t>
      </w:r>
      <w:r>
        <w:rPr>
          <w:rFonts w:ascii="Arial" w:cs="Arial" w:eastAsia="Arial" w:hAnsi="Arial"/>
          <w:color w:val="222222"/>
          <w:sz w:val="20"/>
          <w:szCs w:val="20"/>
        </w:rPr>
        <w:t xml:space="preserve"> Soundbrenner reported about US$1.5 million a year </w:t>
      </w:r>
      <w:r>
        <w:rPr>
          <w:rFonts w:ascii="Arial" w:cs="Arial" w:eastAsia="Arial" w:hAnsi="Arial"/>
          <w:b w:val="false"/>
          <w:bCs w:val="false"/>
          <w:color w:val="1F4E79"/>
          <w:sz w:val="20"/>
          <w:szCs w:val="20"/>
        </w:rPr>
        <w:t xml:space="preserve">[18]</w:t>
      </w:r>
      <w:r>
        <w:rPr>
          <w:rFonts w:ascii="Arial" w:cs="Arial" w:eastAsia="Arial" w:hAnsi="Arial"/>
          <w:color w:val="222222"/>
          <w:sz w:val="20"/>
          <w:szCs w:val="20"/>
        </w:rPr>
        <w:t xml:space="preserve">. PARAMPARA's revenue therefore rests on institutions and grants, not mass consumer sales.</w:t>
      </w:r>
    </w:p>
    <w:p>
      <w:pPr>
        <w:pStyle w:val="ListParagraph"/>
        <w:numPr>
          <w:ilvl w:val="0"/>
          <w:numId w:val="2"/>
        </w:numPr>
        <w:spacing w:after="60" w:line="268"/>
      </w:pPr>
      <w:r>
        <w:rPr>
          <w:rFonts w:ascii="Arial" w:cs="Arial" w:eastAsia="Arial" w:hAnsi="Arial"/>
          <w:b/>
          <w:bCs/>
          <w:color w:val="222222"/>
          <w:sz w:val="20"/>
          <w:szCs w:val="20"/>
        </w:rPr>
        <w:t xml:space="preserve">Supply is mature:</w:t>
      </w:r>
      <w:r>
        <w:rPr>
          <w:rFonts w:ascii="Arial" w:cs="Arial" w:eastAsia="Arial" w:hAnsi="Arial"/>
          <w:color w:val="222222"/>
          <w:sz w:val="20"/>
          <w:szCs w:val="20"/>
        </w:rPr>
        <w:t xml:space="preserve"> haptic technology is a US$3.8–4.3 billion market (2024 estimates) </w:t>
      </w:r>
      <w:r>
        <w:rPr>
          <w:rFonts w:ascii="Arial" w:cs="Arial" w:eastAsia="Arial" w:hAnsi="Arial"/>
          <w:b w:val="false"/>
          <w:bCs w:val="false"/>
          <w:color w:val="1F4E79"/>
          <w:sz w:val="20"/>
          <w:szCs w:val="20"/>
        </w:rPr>
        <w:t xml:space="preserve">[102]</w:t>
      </w:r>
      <w:r>
        <w:rPr>
          <w:rFonts w:ascii="Arial" w:cs="Arial" w:eastAsia="Arial" w:hAnsi="Arial"/>
          <w:color w:val="222222"/>
          <w:sz w:val="20"/>
          <w:szCs w:val="20"/>
        </w:rPr>
        <w:t xml:space="preserve">.</w:t>
      </w:r>
    </w:p>
    <w:p>
      <w:pPr>
        <w:pStyle w:val="Heading2"/>
        <w:keepNext/>
      </w:pPr>
      <w:r>
        <w:rPr>
          <w:rFonts w:ascii="Arial" w:cs="Arial" w:eastAsia="Arial" w:hAnsi="Arial"/>
        </w:rPr>
        <w:t xml:space="preserve">12.3 Institutional channels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5"/>
        <w:gridCol w:w="3145"/>
        <w:gridCol w:w="3556"/>
      </w:tblGrid>
      <w:tr>
        <w:trPr>
          <w:cantSplit/>
          <w:tblHeader/>
        </w:trPr>
        <w:tc>
          <w:tcPr>
            <w:tcW w:type="dxa" w:w="232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Channel</w:t>
            </w:r>
          </w:p>
        </w:tc>
        <w:tc>
          <w:tcPr>
            <w:tcW w:type="dxa" w:w="314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What exists</w:t>
            </w:r>
          </w:p>
        </w:tc>
        <w:tc>
          <w:tcPr>
            <w:tcW w:type="dxa" w:w="355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How PARAMPARA plugs in</w:t>
            </w:r>
          </w:p>
        </w:tc>
      </w:tr>
      <w:tr>
        <w:trPr>
          <w:cantSplit/>
        </w:trPr>
        <w:tc>
          <w:tcPr>
            <w:tcW w:type="dxa" w:w="23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Guru-Shishya Parampara (7 ZCCs)</w:t>
            </w:r>
          </w:p>
        </w:tc>
        <w:tc>
          <w:tcPr>
            <w:tcW w:type="dxa" w:w="31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Year-long honoraria for gurus and shishyas </w:t>
            </w:r>
            <w:r>
              <w:rPr>
                <w:rFonts w:ascii="Arial" w:cs="Arial" w:eastAsia="Arial" w:hAnsi="Arial"/>
                <w:b w:val="false"/>
                <w:bCs w:val="false"/>
                <w:color w:val="1F4E79"/>
                <w:sz w:val="15"/>
                <w:szCs w:val="15"/>
              </w:rPr>
              <w:t xml:space="preserve">[74]</w:t>
            </w:r>
          </w:p>
        </w:tc>
        <w:tc>
          <w:tcPr>
            <w:tcW w:type="dxa" w:w="3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Kit per sanctioned guru; signed fingerprints as documented output</w:t>
            </w:r>
          </w:p>
        </w:tc>
      </w:tr>
      <w:tr>
        <w:trPr>
          <w:cantSplit/>
        </w:trPr>
        <w:tc>
          <w:tcPr>
            <w:tcW w:type="dxa" w:w="23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NCAA / IGNCA</w:t>
            </w:r>
          </w:p>
        </w:tc>
        <w:tc>
          <w:tcPr>
            <w:tcW w:type="dxa" w:w="31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Trusted digital repository (ISO 16363) for audiovisual heritage </w:t>
            </w:r>
            <w:r>
              <w:rPr>
                <w:rFonts w:ascii="Arial" w:cs="Arial" w:eastAsia="Arial" w:hAnsi="Arial"/>
                <w:b w:val="false"/>
                <w:bCs w:val="false"/>
                <w:color w:val="1F4E79"/>
                <w:sz w:val="15"/>
                <w:szCs w:val="15"/>
              </w:rPr>
              <w:t xml:space="preserve">[120]</w:t>
            </w:r>
          </w:p>
        </w:tc>
        <w:tc>
          <w:tcPr>
            <w:tcW w:type="dxa" w:w="35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Fingerprints as a new consented data type next to audio/video</w:t>
            </w:r>
          </w:p>
        </w:tc>
      </w:tr>
      <w:tr>
        <w:trPr>
          <w:cantSplit/>
        </w:trPr>
        <w:tc>
          <w:tcPr>
            <w:tcW w:type="dxa" w:w="23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SNA ICH scheme</w:t>
            </w:r>
          </w:p>
        </w:tc>
        <w:tc>
          <w:tcPr>
            <w:tcW w:type="dxa" w:w="31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Funding + National ICH Inventory </w:t>
            </w:r>
            <w:r>
              <w:rPr>
                <w:rFonts w:ascii="Arial" w:cs="Arial" w:eastAsia="Arial" w:hAnsi="Arial"/>
                <w:b w:val="false"/>
                <w:bCs w:val="false"/>
                <w:color w:val="1F4E79"/>
                <w:sz w:val="15"/>
                <w:szCs w:val="15"/>
              </w:rPr>
              <w:t xml:space="preserve">[73]</w:t>
            </w:r>
          </w:p>
        </w:tc>
        <w:tc>
          <w:tcPr>
            <w:tcW w:type="dxa" w:w="3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Verifiable inventory records</w:t>
            </w:r>
          </w:p>
        </w:tc>
      </w:tr>
      <w:tr>
        <w:trPr>
          <w:cantSplit/>
        </w:trPr>
        <w:tc>
          <w:tcPr>
            <w:tcW w:type="dxa" w:w="23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CBSE 036 / Kala Utsav</w:t>
            </w:r>
          </w:p>
        </w:tc>
        <w:tc>
          <w:tcPr>
            <w:tcW w:type="dxa" w:w="31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School percussion curriculum and competition </w:t>
            </w:r>
            <w:r>
              <w:rPr>
                <w:rFonts w:ascii="Arial" w:cs="Arial" w:eastAsia="Arial" w:hAnsi="Arial"/>
                <w:b w:val="false"/>
                <w:bCs w:val="false"/>
                <w:color w:val="1F4E79"/>
                <w:sz w:val="15"/>
                <w:szCs w:val="15"/>
              </w:rPr>
              <w:t xml:space="preserve">[128, 129]</w:t>
            </w:r>
          </w:p>
        </w:tc>
        <w:tc>
          <w:tcPr>
            <w:tcW w:type="dxa" w:w="35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School kits; kiosk at Kala Utsav</w:t>
            </w:r>
          </w:p>
        </w:tc>
      </w:tr>
      <w:tr>
        <w:trPr>
          <w:cantSplit/>
        </w:trPr>
        <w:tc>
          <w:tcPr>
            <w:tcW w:type="dxa" w:w="23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AICTE IKS; NEP 2020; UGC</w:t>
            </w:r>
          </w:p>
        </w:tc>
        <w:tc>
          <w:tcPr>
            <w:tcW w:type="dxa" w:w="314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IKS division </w:t>
            </w:r>
            <w:r>
              <w:rPr>
                <w:rFonts w:ascii="Arial" w:cs="Arial" w:eastAsia="Arial" w:hAnsi="Arial"/>
                <w:b w:val="false"/>
                <w:bCs w:val="false"/>
                <w:color w:val="1F4E79"/>
                <w:sz w:val="15"/>
                <w:szCs w:val="15"/>
              </w:rPr>
              <w:t xml:space="preserve">[77]</w:t>
            </w:r>
            <w:r>
              <w:rPr>
                <w:rFonts w:ascii="Arial" w:cs="Arial" w:eastAsia="Arial" w:hAnsi="Arial"/>
                <w:color w:val="222222"/>
                <w:sz w:val="15"/>
                <w:szCs w:val="15"/>
              </w:rPr>
              <w:t xml:space="preserve">; local artists as master instructors; bagless days </w:t>
            </w:r>
            <w:r>
              <w:rPr>
                <w:rFonts w:ascii="Arial" w:cs="Arial" w:eastAsia="Arial" w:hAnsi="Arial"/>
                <w:b w:val="false"/>
                <w:bCs w:val="false"/>
                <w:color w:val="1F4E79"/>
                <w:sz w:val="15"/>
                <w:szCs w:val="15"/>
              </w:rPr>
              <w:t xml:space="preserve">[78, 130]</w:t>
            </w:r>
            <w:r>
              <w:rPr>
                <w:rFonts w:ascii="Arial" w:cs="Arial" w:eastAsia="Arial" w:hAnsi="Arial"/>
                <w:color w:val="222222"/>
                <w:sz w:val="15"/>
                <w:szCs w:val="15"/>
              </w:rPr>
              <w:t xml:space="preserve">; artists-in-residence </w:t>
            </w:r>
            <w:r>
              <w:rPr>
                <w:rFonts w:ascii="Arial" w:cs="Arial" w:eastAsia="Arial" w:hAnsi="Arial"/>
                <w:b w:val="false"/>
                <w:bCs w:val="false"/>
                <w:color w:val="1F4E79"/>
                <w:sz w:val="15"/>
                <w:szCs w:val="15"/>
              </w:rPr>
              <w:t xml:space="preserve">[79]</w:t>
            </w:r>
          </w:p>
        </w:tc>
        <w:tc>
          <w:tcPr>
            <w:tcW w:type="dxa" w:w="355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IKS lab kits; guru recordings for schools; resident gurus record for campus libraries</w:t>
            </w:r>
          </w:p>
        </w:tc>
      </w:tr>
      <w:tr>
        <w:trPr>
          <w:cantSplit/>
        </w:trPr>
        <w:tc>
          <w:tcPr>
            <w:tcW w:type="dxa" w:w="23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PM Vishwakarma; KVIC</w:t>
            </w:r>
          </w:p>
        </w:tc>
        <w:tc>
          <w:tcPr>
            <w:tcW w:type="dxa" w:w="314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30 lakh artisans; guru–shishya training; 18,000+ electric wheels </w:t>
            </w:r>
            <w:r>
              <w:rPr>
                <w:rFonts w:ascii="Arial" w:cs="Arial" w:eastAsia="Arial" w:hAnsi="Arial"/>
                <w:b w:val="false"/>
                <w:bCs w:val="false"/>
                <w:color w:val="1F4E79"/>
                <w:sz w:val="15"/>
                <w:szCs w:val="15"/>
              </w:rPr>
              <w:t xml:space="preserve">[75, 76]</w:t>
            </w:r>
          </w:p>
        </w:tc>
        <w:tc>
          <w:tcPr>
            <w:tcW w:type="dxa" w:w="355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Crafts versions (Section 14)</w:t>
            </w:r>
          </w:p>
        </w:tc>
      </w:tr>
    </w:tbl>
    <w:p>
      <w:pPr>
        <w:spacing w:after="80"/>
      </w:pPr>
    </w:p>
    <w:p>
      <w:pPr>
        <w:pStyle w:val="Heading2"/>
        <w:keepNext/>
      </w:pPr>
      <w:r>
        <w:rPr>
          <w:rFonts w:ascii="Arial" w:cs="Arial" w:eastAsia="Arial" w:hAnsi="Arial"/>
        </w:rPr>
        <w:t xml:space="preserve">12.4 Business models [To validate]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385"/>
        <w:gridCol w:w="3384"/>
      </w:tblGrid>
      <w:tr>
        <w:trPr>
          <w:cantSplit/>
          <w:tblHeader/>
        </w:trPr>
        <w:tc>
          <w:tcPr>
            <w:tcW w:type="dxa" w:w="225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Model</w:t>
            </w:r>
          </w:p>
        </w:tc>
        <w:tc>
          <w:tcPr>
            <w:tcW w:type="dxa" w:w="338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Who pays</w:t>
            </w:r>
          </w:p>
        </w:tc>
        <w:tc>
          <w:tcPr>
            <w:tcW w:type="dxa" w:w="338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Notes</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Institution licence</w:t>
            </w:r>
          </w:p>
        </w:tc>
        <w:tc>
          <w:tcPr>
            <w:tcW w:type="dxa" w:w="33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Academies, schools, ZCCs</w:t>
            </w:r>
          </w:p>
        </w:tc>
        <w:tc>
          <w:tcPr>
            <w:tcW w:type="dxa" w:w="338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Hardware near cost; annual software and library licence</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Guru-shared library</w:t>
            </w:r>
          </w:p>
        </w:tc>
        <w:tc>
          <w:tcPr>
            <w:tcW w:type="dxa" w:w="33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Students subscribe</w:t>
            </w:r>
          </w:p>
        </w:tc>
        <w:tc>
          <w:tcPr>
            <w:tcW w:type="dxa" w:w="338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Revenue share to consenting gurus, recorded in the envelope</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Showcase kiosks</w:t>
            </w:r>
          </w:p>
        </w:tc>
        <w:tc>
          <w:tcPr>
            <w:tcW w:type="dxa" w:w="33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Museums, festivals, archives</w:t>
            </w:r>
          </w:p>
        </w:tc>
        <w:tc>
          <w:tcPr>
            <w:tcW w:type="dxa" w:w="338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Rental or sale; content licensed from gurus</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Open reference design + grants</w:t>
            </w:r>
          </w:p>
        </w:tc>
        <w:tc>
          <w:tcPr>
            <w:tcW w:type="dxa" w:w="33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Cultural programmes, CSR</w:t>
            </w:r>
          </w:p>
        </w:tc>
        <w:tc>
          <w:tcPr>
            <w:tcW w:type="dxa" w:w="338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Adoption first; grants fund maintenance</w:t>
            </w:r>
          </w:p>
        </w:tc>
      </w:tr>
    </w:tbl>
    <w:p>
      <w:pPr>
        <w:spacing w:after="80"/>
      </w:pPr>
    </w:p>
    <w:p>
      <w:pPr>
        <w:pStyle w:val="Heading2"/>
        <w:keepNext/>
      </w:pPr>
      <w:r>
        <w:rPr>
          <w:rFonts w:ascii="Arial" w:cs="Arial" w:eastAsia="Arial" w:hAnsi="Arial"/>
        </w:rPr>
        <w:t xml:space="preserve">12.5 Legal, ethical and environmental viability</w:t>
      </w:r>
    </w:p>
    <w:p>
      <w:pPr>
        <w:pStyle w:val="ListParagraph"/>
        <w:numPr>
          <w:ilvl w:val="0"/>
          <w:numId w:val="2"/>
        </w:numPr>
        <w:spacing w:after="60" w:line="268"/>
      </w:pPr>
      <w:r>
        <w:rPr>
          <w:rFonts w:ascii="Arial" w:cs="Arial" w:eastAsia="Arial" w:hAnsi="Arial"/>
          <w:b/>
          <w:bCs/>
          <w:color w:val="222222"/>
          <w:sz w:val="20"/>
          <w:szCs w:val="20"/>
        </w:rPr>
        <w:t xml:space="preserve">Privacy:</w:t>
      </w:r>
      <w:r>
        <w:rPr>
          <w:rFonts w:ascii="Arial" w:cs="Arial" w:eastAsia="Arial" w:hAnsi="Arial"/>
          <w:color w:val="222222"/>
          <w:sz w:val="20"/>
          <w:szCs w:val="20"/>
        </w:rPr>
        <w:t xml:space="preserve"> DPDP Act 2023 and Rules (13 November 2025; phased over 12–18 months) </w:t>
      </w:r>
      <w:r>
        <w:rPr>
          <w:rFonts w:ascii="Arial" w:cs="Arial" w:eastAsia="Arial" w:hAnsi="Arial"/>
          <w:b w:val="false"/>
          <w:bCs w:val="false"/>
          <w:color w:val="1F4E79"/>
          <w:sz w:val="20"/>
          <w:szCs w:val="20"/>
        </w:rPr>
        <w:t xml:space="preserve">[95]</w:t>
      </w:r>
      <w:r>
        <w:rPr>
          <w:rFonts w:ascii="Arial" w:cs="Arial" w:eastAsia="Arial" w:hAnsi="Arial"/>
          <w:color w:val="222222"/>
          <w:sz w:val="20"/>
          <w:szCs w:val="20"/>
        </w:rPr>
        <w:t xml:space="preserve">; data minimisation; passkeys keep biometrics on the guru's phone.</w:t>
      </w:r>
    </w:p>
    <w:p>
      <w:pPr>
        <w:pStyle w:val="ListParagraph"/>
        <w:numPr>
          <w:ilvl w:val="0"/>
          <w:numId w:val="2"/>
        </w:numPr>
        <w:spacing w:after="60" w:line="268"/>
      </w:pPr>
      <w:r>
        <w:rPr>
          <w:rFonts w:ascii="Arial" w:cs="Arial" w:eastAsia="Arial" w:hAnsi="Arial"/>
          <w:b/>
          <w:bCs/>
          <w:color w:val="222222"/>
          <w:sz w:val="20"/>
          <w:szCs w:val="20"/>
        </w:rPr>
        <w:t xml:space="preserve">Rights:</w:t>
      </w:r>
      <w:r>
        <w:rPr>
          <w:rFonts w:ascii="Arial" w:cs="Arial" w:eastAsia="Arial" w:hAnsi="Arial"/>
          <w:color w:val="222222"/>
          <w:sz w:val="20"/>
          <w:szCs w:val="20"/>
        </w:rPr>
        <w:t xml:space="preserve"> performers' rights under the Copyright Act </w:t>
      </w:r>
      <w:r>
        <w:rPr>
          <w:rFonts w:ascii="Arial" w:cs="Arial" w:eastAsia="Arial" w:hAnsi="Arial"/>
          <w:b w:val="false"/>
          <w:bCs w:val="false"/>
          <w:color w:val="1F4E79"/>
          <w:sz w:val="20"/>
          <w:szCs w:val="20"/>
        </w:rPr>
        <w:t xml:space="preserve">[96]</w:t>
      </w:r>
      <w:r>
        <w:rPr>
          <w:rFonts w:ascii="Arial" w:cs="Arial" w:eastAsia="Arial" w:hAnsi="Arial"/>
          <w:color w:val="222222"/>
          <w:sz w:val="20"/>
          <w:szCs w:val="20"/>
        </w:rPr>
        <w:t xml:space="preserve">; legal advice before commercial launch.</w:t>
      </w:r>
    </w:p>
    <w:p>
      <w:pPr>
        <w:pStyle w:val="ListParagraph"/>
        <w:numPr>
          <w:ilvl w:val="0"/>
          <w:numId w:val="2"/>
        </w:numPr>
        <w:spacing w:after="60" w:line="268"/>
      </w:pPr>
      <w:r>
        <w:rPr>
          <w:rFonts w:ascii="Arial" w:cs="Arial" w:eastAsia="Arial" w:hAnsi="Arial"/>
          <w:b/>
          <w:bCs/>
          <w:color w:val="222222"/>
          <w:sz w:val="20"/>
          <w:szCs w:val="20"/>
        </w:rPr>
        <w:t xml:space="preserve">Heritage ethics:</w:t>
      </w:r>
      <w:r>
        <w:rPr>
          <w:rFonts w:ascii="Arial" w:cs="Arial" w:eastAsia="Arial" w:hAnsi="Arial"/>
          <w:color w:val="222222"/>
          <w:sz w:val="20"/>
          <w:szCs w:val="20"/>
        </w:rPr>
        <w:t xml:space="preserve"> UNESCO principles </w:t>
      </w:r>
      <w:r>
        <w:rPr>
          <w:rFonts w:ascii="Arial" w:cs="Arial" w:eastAsia="Arial" w:hAnsi="Arial"/>
          <w:b w:val="false"/>
          <w:bCs w:val="false"/>
          <w:color w:val="1F4E79"/>
          <w:sz w:val="20"/>
          <w:szCs w:val="20"/>
        </w:rPr>
        <w:t xml:space="preserve">[70, 71]</w:t>
      </w:r>
      <w:r>
        <w:rPr>
          <w:rFonts w:ascii="Arial" w:cs="Arial" w:eastAsia="Arial" w:hAnsi="Arial"/>
          <w:color w:val="222222"/>
          <w:sz w:val="20"/>
          <w:szCs w:val="20"/>
        </w:rPr>
        <w:t xml:space="preserve">; CARE </w:t>
      </w:r>
      <w:r>
        <w:rPr>
          <w:rFonts w:ascii="Arial" w:cs="Arial" w:eastAsia="Arial" w:hAnsi="Arial"/>
          <w:b w:val="false"/>
          <w:bCs w:val="false"/>
          <w:color w:val="1F4E79"/>
          <w:sz w:val="20"/>
          <w:szCs w:val="20"/>
        </w:rPr>
        <w:t xml:space="preserve">[115]</w:t>
      </w:r>
      <w:r>
        <w:rPr>
          <w:rFonts w:ascii="Arial" w:cs="Arial" w:eastAsia="Arial" w:hAnsi="Arial"/>
          <w:color w:val="222222"/>
          <w:sz w:val="20"/>
          <w:szCs w:val="20"/>
        </w:rPr>
        <w:t xml:space="preserve">.</w:t>
      </w:r>
    </w:p>
    <w:p>
      <w:pPr>
        <w:pStyle w:val="ListParagraph"/>
        <w:numPr>
          <w:ilvl w:val="0"/>
          <w:numId w:val="2"/>
        </w:numPr>
        <w:spacing w:after="60" w:line="268"/>
      </w:pPr>
      <w:r>
        <w:rPr>
          <w:rFonts w:ascii="Arial" w:cs="Arial" w:eastAsia="Arial" w:hAnsi="Arial"/>
          <w:b/>
          <w:bCs/>
          <w:color w:val="222222"/>
          <w:sz w:val="20"/>
          <w:szCs w:val="20"/>
        </w:rPr>
        <w:t xml:space="preserve">Environment:</w:t>
      </w:r>
      <w:r>
        <w:rPr>
          <w:rFonts w:ascii="Arial" w:cs="Arial" w:eastAsia="Arial" w:hAnsi="Arial"/>
          <w:color w:val="222222"/>
          <w:sz w:val="20"/>
          <w:szCs w:val="20"/>
        </w:rPr>
        <w:t xml:space="preserve"> rechargeable cells, repairable modules, no consumables. SDG 4.7, 8.3 and 11.4.</w:t>
      </w:r>
    </w:p>
    <w:p>
      <w:pPr>
        <w:pStyle w:val="Heading1"/>
        <w:keepNext/>
        <w:spacing w:after="200" w:before="480"/>
      </w:pPr>
      <w:r>
        <w:rPr>
          <w:rFonts w:ascii="Arial" w:cs="Arial" w:eastAsia="Arial" w:hAnsi="Arial"/>
        </w:rPr>
        <w:t xml:space="preserve">13. Impact</w:t>
      </w:r>
    </w:p>
    <w:p>
      <w:pPr>
        <w:pStyle w:val="Heading2"/>
        <w:keepNext/>
      </w:pPr>
      <w:r>
        <w:rPr>
          <w:rFonts w:ascii="Arial" w:cs="Arial" w:eastAsia="Arial" w:hAnsi="Arial"/>
        </w:rPr>
        <w:t xml:space="preserve">13.1 Theory of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17"/>
        <w:gridCol w:w="1751"/>
        <w:gridCol w:w="1751"/>
        <w:gridCol w:w="1886"/>
        <w:gridCol w:w="2021"/>
      </w:tblGrid>
      <w:tr>
        <w:trPr>
          <w:cantSplit/>
          <w:tblHeader/>
        </w:trPr>
        <w:tc>
          <w:tcPr>
            <w:tcW w:type="dxa" w:w="161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Inputs</w:t>
            </w:r>
          </w:p>
        </w:tc>
        <w:tc>
          <w:tcPr>
            <w:tcW w:type="dxa" w:w="175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Activities</w:t>
            </w:r>
          </w:p>
        </w:tc>
        <w:tc>
          <w:tcPr>
            <w:tcW w:type="dxa" w:w="175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Outputs</w:t>
            </w:r>
          </w:p>
        </w:tc>
        <w:tc>
          <w:tcPr>
            <w:tcW w:type="dxa" w:w="188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Outcomes</w:t>
            </w:r>
          </w:p>
        </w:tc>
        <w:tc>
          <w:tcPr>
            <w:tcW w:type="dxa" w:w="202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Long-term impact</w:t>
            </w:r>
          </w:p>
        </w:tc>
      </w:tr>
      <w:tr>
        <w:trPr>
          <w:cantSplit/>
        </w:trPr>
        <w:tc>
          <w:tcPr>
            <w:tcW w:type="dxa" w:w="161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Kits; consenting gurus; app</w:t>
            </w:r>
          </w:p>
        </w:tc>
        <w:tc>
          <w:tcPr>
            <w:tcW w:type="dxa" w:w="175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Record fingerprints; tiered practice with fading; probes</w:t>
            </w:r>
          </w:p>
        </w:tc>
        <w:tc>
          <w:tcPr>
            <w:tcW w:type="dxa" w:w="175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Signed fingerprints; learning curves; retention scores</w:t>
            </w:r>
          </w:p>
        </w:tc>
        <w:tc>
          <w:tcPr>
            <w:tcW w:type="dxa" w:w="188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Students keep timing and accents without the device; gurus reach more learners</w:t>
            </w:r>
          </w:p>
        </w:tc>
        <w:tc>
          <w:tcPr>
            <w:tcW w:type="dxa" w:w="202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Living styles transmitted beyond one room and one lifetime</w:t>
            </w:r>
          </w:p>
        </w:tc>
      </w:tr>
      <w:tr>
        <w:trPr>
          <w:cantSplit/>
        </w:trPr>
        <w:tc>
          <w:tcPr>
            <w:tcW w:type="dxa" w:w="161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Archive and school partners</w:t>
            </w:r>
          </w:p>
        </w:tc>
        <w:tc>
          <w:tcPr>
            <w:tcW w:type="dxa" w:w="175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NCAA deposits; school kits; kiosks</w:t>
            </w:r>
          </w:p>
        </w:tc>
        <w:tc>
          <w:tcPr>
            <w:tcW w:type="dxa" w:w="175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 consented corpus of masters' playing data</w:t>
            </w:r>
          </w:p>
        </w:tc>
        <w:tc>
          <w:tcPr>
            <w:tcW w:type="dxa" w:w="188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Research on style; public engagement</w:t>
            </w:r>
          </w:p>
        </w:tc>
        <w:tc>
          <w:tcPr>
            <w:tcW w:type="dxa" w:w="202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 national, verifiable archive of embodied skill</w:t>
            </w:r>
          </w:p>
        </w:tc>
      </w:tr>
    </w:tbl>
    <w:p>
      <w:pPr>
        <w:spacing w:after="80"/>
      </w:pPr>
    </w:p>
    <w:p>
      <w:pPr>
        <w:pStyle w:val="Heading2"/>
        <w:keepNext/>
      </w:pPr>
      <w:r>
        <w:rPr>
          <w:rFonts w:ascii="Arial" w:cs="Arial" w:eastAsia="Arial" w:hAnsi="Arial"/>
        </w:rPr>
        <w:t xml:space="preserve">13.2 Who benefits and how we measure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3"/>
        <w:gridCol w:w="3725"/>
        <w:gridCol w:w="3438"/>
      </w:tblGrid>
      <w:tr>
        <w:trPr>
          <w:cantSplit/>
          <w:tblHeader/>
        </w:trPr>
        <w:tc>
          <w:tcPr>
            <w:tcW w:type="dxa" w:w="186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Group</w:t>
            </w:r>
          </w:p>
        </w:tc>
        <w:tc>
          <w:tcPr>
            <w:tcW w:type="dxa" w:w="372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Benefit (hypothesis)</w:t>
            </w:r>
          </w:p>
        </w:tc>
        <w:tc>
          <w:tcPr>
            <w:tcW w:type="dxa" w:w="343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Measure</w:t>
            </w:r>
          </w:p>
        </w:tc>
      </w:tr>
      <w:tr>
        <w:trPr>
          <w:cantSplit/>
        </w:trPr>
        <w:tc>
          <w:tcPr>
            <w:tcW w:type="dxa" w:w="18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Gurus</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Style preserved and credited on their terms</w:t>
            </w:r>
          </w:p>
        </w:tc>
        <w:tc>
          <w:tcPr>
            <w:tcW w:type="dxa" w:w="343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Gurus recorded; consent and satisfaction</w:t>
            </w:r>
          </w:p>
        </w:tc>
      </w:tr>
      <w:tr>
        <w:trPr>
          <w:cantSplit/>
        </w:trPr>
        <w:tc>
          <w:tcPr>
            <w:tcW w:type="dxa" w:w="18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Students</w:t>
            </w:r>
          </w:p>
        </w:tc>
        <w:tc>
          <w:tcPr>
            <w:tcW w:type="dxa" w:w="37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 master's timing and accents where no teacher is near; honest feedback</w:t>
            </w:r>
          </w:p>
        </w:tc>
        <w:tc>
          <w:tcPr>
            <w:tcW w:type="dxa" w:w="343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Retention, practice hours, cost per learner</w:t>
            </w:r>
          </w:p>
        </w:tc>
      </w:tr>
      <w:tr>
        <w:trPr>
          <w:cantSplit/>
        </w:trPr>
        <w:tc>
          <w:tcPr>
            <w:tcW w:type="dxa" w:w="18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Archives</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 new data type: how masters play, not only how they sound</w:t>
            </w:r>
          </w:p>
        </w:tc>
        <w:tc>
          <w:tcPr>
            <w:tcW w:type="dxa" w:w="343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Fingerprints deposited and verified</w:t>
            </w:r>
          </w:p>
        </w:tc>
      </w:tr>
      <w:tr>
        <w:trPr>
          <w:cantSplit/>
        </w:trPr>
        <w:tc>
          <w:tcPr>
            <w:tcW w:type="dxa" w:w="186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Researchers</w:t>
            </w:r>
          </w:p>
        </w:tc>
        <w:tc>
          <w:tcPr>
            <w:tcW w:type="dxa" w:w="37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First consented dataset pairing masters' fingerprints with learners' trajectories</w:t>
            </w:r>
          </w:p>
        </w:tc>
        <w:tc>
          <w:tcPr>
            <w:tcW w:type="dxa" w:w="343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Dataset releases; papers</w:t>
            </w:r>
          </w:p>
        </w:tc>
      </w:tr>
      <w:tr>
        <w:trPr>
          <w:cantSplit/>
        </w:trPr>
        <w:tc>
          <w:tcPr>
            <w:tcW w:type="dxa" w:w="186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Public</w:t>
            </w:r>
          </w:p>
        </w:tc>
        <w:tc>
          <w:tcPr>
            <w:tcW w:type="dxa" w:w="37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Heritage as a felt, measurable experience at kiosks</w:t>
            </w:r>
          </w:p>
        </w:tc>
        <w:tc>
          <w:tcPr>
            <w:tcW w:type="dxa" w:w="343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Visitors; discrimination-game scores</w:t>
            </w:r>
          </w:p>
        </w:tc>
      </w:tr>
    </w:tbl>
    <w:p>
      <w:pPr>
        <w:spacing w:after="80"/>
      </w:pPr>
    </w:p>
    <w:p>
      <w:pPr>
        <w:pStyle w:val="Heading2"/>
        <w:keepNext/>
      </w:pPr>
      <w:r>
        <w:rPr>
          <w:rFonts w:ascii="Arial" w:cs="Arial" w:eastAsia="Arial" w:hAnsi="Arial"/>
        </w:rPr>
        <w:t xml:space="preserve">13.3 Accessibility: a hypothesis, not a claim</w:t>
      </w:r>
    </w:p>
    <w:p>
      <w:pPr>
        <w:spacing w:after="120" w:before="0" w:line="276"/>
        <w:jc w:val="left"/>
      </w:pPr>
      <w:r>
        <w:rPr>
          <w:rFonts w:ascii="Arial" w:cs="Arial" w:eastAsia="Arial" w:hAnsi="Arial"/>
          <w:color w:val="222222"/>
          <w:sz w:val="20"/>
          <w:szCs w:val="20"/>
        </w:rPr>
        <w:t xml:space="preserve">India counts about 50.7 lakh people with hearing disability </w:t>
      </w:r>
      <w:r>
        <w:rPr>
          <w:rFonts w:ascii="Arial" w:cs="Arial" w:eastAsia="Arial" w:hAnsi="Arial"/>
          <w:b w:val="false"/>
          <w:bCs w:val="false"/>
          <w:color w:val="1F4E79"/>
          <w:sz w:val="20"/>
          <w:szCs w:val="20"/>
        </w:rPr>
        <w:t xml:space="preserve">[83]</w:t>
      </w:r>
      <w:r>
        <w:rPr>
          <w:rFonts w:ascii="Arial" w:cs="Arial" w:eastAsia="Arial" w:hAnsi="Arial"/>
          <w:color w:val="222222"/>
          <w:sz w:val="20"/>
          <w:szCs w:val="20"/>
        </w:rPr>
        <w:t xml:space="preserve">. Deaf and hearing participants synchronise to vibrotactile beats </w:t>
      </w:r>
      <w:r>
        <w:rPr>
          <w:rFonts w:ascii="Arial" w:cs="Arial" w:eastAsia="Arial" w:hAnsi="Arial"/>
          <w:b w:val="false"/>
          <w:bCs w:val="false"/>
          <w:color w:val="1F4E79"/>
          <w:sz w:val="20"/>
          <w:szCs w:val="20"/>
        </w:rPr>
        <w:t xml:space="preserve">[15]</w:t>
      </w:r>
      <w:r>
        <w:rPr>
          <w:rFonts w:ascii="Arial" w:cs="Arial" w:eastAsia="Arial" w:hAnsi="Arial"/>
          <w:color w:val="222222"/>
          <w:sz w:val="20"/>
          <w:szCs w:val="20"/>
        </w:rPr>
        <w:t xml:space="preserve">, and vibrotactile drumming guidance was proposed for learners for whom visual demonstration fails </w:t>
      </w:r>
      <w:r>
        <w:rPr>
          <w:rFonts w:ascii="Arial" w:cs="Arial" w:eastAsia="Arial" w:hAnsi="Arial"/>
          <w:b w:val="false"/>
          <w:bCs w:val="false"/>
          <w:color w:val="1F4E79"/>
          <w:sz w:val="20"/>
          <w:szCs w:val="20"/>
        </w:rPr>
        <w:t xml:space="preserve">[9]</w:t>
      </w:r>
      <w:r>
        <w:rPr>
          <w:rFonts w:ascii="Arial" w:cs="Arial" w:eastAsia="Arial" w:hAnsi="Arial"/>
          <w:color w:val="222222"/>
          <w:sz w:val="20"/>
          <w:szCs w:val="20"/>
        </w:rPr>
        <w:t xml:space="preserve">. The kiosk and Tier 1 could open rhythm learning to these groups. Untested; needs its own study. [To validate]</w:t>
      </w:r>
    </w:p>
    <w:p>
      <w:pPr>
        <w:pStyle w:val="Heading2"/>
        <w:keepNext/>
      </w:pPr>
      <w:r>
        <w:rPr>
          <w:rFonts w:ascii="Arial" w:cs="Arial" w:eastAsia="Arial" w:hAnsi="Arial"/>
        </w:rPr>
        <w:t xml:space="preserve">13.4 KPIs for the first 12 months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67"/>
        <w:gridCol w:w="1974"/>
        <w:gridCol w:w="3385"/>
      </w:tblGrid>
      <w:tr>
        <w:trPr>
          <w:cantSplit/>
          <w:tblHeader/>
        </w:trPr>
        <w:tc>
          <w:tcPr>
            <w:tcW w:type="dxa" w:w="366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KPI</w:t>
            </w:r>
          </w:p>
        </w:tc>
        <w:tc>
          <w:tcPr>
            <w:tcW w:type="dxa" w:w="197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Target</w:t>
            </w:r>
          </w:p>
        </w:tc>
        <w:tc>
          <w:tcPr>
            <w:tcW w:type="dxa" w:w="338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How measured</w:t>
            </w:r>
          </w:p>
        </w:tc>
      </w:tr>
      <w:tr>
        <w:trPr>
          <w:cantSplit/>
        </w:trPr>
        <w:tc>
          <w:tcPr>
            <w:tcW w:type="dxa" w:w="36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Masters recorded with signed consent</w:t>
            </w:r>
          </w:p>
        </w:tc>
        <w:tc>
          <w:tcPr>
            <w:tcW w:type="dxa" w:w="19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10 across 3 gharanas</w:t>
            </w:r>
          </w:p>
        </w:tc>
        <w:tc>
          <w:tcPr>
            <w:tcW w:type="dxa" w:w="33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Registry</w:t>
            </w:r>
          </w:p>
        </w:tc>
      </w:tr>
      <w:tr>
        <w:trPr>
          <w:cantSplit/>
        </w:trPr>
        <w:tc>
          <w:tcPr>
            <w:tcW w:type="dxa" w:w="36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Fingerprint identification (E1 extended)</w:t>
            </w:r>
          </w:p>
        </w:tc>
        <w:tc>
          <w:tcPr>
            <w:tcW w:type="dxa" w:w="19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 0.70 accuracy, 10 masters</w:t>
            </w:r>
          </w:p>
        </w:tc>
        <w:tc>
          <w:tcPr>
            <w:tcW w:type="dxa" w:w="33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Analysis pipeline</w:t>
            </w:r>
          </w:p>
        </w:tc>
      </w:tr>
      <w:tr>
        <w:trPr>
          <w:cantSplit/>
        </w:trPr>
        <w:tc>
          <w:tcPr>
            <w:tcW w:type="dxa" w:w="36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Students completing a 2-week programme</w:t>
            </w:r>
          </w:p>
        </w:tc>
        <w:tc>
          <w:tcPr>
            <w:tcW w:type="dxa" w:w="19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100</w:t>
            </w:r>
          </w:p>
        </w:tc>
        <w:tc>
          <w:tcPr>
            <w:tcW w:type="dxa" w:w="33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App logs</w:t>
            </w:r>
          </w:p>
        </w:tc>
      </w:tr>
      <w:tr>
        <w:trPr>
          <w:cantSplit/>
        </w:trPr>
        <w:tc>
          <w:tcPr>
            <w:tcW w:type="dxa" w:w="36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Retention vs video-only (paired)</w:t>
            </w:r>
          </w:p>
        </w:tc>
        <w:tc>
          <w:tcPr>
            <w:tcW w:type="dxa" w:w="19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dz ≥ 0.5 with 95% CI</w:t>
            </w:r>
          </w:p>
        </w:tc>
        <w:tc>
          <w:tcPr>
            <w:tcW w:type="dxa" w:w="33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Stage A/B</w:t>
            </w:r>
          </w:p>
        </w:tc>
      </w:tr>
      <w:tr>
        <w:trPr>
          <w:cantSplit/>
        </w:trPr>
        <w:tc>
          <w:tcPr>
            <w:tcW w:type="dxa" w:w="366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Kiosk visitors</w:t>
            </w:r>
          </w:p>
        </w:tc>
        <w:tc>
          <w:tcPr>
            <w:tcW w:type="dxa" w:w="19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2,000 at 2 events</w:t>
            </w:r>
          </w:p>
        </w:tc>
        <w:tc>
          <w:tcPr>
            <w:tcW w:type="dxa" w:w="338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Kiosk logs</w:t>
            </w:r>
          </w:p>
        </w:tc>
      </w:tr>
      <w:tr>
        <w:trPr>
          <w:cantSplit/>
        </w:trPr>
        <w:tc>
          <w:tcPr>
            <w:tcW w:type="dxa" w:w="366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Institutions piloting</w:t>
            </w:r>
          </w:p>
        </w:tc>
        <w:tc>
          <w:tcPr>
            <w:tcW w:type="dxa" w:w="19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3 (school, academy, ZCC or archive)</w:t>
            </w:r>
          </w:p>
        </w:tc>
        <w:tc>
          <w:tcPr>
            <w:tcW w:type="dxa" w:w="338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7"/>
                <w:szCs w:val="17"/>
              </w:rPr>
              <w:t xml:space="preserve">MoUs</w:t>
            </w:r>
          </w:p>
        </w:tc>
      </w:tr>
    </w:tbl>
    <w:p>
      <w:pPr>
        <w:spacing w:after="80"/>
      </w:pPr>
    </w:p>
    <w:p>
      <w:pPr>
        <w:pStyle w:val="Heading1"/>
        <w:keepNext/>
        <w:spacing w:after="200" w:before="480"/>
      </w:pPr>
      <w:r>
        <w:rPr>
          <w:rFonts w:ascii="Arial" w:cs="Arial" w:eastAsia="Arial" w:hAnsi="Arial"/>
        </w:rPr>
        <w:t xml:space="preserve">14. Where else PARAMPARA works: tabla, pottery, puppetry, dance and more</w:t>
      </w:r>
    </w:p>
    <w:p>
      <w:pPr>
        <w:spacing w:after="120" w:before="0" w:line="276"/>
        <w:jc w:val="left"/>
      </w:pPr>
      <w:r>
        <w:rPr>
          <w:rFonts w:ascii="Arial" w:cs="Arial" w:eastAsia="Arial" w:hAnsi="Arial"/>
          <w:color w:val="222222"/>
          <w:sz w:val="20"/>
          <w:szCs w:val="20"/>
        </w:rPr>
        <w:t xml:space="preserve">The stack is not tabla-specific: sensors, the unit of skill and the code table change; the fingerprint, multisensory teaching, fading and consent layers stay. Expansion is </w:t>
      </w:r>
      <w:r>
        <w:rPr>
          <w:rFonts w:ascii="Arial" w:cs="Arial" w:eastAsia="Arial" w:hAnsi="Arial"/>
          <w:b/>
          <w:bCs/>
          <w:color w:val="222222"/>
          <w:sz w:val="20"/>
          <w:szCs w:val="20"/>
        </w:rPr>
        <w:t xml:space="preserve">gated</w:t>
      </w:r>
      <w:r>
        <w:rPr>
          <w:rFonts w:ascii="Arial" w:cs="Arial" w:eastAsia="Arial" w:hAnsi="Arial"/>
          <w:color w:val="222222"/>
          <w:sz w:val="20"/>
          <w:szCs w:val="20"/>
        </w:rPr>
        <w:t xml:space="preserve">: a second tradition starts only after tabla E1–E4 pass.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2"/>
        <w:gridCol w:w="1231"/>
        <w:gridCol w:w="1282"/>
        <w:gridCol w:w="1077"/>
        <w:gridCol w:w="2000"/>
        <w:gridCol w:w="1180"/>
        <w:gridCol w:w="974"/>
      </w:tblGrid>
      <w:tr>
        <w:trPr>
          <w:cantSplit/>
          <w:tblHeader/>
        </w:trPr>
        <w:tc>
          <w:tcPr>
            <w:tcW w:type="dxa" w:w="128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4"/>
                <w:szCs w:val="14"/>
              </w:rPr>
              <w:t xml:space="preserve">Tradition</w:t>
            </w:r>
          </w:p>
        </w:tc>
        <w:tc>
          <w:tcPr>
            <w:tcW w:type="dxa" w:w="123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4"/>
                <w:szCs w:val="14"/>
              </w:rPr>
              <w:t xml:space="preserve">Tacit skill</w:t>
            </w:r>
          </w:p>
        </w:tc>
        <w:tc>
          <w:tcPr>
            <w:tcW w:type="dxa" w:w="128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4"/>
                <w:szCs w:val="14"/>
              </w:rPr>
              <w:t xml:space="preserve">Sensors</w:t>
            </w:r>
          </w:p>
        </w:tc>
        <w:tc>
          <w:tcPr>
            <w:tcW w:type="dxa" w:w="107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4"/>
                <w:szCs w:val="14"/>
              </w:rPr>
              <w:t xml:space="preserve">Haptic cue</w:t>
            </w:r>
          </w:p>
        </w:tc>
        <w:tc>
          <w:tcPr>
            <w:tcW w:type="dxa" w:w="200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4"/>
                <w:szCs w:val="14"/>
              </w:rPr>
              <w:t xml:space="preserve">Evidence it can be captured or taught</w:t>
            </w:r>
          </w:p>
        </w:tc>
        <w:tc>
          <w:tcPr>
            <w:tcW w:type="dxa" w:w="118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4"/>
                <w:szCs w:val="14"/>
              </w:rPr>
              <w:t xml:space="preserve">Channel</w:t>
            </w:r>
          </w:p>
        </w:tc>
        <w:tc>
          <w:tcPr>
            <w:tcW w:type="dxa" w:w="97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4"/>
                <w:szCs w:val="14"/>
              </w:rPr>
              <w:t xml:space="preserve">Effort</w:t>
            </w:r>
          </w:p>
        </w:tc>
      </w:tr>
      <w:tr>
        <w:trPr>
          <w:cantSplit/>
        </w:trPr>
        <w:tc>
          <w:tcPr>
            <w:tcW w:type="dxa" w:w="12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Pakhawaj, dholak, mridangam</w:t>
            </w:r>
          </w:p>
        </w:tc>
        <w:tc>
          <w:tcPr>
            <w:tcW w:type="dxa" w:w="123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Stroke timing, accents</w:t>
            </w:r>
          </w:p>
        </w:tc>
        <w:tc>
          <w:tcPr>
            <w:tcW w:type="dxa" w:w="12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Piezo sites</w:t>
            </w:r>
          </w:p>
        </w:tc>
        <w:tc>
          <w:tcPr>
            <w:tcW w:type="dxa" w:w="107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Same code</w:t>
            </w:r>
          </w:p>
        </w:tc>
        <w:tc>
          <w:tcPr>
            <w:tcW w:type="dxa" w:w="200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Tabla methods transfer </w:t>
            </w:r>
            <w:r>
              <w:rPr>
                <w:rFonts w:ascii="Arial" w:cs="Arial" w:eastAsia="Arial" w:hAnsi="Arial"/>
                <w:b w:val="false"/>
                <w:bCs w:val="false"/>
                <w:color w:val="1F4E79"/>
                <w:sz w:val="14"/>
                <w:szCs w:val="14"/>
              </w:rPr>
              <w:t xml:space="preserve">[48]</w:t>
            </w:r>
            <w:r>
              <w:rPr>
                <w:rFonts w:ascii="Arial" w:cs="Arial" w:eastAsia="Arial" w:hAnsi="Arial"/>
                <w:color w:val="222222"/>
                <w:sz w:val="14"/>
                <w:szCs w:val="14"/>
              </w:rPr>
              <w:t xml:space="preserve">; mridangam tutoring work </w:t>
            </w:r>
            <w:r>
              <w:rPr>
                <w:rFonts w:ascii="Arial" w:cs="Arial" w:eastAsia="Arial" w:hAnsi="Arial"/>
                <w:b w:val="false"/>
                <w:bCs w:val="false"/>
                <w:color w:val="1F4E79"/>
                <w:sz w:val="14"/>
                <w:szCs w:val="14"/>
              </w:rPr>
              <w:t xml:space="preserve">[126]</w:t>
            </w:r>
          </w:p>
        </w:tc>
        <w:tc>
          <w:tcPr>
            <w:tcW w:type="dxa" w:w="118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GSP, SNA</w:t>
            </w:r>
          </w:p>
        </w:tc>
        <w:tc>
          <w:tcPr>
            <w:tcW w:type="dxa" w:w="9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Low</w:t>
            </w:r>
          </w:p>
        </w:tc>
      </w:tr>
      <w:tr>
        <w:trPr>
          <w:cantSplit/>
        </w:trPr>
        <w:tc>
          <w:tcPr>
            <w:tcW w:type="dxa" w:w="12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Kathak footwork (tatkar)</w:t>
            </w:r>
          </w:p>
        </w:tc>
        <w:tc>
          <w:tcPr>
            <w:tcW w:type="dxa" w:w="123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Heel/toe timing, layakari</w:t>
            </w:r>
          </w:p>
        </w:tc>
        <w:tc>
          <w:tcPr>
            <w:tcW w:type="dxa" w:w="12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Ankle IMU, piezo insole or floor</w:t>
            </w:r>
          </w:p>
        </w:tc>
        <w:tc>
          <w:tcPr>
            <w:tcW w:type="dxa" w:w="107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Ankle cuffs</w:t>
            </w:r>
          </w:p>
        </w:tc>
        <w:tc>
          <w:tcPr>
            <w:tcW w:type="dxa" w:w="200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Ankle cues guided drum-kit feet </w:t>
            </w:r>
            <w:r>
              <w:rPr>
                <w:rFonts w:ascii="Arial" w:cs="Arial" w:eastAsia="Arial" w:hAnsi="Arial"/>
                <w:b w:val="false"/>
                <w:bCs w:val="false"/>
                <w:color w:val="1F4E79"/>
                <w:sz w:val="14"/>
                <w:szCs w:val="14"/>
              </w:rPr>
              <w:t xml:space="preserve">[4]</w:t>
            </w:r>
            <w:r>
              <w:rPr>
                <w:rFonts w:ascii="Arial" w:cs="Arial" w:eastAsia="Arial" w:hAnsi="Arial"/>
                <w:color w:val="222222"/>
                <w:sz w:val="14"/>
                <w:szCs w:val="14"/>
              </w:rPr>
              <w:t xml:space="preserve">; dance with vibrotactile feedback </w:t>
            </w:r>
            <w:r>
              <w:rPr>
                <w:rFonts w:ascii="Arial" w:cs="Arial" w:eastAsia="Arial" w:hAnsi="Arial"/>
                <w:b w:val="false"/>
                <w:bCs w:val="false"/>
                <w:color w:val="1F4E79"/>
                <w:sz w:val="14"/>
                <w:szCs w:val="14"/>
              </w:rPr>
              <w:t xml:space="preserve">[17]</w:t>
            </w:r>
          </w:p>
        </w:tc>
        <w:tc>
          <w:tcPr>
            <w:tcW w:type="dxa" w:w="118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GSP, schools</w:t>
            </w:r>
          </w:p>
        </w:tc>
        <w:tc>
          <w:tcPr>
            <w:tcW w:type="dxa" w:w="9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Medium</w:t>
            </w:r>
          </w:p>
        </w:tc>
      </w:tr>
      <w:tr>
        <w:trPr>
          <w:cantSplit/>
        </w:trPr>
        <w:tc>
          <w:tcPr>
            <w:tcW w:type="dxa" w:w="12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Bharatanatyam adavus</w:t>
            </w:r>
          </w:p>
        </w:tc>
        <w:tc>
          <w:tcPr>
            <w:tcW w:type="dxa" w:w="123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Footwork with sollukattu</w:t>
            </w:r>
          </w:p>
        </w:tc>
        <w:tc>
          <w:tcPr>
            <w:tcW w:type="dxa" w:w="12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IMU, camera</w:t>
            </w:r>
          </w:p>
        </w:tc>
        <w:tc>
          <w:tcPr>
            <w:tcW w:type="dxa" w:w="107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Timing by touch</w:t>
            </w:r>
          </w:p>
        </w:tc>
        <w:tc>
          <w:tcPr>
            <w:tcW w:type="dxa" w:w="200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Adavu recognition </w:t>
            </w:r>
            <w:r>
              <w:rPr>
                <w:rFonts w:ascii="Arial" w:cs="Arial" w:eastAsia="Arial" w:hAnsi="Arial"/>
                <w:b w:val="false"/>
                <w:bCs w:val="false"/>
                <w:color w:val="1F4E79"/>
                <w:sz w:val="14"/>
                <w:szCs w:val="14"/>
              </w:rPr>
              <w:t xml:space="preserve">[67]</w:t>
            </w:r>
            <w:r>
              <w:rPr>
                <w:rFonts w:ascii="Arial" w:cs="Arial" w:eastAsia="Arial" w:hAnsi="Arial"/>
                <w:color w:val="222222"/>
                <w:sz w:val="14"/>
                <w:szCs w:val="14"/>
              </w:rPr>
              <w:t xml:space="preserve">; haptics performance </w:t>
            </w:r>
            <w:r>
              <w:rPr>
                <w:rFonts w:ascii="Arial" w:cs="Arial" w:eastAsia="Arial" w:hAnsi="Arial"/>
                <w:b w:val="false"/>
                <w:bCs w:val="false"/>
                <w:color w:val="1F4E79"/>
                <w:sz w:val="14"/>
                <w:szCs w:val="14"/>
              </w:rPr>
              <w:t xml:space="preserve">[127]</w:t>
            </w:r>
          </w:p>
        </w:tc>
        <w:tc>
          <w:tcPr>
            <w:tcW w:type="dxa" w:w="118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GSP</w:t>
            </w:r>
          </w:p>
        </w:tc>
        <w:tc>
          <w:tcPr>
            <w:tcW w:type="dxa" w:w="9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Med–High</w:t>
            </w:r>
          </w:p>
        </w:tc>
      </w:tr>
      <w:tr>
        <w:trPr>
          <w:cantSplit/>
        </w:trPr>
        <w:tc>
          <w:tcPr>
            <w:tcW w:type="dxa" w:w="12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Wheel-throwing pottery</w:t>
            </w:r>
          </w:p>
        </w:tc>
        <w:tc>
          <w:tcPr>
            <w:tcW w:type="dxa" w:w="123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Pressure, centring, pull rhythm</w:t>
            </w:r>
          </w:p>
        </w:tc>
        <w:tc>
          <w:tcPr>
            <w:tcW w:type="dxa" w:w="12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Thin-film force pads, wrist IMU, wheel speed</w:t>
            </w:r>
          </w:p>
        </w:tc>
        <w:tc>
          <w:tcPr>
            <w:tcW w:type="dxa" w:w="107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Pressure and rhythm cues</w:t>
            </w:r>
          </w:p>
        </w:tc>
        <w:tc>
          <w:tcPr>
            <w:tcW w:type="dxa" w:w="200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Expert gestures captured </w:t>
            </w:r>
            <w:r>
              <w:rPr>
                <w:rFonts w:ascii="Arial" w:cs="Arial" w:eastAsia="Arial" w:hAnsi="Arial"/>
                <w:b w:val="false"/>
                <w:bCs w:val="false"/>
                <w:color w:val="1F4E79"/>
                <w:sz w:val="14"/>
                <w:szCs w:val="14"/>
              </w:rPr>
              <w:t xml:space="preserve">[61]</w:t>
            </w:r>
            <w:r>
              <w:rPr>
                <w:rFonts w:ascii="Arial" w:cs="Arial" w:eastAsia="Arial" w:hAnsi="Arial"/>
                <w:color w:val="222222"/>
                <w:sz w:val="14"/>
                <w:szCs w:val="14"/>
              </w:rPr>
              <w:t xml:space="preserve">; i-Treasures pottery </w:t>
            </w:r>
            <w:r>
              <w:rPr>
                <w:rFonts w:ascii="Arial" w:cs="Arial" w:eastAsia="Arial" w:hAnsi="Arial"/>
                <w:b w:val="false"/>
                <w:bCs w:val="false"/>
                <w:color w:val="1F4E79"/>
                <w:sz w:val="14"/>
                <w:szCs w:val="14"/>
              </w:rPr>
              <w:t xml:space="preserve">[60]</w:t>
            </w:r>
            <w:r>
              <w:rPr>
                <w:rFonts w:ascii="Arial" w:cs="Arial" w:eastAsia="Arial" w:hAnsi="Arial"/>
                <w:color w:val="222222"/>
                <w:sz w:val="14"/>
                <w:szCs w:val="14"/>
              </w:rPr>
              <w:t xml:space="preserve">; PotteryGo </w:t>
            </w:r>
            <w:r>
              <w:rPr>
                <w:rFonts w:ascii="Arial" w:cs="Arial" w:eastAsia="Arial" w:hAnsi="Arial"/>
                <w:b w:val="false"/>
                <w:bCs w:val="false"/>
                <w:color w:val="1F4E79"/>
                <w:sz w:val="14"/>
                <w:szCs w:val="14"/>
              </w:rPr>
              <w:t xml:space="preserve">[63]</w:t>
            </w:r>
          </w:p>
        </w:tc>
        <w:tc>
          <w:tcPr>
            <w:tcW w:type="dxa" w:w="118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PM Vishwakarma, KVIC, bagless days </w:t>
            </w:r>
            <w:r>
              <w:rPr>
                <w:rFonts w:ascii="Arial" w:cs="Arial" w:eastAsia="Arial" w:hAnsi="Arial"/>
                <w:b w:val="false"/>
                <w:bCs w:val="false"/>
                <w:color w:val="1F4E79"/>
                <w:sz w:val="14"/>
                <w:szCs w:val="14"/>
              </w:rPr>
              <w:t xml:space="preserve">[75, 76, 130]</w:t>
            </w:r>
          </w:p>
        </w:tc>
        <w:tc>
          <w:tcPr>
            <w:tcW w:type="dxa" w:w="9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Medium</w:t>
            </w:r>
          </w:p>
        </w:tc>
      </w:tr>
      <w:tr>
        <w:trPr>
          <w:cantSplit/>
        </w:trPr>
        <w:tc>
          <w:tcPr>
            <w:tcW w:type="dxa" w:w="12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String puppetry (Kathputli)</w:t>
            </w:r>
          </w:p>
        </w:tc>
        <w:tc>
          <w:tcPr>
            <w:tcW w:type="dxa" w:w="123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Pull timing that gives life</w:t>
            </w:r>
          </w:p>
        </w:tc>
        <w:tc>
          <w:tcPr>
            <w:tcW w:type="dxa" w:w="12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IMU on control bar, string tension</w:t>
            </w:r>
          </w:p>
        </w:tc>
        <w:tc>
          <w:tcPr>
            <w:tcW w:type="dxa" w:w="107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Wrist pulses</w:t>
            </w:r>
          </w:p>
        </w:tc>
        <w:tc>
          <w:tcPr>
            <w:tcW w:type="dxa" w:w="200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Human motion mapped to a marionette </w:t>
            </w:r>
            <w:r>
              <w:rPr>
                <w:rFonts w:ascii="Arial" w:cs="Arial" w:eastAsia="Arial" w:hAnsi="Arial"/>
                <w:b w:val="false"/>
                <w:bCs w:val="false"/>
                <w:color w:val="1F4E79"/>
                <w:sz w:val="14"/>
                <w:szCs w:val="14"/>
              </w:rPr>
              <w:t xml:space="preserve">[64]</w:t>
            </w:r>
            <w:r>
              <w:rPr>
                <w:rFonts w:ascii="Arial" w:cs="Arial" w:eastAsia="Arial" w:hAnsi="Arial"/>
                <w:color w:val="222222"/>
                <w:sz w:val="14"/>
                <w:szCs w:val="14"/>
              </w:rPr>
              <w:t xml:space="preserve">; novice-usable interface </w:t>
            </w:r>
            <w:r>
              <w:rPr>
                <w:rFonts w:ascii="Arial" w:cs="Arial" w:eastAsia="Arial" w:hAnsi="Arial"/>
                <w:b w:val="false"/>
                <w:bCs w:val="false"/>
                <w:color w:val="1F4E79"/>
                <w:sz w:val="14"/>
                <w:szCs w:val="14"/>
              </w:rPr>
              <w:t xml:space="preserve">[65]</w:t>
            </w:r>
          </w:p>
        </w:tc>
        <w:tc>
          <w:tcPr>
            <w:tcW w:type="dxa" w:w="118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ZCCs, SNA</w:t>
            </w:r>
          </w:p>
        </w:tc>
        <w:tc>
          <w:tcPr>
            <w:tcW w:type="dxa" w:w="9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Med–High</w:t>
            </w:r>
          </w:p>
        </w:tc>
      </w:tr>
      <w:tr>
        <w:trPr>
          <w:cantSplit/>
        </w:trPr>
        <w:tc>
          <w:tcPr>
            <w:tcW w:type="dxa" w:w="12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Shadow puppetry (Tholu Bommalata)</w:t>
            </w:r>
          </w:p>
        </w:tc>
        <w:tc>
          <w:tcPr>
            <w:tcW w:type="dxa" w:w="123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Rod manipulation with narration</w:t>
            </w:r>
          </w:p>
        </w:tc>
        <w:tc>
          <w:tcPr>
            <w:tcW w:type="dxa" w:w="12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Rod IMU</w:t>
            </w:r>
          </w:p>
        </w:tc>
        <w:tc>
          <w:tcPr>
            <w:tcW w:type="dxa" w:w="107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Wrist cues</w:t>
            </w:r>
          </w:p>
        </w:tc>
        <w:tc>
          <w:tcPr>
            <w:tcW w:type="dxa" w:w="200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Shadow-play teaching patent (China) </w:t>
            </w:r>
            <w:r>
              <w:rPr>
                <w:rFonts w:ascii="Arial" w:cs="Arial" w:eastAsia="Arial" w:hAnsi="Arial"/>
                <w:b w:val="false"/>
                <w:bCs w:val="false"/>
                <w:color w:val="1F4E79"/>
                <w:sz w:val="14"/>
                <w:szCs w:val="14"/>
              </w:rPr>
              <w:t xml:space="preserve">[66]</w:t>
            </w:r>
          </w:p>
        </w:tc>
        <w:tc>
          <w:tcPr>
            <w:tcW w:type="dxa" w:w="118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ZCCs</w:t>
            </w:r>
          </w:p>
        </w:tc>
        <w:tc>
          <w:tcPr>
            <w:tcW w:type="dxa" w:w="9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Medium</w:t>
            </w:r>
          </w:p>
        </w:tc>
      </w:tr>
      <w:tr>
        <w:trPr>
          <w:cantSplit/>
        </w:trPr>
        <w:tc>
          <w:tcPr>
            <w:tcW w:type="dxa" w:w="12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Handloom weaving</w:t>
            </w:r>
          </w:p>
        </w:tc>
        <w:tc>
          <w:tcPr>
            <w:tcW w:type="dxa" w:w="123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Beat-up rhythm, treadle sequence</w:t>
            </w:r>
          </w:p>
        </w:tc>
        <w:tc>
          <w:tcPr>
            <w:tcW w:type="dxa" w:w="128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IMU on beater, treadle switches</w:t>
            </w:r>
          </w:p>
        </w:tc>
        <w:tc>
          <w:tcPr>
            <w:tcW w:type="dxa" w:w="107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Rhythm cues</w:t>
            </w:r>
          </w:p>
        </w:tc>
        <w:tc>
          <w:tcPr>
            <w:tcW w:type="dxa" w:w="200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64.66 lakh artisans </w:t>
            </w:r>
            <w:r>
              <w:rPr>
                <w:rFonts w:ascii="Arial" w:cs="Arial" w:eastAsia="Arial" w:hAnsi="Arial"/>
                <w:b w:val="false"/>
                <w:bCs w:val="false"/>
                <w:color w:val="1F4E79"/>
                <w:sz w:val="14"/>
                <w:szCs w:val="14"/>
              </w:rPr>
              <w:t xml:space="preserve">[81]</w:t>
            </w:r>
          </w:p>
        </w:tc>
        <w:tc>
          <w:tcPr>
            <w:tcW w:type="dxa" w:w="118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Handloom schemes</w:t>
            </w:r>
          </w:p>
        </w:tc>
        <w:tc>
          <w:tcPr>
            <w:tcW w:type="dxa" w:w="9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Medium</w:t>
            </w:r>
          </w:p>
        </w:tc>
      </w:tr>
      <w:tr>
        <w:trPr>
          <w:cantSplit/>
        </w:trPr>
        <w:tc>
          <w:tcPr>
            <w:tcW w:type="dxa" w:w="12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Tala-keeping for vocalists</w:t>
            </w:r>
          </w:p>
        </w:tc>
        <w:tc>
          <w:tcPr>
            <w:tcW w:type="dxa" w:w="123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Kriya and tala cycle</w:t>
            </w:r>
          </w:p>
        </w:tc>
        <w:tc>
          <w:tcPr>
            <w:tcW w:type="dxa" w:w="128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Finger pads, mic</w:t>
            </w:r>
          </w:p>
        </w:tc>
        <w:tc>
          <w:tcPr>
            <w:tcW w:type="dxa" w:w="107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Tala pulses</w:t>
            </w:r>
          </w:p>
        </w:tc>
        <w:tc>
          <w:tcPr>
            <w:tcW w:type="dxa" w:w="200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Layika </w:t>
            </w:r>
            <w:r>
              <w:rPr>
                <w:rFonts w:ascii="Arial" w:cs="Arial" w:eastAsia="Arial" w:hAnsi="Arial"/>
                <w:b w:val="false"/>
                <w:bCs w:val="false"/>
                <w:color w:val="1F4E79"/>
                <w:sz w:val="14"/>
                <w:szCs w:val="14"/>
              </w:rPr>
              <w:t xml:space="preserve">[50]</w:t>
            </w:r>
          </w:p>
        </w:tc>
        <w:tc>
          <w:tcPr>
            <w:tcW w:type="dxa" w:w="118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Music schools</w:t>
            </w:r>
          </w:p>
        </w:tc>
        <w:tc>
          <w:tcPr>
            <w:tcW w:type="dxa" w:w="9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4"/>
                <w:szCs w:val="14"/>
              </w:rPr>
              <w:t xml:space="preserve">Low</w:t>
            </w:r>
          </w:p>
        </w:tc>
      </w:tr>
    </w:tbl>
    <w:p>
      <w:pPr>
        <w:spacing w:after="80"/>
      </w:pPr>
    </w:p>
    <w:p>
      <w:pPr>
        <w:pStyle w:val="Heading2"/>
        <w:keepNext/>
      </w:pPr>
      <w:r>
        <w:rPr>
          <w:rFonts w:ascii="Arial" w:cs="Arial" w:eastAsia="Arial" w:hAnsi="Arial"/>
        </w:rPr>
        <w:t xml:space="preserve">14.1 Pottery on the chak</w:t>
      </w:r>
    </w:p>
    <w:p>
      <w:pPr>
        <w:spacing w:after="120" w:before="0" w:line="276"/>
        <w:jc w:val="left"/>
      </w:pPr>
      <w:r>
        <w:rPr>
          <w:rFonts w:ascii="Arial" w:cs="Arial" w:eastAsia="Arial" w:hAnsi="Arial"/>
          <w:color w:val="222222"/>
          <w:sz w:val="20"/>
          <w:szCs w:val="20"/>
        </w:rPr>
        <w:t xml:space="preserve">KVIC has distributed more than 18,000 electric wheels </w:t>
      </w:r>
      <w:r>
        <w:rPr>
          <w:rFonts w:ascii="Arial" w:cs="Arial" w:eastAsia="Arial" w:hAnsi="Arial"/>
          <w:b w:val="false"/>
          <w:bCs w:val="false"/>
          <w:color w:val="1F4E79"/>
          <w:sz w:val="20"/>
          <w:szCs w:val="20"/>
        </w:rPr>
        <w:t xml:space="preserve">[76]</w:t>
      </w:r>
      <w:r>
        <w:rPr>
          <w:rFonts w:ascii="Arial" w:cs="Arial" w:eastAsia="Arial" w:hAnsi="Arial"/>
          <w:color w:val="222222"/>
          <w:sz w:val="20"/>
          <w:szCs w:val="20"/>
        </w:rPr>
        <w:t xml:space="preserve">; PM Vishwakarma trains potters in guru–shishya mode </w:t>
      </w:r>
      <w:r>
        <w:rPr>
          <w:rFonts w:ascii="Arial" w:cs="Arial" w:eastAsia="Arial" w:hAnsi="Arial"/>
          <w:b w:val="false"/>
          <w:bCs w:val="false"/>
          <w:color w:val="1F4E79"/>
          <w:sz w:val="20"/>
          <w:szCs w:val="20"/>
        </w:rPr>
        <w:t xml:space="preserve">[75]</w:t>
      </w:r>
      <w:r>
        <w:rPr>
          <w:rFonts w:ascii="Arial" w:cs="Arial" w:eastAsia="Arial" w:hAnsi="Arial"/>
          <w:color w:val="222222"/>
          <w:sz w:val="20"/>
          <w:szCs w:val="20"/>
        </w:rPr>
        <w:t xml:space="preserve">; NEP 2020 sends Grade 6–8 students to intern with potters </w:t>
      </w:r>
      <w:r>
        <w:rPr>
          <w:rFonts w:ascii="Arial" w:cs="Arial" w:eastAsia="Arial" w:hAnsi="Arial"/>
          <w:b w:val="false"/>
          <w:bCs w:val="false"/>
          <w:color w:val="1F4E79"/>
          <w:sz w:val="20"/>
          <w:szCs w:val="20"/>
        </w:rPr>
        <w:t xml:space="preserve">[130]</w:t>
      </w:r>
      <w:r>
        <w:rPr>
          <w:rFonts w:ascii="Arial" w:cs="Arial" w:eastAsia="Arial" w:hAnsi="Arial"/>
          <w:color w:val="222222"/>
          <w:sz w:val="20"/>
          <w:szCs w:val="20"/>
        </w:rPr>
        <w:t xml:space="preserve">; clusters such as Khurja have declined </w:t>
      </w:r>
      <w:r>
        <w:rPr>
          <w:rFonts w:ascii="Arial" w:cs="Arial" w:eastAsia="Arial" w:hAnsi="Arial"/>
          <w:b w:val="false"/>
          <w:bCs w:val="false"/>
          <w:color w:val="1F4E79"/>
          <w:sz w:val="20"/>
          <w:szCs w:val="20"/>
        </w:rPr>
        <w:t xml:space="preserve">[86]</w:t>
      </w:r>
      <w:r>
        <w:rPr>
          <w:rFonts w:ascii="Arial" w:cs="Arial" w:eastAsia="Arial" w:hAnsi="Arial"/>
          <w:color w:val="222222"/>
          <w:sz w:val="20"/>
          <w:szCs w:val="20"/>
        </w:rPr>
        <w:t xml:space="preserve">. Expert wheel-throwing gestures have already been captured with inertial sensors and hidden Markov models </w:t>
      </w:r>
      <w:r>
        <w:rPr>
          <w:rFonts w:ascii="Arial" w:cs="Arial" w:eastAsia="Arial" w:hAnsi="Arial"/>
          <w:b w:val="false"/>
          <w:bCs w:val="false"/>
          <w:color w:val="1F4E79"/>
          <w:sz w:val="20"/>
          <w:szCs w:val="20"/>
        </w:rPr>
        <w:t xml:space="preserve">[61]</w:t>
      </w:r>
      <w:r>
        <w:rPr>
          <w:rFonts w:ascii="Arial" w:cs="Arial" w:eastAsia="Arial" w:hAnsi="Arial"/>
          <w:color w:val="222222"/>
          <w:sz w:val="20"/>
          <w:szCs w:val="20"/>
        </w:rPr>
        <w:t xml:space="preserve">. </w:t>
      </w:r>
      <w:r>
        <w:rPr>
          <w:rFonts w:ascii="Arial" w:cs="Arial" w:eastAsia="Arial" w:hAnsi="Arial"/>
          <w:b/>
          <w:bCs/>
          <w:color w:val="222222"/>
          <w:sz w:val="20"/>
          <w:szCs w:val="20"/>
        </w:rPr>
        <w:t xml:space="preserve">PARAMPARA version:</w:t>
      </w:r>
      <w:r>
        <w:rPr>
          <w:rFonts w:ascii="Arial" w:cs="Arial" w:eastAsia="Arial" w:hAnsi="Arial"/>
          <w:color w:val="222222"/>
          <w:sz w:val="20"/>
          <w:szCs w:val="20"/>
        </w:rPr>
        <w:t xml:space="preserve"> force sensing on the rib tool (hands stay bare), wrist IMU and wheel speed; the fingerprint is a pressure and height profile over time; cues encode 'press more or less' and pull rhythm. Risks: water, clay masking touch at the hands (cues go to the forearm). Phase 4.</w:t>
      </w:r>
    </w:p>
    <w:p>
      <w:pPr>
        <w:pStyle w:val="Heading2"/>
        <w:keepNext/>
      </w:pPr>
      <w:r>
        <w:rPr>
          <w:rFonts w:ascii="Arial" w:cs="Arial" w:eastAsia="Arial" w:hAnsi="Arial"/>
        </w:rPr>
        <w:t xml:space="preserve">14.2 Puppetry</w:t>
      </w:r>
    </w:p>
    <w:p>
      <w:pPr>
        <w:spacing w:after="120" w:before="0" w:line="276"/>
        <w:jc w:val="left"/>
      </w:pPr>
      <w:r>
        <w:rPr>
          <w:rFonts w:ascii="Arial" w:cs="Arial" w:eastAsia="Arial" w:hAnsi="Arial"/>
          <w:color w:val="222222"/>
          <w:sz w:val="20"/>
          <w:szCs w:val="20"/>
        </w:rPr>
        <w:t xml:space="preserve">Kathputli is performed by the Nat Bhatt community of Nagaur, Churu and Sikar; competition from cinema and television has shortened shows and pushed puppeteers toward souvenirs </w:t>
      </w:r>
      <w:r>
        <w:rPr>
          <w:rFonts w:ascii="Arial" w:cs="Arial" w:eastAsia="Arial" w:hAnsi="Arial"/>
          <w:b w:val="false"/>
          <w:bCs w:val="false"/>
          <w:color w:val="1F4E79"/>
          <w:sz w:val="20"/>
          <w:szCs w:val="20"/>
        </w:rPr>
        <w:t xml:space="preserve">[68]</w:t>
      </w:r>
      <w:r>
        <w:rPr>
          <w:rFonts w:ascii="Arial" w:cs="Arial" w:eastAsia="Arial" w:hAnsi="Arial"/>
          <w:color w:val="222222"/>
          <w:sz w:val="20"/>
          <w:szCs w:val="20"/>
        </w:rPr>
        <w:t xml:space="preserve">. Human motion has been mapped onto string marionettes </w:t>
      </w:r>
      <w:r>
        <w:rPr>
          <w:rFonts w:ascii="Arial" w:cs="Arial" w:eastAsia="Arial" w:hAnsi="Arial"/>
          <w:b w:val="false"/>
          <w:bCs w:val="false"/>
          <w:color w:val="1F4E79"/>
          <w:sz w:val="20"/>
          <w:szCs w:val="20"/>
        </w:rPr>
        <w:t xml:space="preserve">[64]</w:t>
      </w:r>
      <w:r>
        <w:rPr>
          <w:rFonts w:ascii="Arial" w:cs="Arial" w:eastAsia="Arial" w:hAnsi="Arial"/>
          <w:color w:val="222222"/>
          <w:sz w:val="20"/>
          <w:szCs w:val="20"/>
        </w:rPr>
        <w:t xml:space="preserve">. </w:t>
      </w:r>
      <w:r>
        <w:rPr>
          <w:rFonts w:ascii="Arial" w:cs="Arial" w:eastAsia="Arial" w:hAnsi="Arial"/>
          <w:b/>
          <w:bCs/>
          <w:color w:val="222222"/>
          <w:sz w:val="20"/>
          <w:szCs w:val="20"/>
        </w:rPr>
        <w:t xml:space="preserve">PARAMPARA version:</w:t>
      </w:r>
      <w:r>
        <w:rPr>
          <w:rFonts w:ascii="Arial" w:cs="Arial" w:eastAsia="Arial" w:hAnsi="Arial"/>
          <w:color w:val="222222"/>
          <w:sz w:val="20"/>
          <w:szCs w:val="20"/>
        </w:rPr>
        <w:t xml:space="preserve"> an IMU on the master's control bar records pull timing and amplitude; students feel wrist pulses on each pull while hearing the music and dialogue. Phase 4.</w:t>
      </w:r>
    </w:p>
    <w:p>
      <w:pPr>
        <w:pStyle w:val="Heading2"/>
        <w:keepNext/>
      </w:pPr>
      <w:r>
        <w:rPr>
          <w:rFonts w:ascii="Arial" w:cs="Arial" w:eastAsia="Arial" w:hAnsi="Arial"/>
        </w:rPr>
        <w:t xml:space="preserve">14.3 Kathak footwork: the next tradition</w:t>
      </w:r>
    </w:p>
    <w:p>
      <w:pPr>
        <w:spacing w:after="120" w:before="0" w:line="276"/>
        <w:jc w:val="left"/>
      </w:pPr>
      <w:r>
        <w:rPr>
          <w:rFonts w:ascii="Arial" w:cs="Arial" w:eastAsia="Arial" w:hAnsi="Arial"/>
          <w:color w:val="222222"/>
          <w:sz w:val="20"/>
          <w:szCs w:val="20"/>
        </w:rPr>
        <w:t xml:space="preserve">Tatkar is percussion with the feet, so the tabla pipeline transfers almost one-to-one: piezo insole or floor plate for onsets, ankle IMU for heel versus toe, ankle cuffs instead of wrist cuffs. Ankle vibration has already guided drum-kit footwork </w:t>
      </w:r>
      <w:r>
        <w:rPr>
          <w:rFonts w:ascii="Arial" w:cs="Arial" w:eastAsia="Arial" w:hAnsi="Arial"/>
          <w:b w:val="false"/>
          <w:bCs w:val="false"/>
          <w:color w:val="1F4E79"/>
          <w:sz w:val="20"/>
          <w:szCs w:val="20"/>
        </w:rPr>
        <w:t xml:space="preserve">[4]</w:t>
      </w:r>
      <w:r>
        <w:rPr>
          <w:rFonts w:ascii="Arial" w:cs="Arial" w:eastAsia="Arial" w:hAnsi="Arial"/>
          <w:color w:val="222222"/>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2"/>
        <w:gridCol w:w="1368"/>
        <w:gridCol w:w="1368"/>
        <w:gridCol w:w="1368"/>
        <w:gridCol w:w="1368"/>
        <w:gridCol w:w="1092"/>
      </w:tblGrid>
      <w:tr>
        <w:trPr>
          <w:cantSplit/>
          <w:tblHeader/>
        </w:trPr>
        <w:tc>
          <w:tcPr>
            <w:tcW w:type="dxa" w:w="246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Tradition</w:t>
            </w:r>
          </w:p>
        </w:tc>
        <w:tc>
          <w:tcPr>
            <w:tcW w:type="dxa" w:w="136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Heritage value</w:t>
            </w:r>
          </w:p>
        </w:tc>
        <w:tc>
          <w:tcPr>
            <w:tcW w:type="dxa" w:w="136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Sensing ease</w:t>
            </w:r>
          </w:p>
        </w:tc>
        <w:tc>
          <w:tcPr>
            <w:tcW w:type="dxa" w:w="136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Haptic fit</w:t>
            </w:r>
          </w:p>
        </w:tc>
        <w:tc>
          <w:tcPr>
            <w:tcW w:type="dxa" w:w="136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Channel</w:t>
            </w:r>
          </w:p>
        </w:tc>
        <w:tc>
          <w:tcPr>
            <w:tcW w:type="dxa" w:w="1092"/>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Total /20</w:t>
            </w:r>
          </w:p>
        </w:tc>
      </w:tr>
      <w:tr>
        <w:trPr>
          <w:cantSplit/>
        </w:trPr>
        <w:tc>
          <w:tcPr>
            <w:tcW w:type="dxa" w:w="246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Pakhawaj / mridangam</w:t>
            </w:r>
          </w:p>
        </w:tc>
        <w:tc>
          <w:tcPr>
            <w:tcW w:type="dxa" w:w="13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4</w:t>
            </w:r>
          </w:p>
        </w:tc>
        <w:tc>
          <w:tcPr>
            <w:tcW w:type="dxa" w:w="13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5</w:t>
            </w:r>
          </w:p>
        </w:tc>
        <w:tc>
          <w:tcPr>
            <w:tcW w:type="dxa" w:w="13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5</w:t>
            </w:r>
          </w:p>
        </w:tc>
        <w:tc>
          <w:tcPr>
            <w:tcW w:type="dxa" w:w="13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4</w:t>
            </w:r>
          </w:p>
        </w:tc>
        <w:tc>
          <w:tcPr>
            <w:tcW w:type="dxa" w:w="109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18</w:t>
            </w:r>
          </w:p>
        </w:tc>
      </w:tr>
      <w:tr>
        <w:trPr>
          <w:cantSplit/>
        </w:trPr>
        <w:tc>
          <w:tcPr>
            <w:tcW w:type="dxa" w:w="246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Kathak footwork</w:t>
            </w:r>
          </w:p>
        </w:tc>
        <w:tc>
          <w:tcPr>
            <w:tcW w:type="dxa" w:w="13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5</w:t>
            </w:r>
          </w:p>
        </w:tc>
        <w:tc>
          <w:tcPr>
            <w:tcW w:type="dxa" w:w="13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4</w:t>
            </w:r>
          </w:p>
        </w:tc>
        <w:tc>
          <w:tcPr>
            <w:tcW w:type="dxa" w:w="13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4</w:t>
            </w:r>
          </w:p>
        </w:tc>
        <w:tc>
          <w:tcPr>
            <w:tcW w:type="dxa" w:w="13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4</w:t>
            </w:r>
          </w:p>
        </w:tc>
        <w:tc>
          <w:tcPr>
            <w:tcW w:type="dxa" w:w="109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17</w:t>
            </w:r>
          </w:p>
        </w:tc>
      </w:tr>
      <w:tr>
        <w:trPr>
          <w:cantSplit/>
        </w:trPr>
        <w:tc>
          <w:tcPr>
            <w:tcW w:type="dxa" w:w="246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Wheel-throwing pottery</w:t>
            </w:r>
          </w:p>
        </w:tc>
        <w:tc>
          <w:tcPr>
            <w:tcW w:type="dxa" w:w="13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4</w:t>
            </w:r>
          </w:p>
        </w:tc>
        <w:tc>
          <w:tcPr>
            <w:tcW w:type="dxa" w:w="13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3</w:t>
            </w:r>
          </w:p>
        </w:tc>
        <w:tc>
          <w:tcPr>
            <w:tcW w:type="dxa" w:w="13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3</w:t>
            </w:r>
          </w:p>
        </w:tc>
        <w:tc>
          <w:tcPr>
            <w:tcW w:type="dxa" w:w="13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5</w:t>
            </w:r>
          </w:p>
        </w:tc>
        <w:tc>
          <w:tcPr>
            <w:tcW w:type="dxa" w:w="109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15</w:t>
            </w:r>
          </w:p>
        </w:tc>
      </w:tr>
      <w:tr>
        <w:trPr>
          <w:cantSplit/>
        </w:trPr>
        <w:tc>
          <w:tcPr>
            <w:tcW w:type="dxa" w:w="246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Kathputli</w:t>
            </w:r>
          </w:p>
        </w:tc>
        <w:tc>
          <w:tcPr>
            <w:tcW w:type="dxa" w:w="13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5</w:t>
            </w:r>
          </w:p>
        </w:tc>
        <w:tc>
          <w:tcPr>
            <w:tcW w:type="dxa" w:w="13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3</w:t>
            </w:r>
          </w:p>
        </w:tc>
        <w:tc>
          <w:tcPr>
            <w:tcW w:type="dxa" w:w="13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3</w:t>
            </w:r>
          </w:p>
        </w:tc>
        <w:tc>
          <w:tcPr>
            <w:tcW w:type="dxa" w:w="13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3</w:t>
            </w:r>
          </w:p>
        </w:tc>
        <w:tc>
          <w:tcPr>
            <w:tcW w:type="dxa" w:w="109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14</w:t>
            </w:r>
          </w:p>
        </w:tc>
      </w:tr>
      <w:tr>
        <w:trPr>
          <w:cantSplit/>
        </w:trPr>
        <w:tc>
          <w:tcPr>
            <w:tcW w:type="dxa" w:w="246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Handloom weaving</w:t>
            </w:r>
          </w:p>
        </w:tc>
        <w:tc>
          <w:tcPr>
            <w:tcW w:type="dxa" w:w="13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4</w:t>
            </w:r>
          </w:p>
        </w:tc>
        <w:tc>
          <w:tcPr>
            <w:tcW w:type="dxa" w:w="13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3</w:t>
            </w:r>
          </w:p>
        </w:tc>
        <w:tc>
          <w:tcPr>
            <w:tcW w:type="dxa" w:w="13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3</w:t>
            </w:r>
          </w:p>
        </w:tc>
        <w:tc>
          <w:tcPr>
            <w:tcW w:type="dxa" w:w="13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4</w:t>
            </w:r>
          </w:p>
        </w:tc>
        <w:tc>
          <w:tcPr>
            <w:tcW w:type="dxa" w:w="1092"/>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14</w:t>
            </w:r>
          </w:p>
        </w:tc>
      </w:tr>
      <w:tr>
        <w:trPr>
          <w:cantSplit/>
        </w:trPr>
        <w:tc>
          <w:tcPr>
            <w:tcW w:type="dxa" w:w="246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Bharatanatyam</w:t>
            </w:r>
          </w:p>
        </w:tc>
        <w:tc>
          <w:tcPr>
            <w:tcW w:type="dxa" w:w="13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5</w:t>
            </w:r>
          </w:p>
        </w:tc>
        <w:tc>
          <w:tcPr>
            <w:tcW w:type="dxa" w:w="13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2</w:t>
            </w:r>
          </w:p>
        </w:tc>
        <w:tc>
          <w:tcPr>
            <w:tcW w:type="dxa" w:w="13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2</w:t>
            </w:r>
          </w:p>
        </w:tc>
        <w:tc>
          <w:tcPr>
            <w:tcW w:type="dxa" w:w="13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4</w:t>
            </w:r>
          </w:p>
        </w:tc>
        <w:tc>
          <w:tcPr>
            <w:tcW w:type="dxa" w:w="1092"/>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13</w:t>
            </w:r>
          </w:p>
        </w:tc>
      </w:tr>
    </w:tbl>
    <w:p>
      <w:pPr>
        <w:spacing w:after="80"/>
      </w:pPr>
    </w:p>
    <w:p>
      <w:pPr>
        <w:pStyle w:val="Heading1"/>
        <w:keepNext/>
        <w:spacing w:after="200" w:before="480"/>
      </w:pPr>
      <w:r>
        <w:rPr>
          <w:rFonts w:ascii="Arial" w:cs="Arial" w:eastAsia="Arial" w:hAnsi="Arial"/>
        </w:rPr>
        <w:t xml:space="preserve">15. How PARAMPARA will fascinate the jury</w:t>
      </w:r>
    </w:p>
    <w:p>
      <w:pPr>
        <w:pStyle w:val="Heading2"/>
        <w:keepNext/>
      </w:pPr>
      <w:r>
        <w:rPr>
          <w:rFonts w:ascii="Arial" w:cs="Arial" w:eastAsia="Arial" w:hAnsi="Arial"/>
        </w:rPr>
        <w:t xml:space="preserve">15.1 Rubric mapping</w:t>
      </w:r>
    </w:p>
    <w:p>
      <w:pPr>
        <w:spacing w:after="120" w:before="0" w:line="276"/>
        <w:jc w:val="left"/>
      </w:pPr>
      <w:r>
        <w:rPr>
          <w:rFonts w:ascii="Arial" w:cs="Arial" w:eastAsia="Arial" w:hAnsi="Arial"/>
          <w:color w:val="222222"/>
          <w:sz w:val="20"/>
          <w:szCs w:val="20"/>
        </w:rPr>
        <w:t xml:space="preserve">Institute reports list novelty, complexity, clarity, methodology, feasibility, practicality, sustainability, scale of impact, user experience and future potential; one internal rubric weights them as below </w:t>
      </w:r>
      <w:r>
        <w:rPr>
          <w:rFonts w:ascii="Arial" w:cs="Arial" w:eastAsia="Arial" w:hAnsi="Arial"/>
          <w:b w:val="false"/>
          <w:bCs w:val="false"/>
          <w:color w:val="1F4E79"/>
          <w:sz w:val="20"/>
          <w:szCs w:val="20"/>
        </w:rPr>
        <w:t xml:space="preserve">[85]</w:t>
      </w:r>
      <w:r>
        <w:rPr>
          <w:rFonts w:ascii="Arial" w:cs="Arial" w:eastAsia="Arial" w:hAnsi="Arial"/>
          <w:color w:val="222222"/>
          <w:sz w:val="20"/>
          <w:szCs w:val="20"/>
        </w:rPr>
        <w:t xml:space="preserve">. Confirm with your SPOC.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71"/>
        <w:gridCol w:w="836"/>
        <w:gridCol w:w="2396"/>
        <w:gridCol w:w="2396"/>
        <w:gridCol w:w="1727"/>
      </w:tblGrid>
      <w:tr>
        <w:trPr>
          <w:cantSplit/>
          <w:tblHeader/>
        </w:trPr>
        <w:tc>
          <w:tcPr>
            <w:tcW w:type="dxa" w:w="167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Criterion</w:t>
            </w:r>
          </w:p>
        </w:tc>
        <w:tc>
          <w:tcPr>
            <w:tcW w:type="dxa" w:w="83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Weight</w:t>
            </w:r>
          </w:p>
        </w:tc>
        <w:tc>
          <w:tcPr>
            <w:tcW w:type="dxa" w:w="239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What judges look for</w:t>
            </w:r>
          </w:p>
        </w:tc>
        <w:tc>
          <w:tcPr>
            <w:tcW w:type="dxa" w:w="239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Our proof</w:t>
            </w:r>
          </w:p>
        </w:tc>
        <w:tc>
          <w:tcPr>
            <w:tcW w:type="dxa" w:w="172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Moment in the pitch</w:t>
            </w:r>
          </w:p>
        </w:tc>
      </w:tr>
      <w:tr>
        <w:trPr>
          <w:cantSplit/>
        </w:trPr>
        <w:tc>
          <w:tcPr>
            <w:tcW w:type="dxa" w:w="16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Feasibility</w:t>
            </w:r>
          </w:p>
        </w:tc>
        <w:tc>
          <w:tcPr>
            <w:tcW w:type="dxa" w:w="83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20%</w:t>
            </w:r>
          </w:p>
        </w:tc>
        <w:tc>
          <w:tcPr>
            <w:tcW w:type="dxa" w:w="239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Will it work, by when?</w:t>
            </w:r>
          </w:p>
        </w:tc>
        <w:tc>
          <w:tcPr>
            <w:tcW w:type="dxa" w:w="239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TRL table; E1–E4 results; analysis code; 4-week plan</w:t>
            </w:r>
          </w:p>
        </w:tc>
        <w:tc>
          <w:tcPr>
            <w:tcW w:type="dxa" w:w="172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Working cuffs + E2/E4 charts</w:t>
            </w:r>
          </w:p>
        </w:tc>
      </w:tr>
      <w:tr>
        <w:trPr>
          <w:cantSplit/>
        </w:trPr>
        <w:tc>
          <w:tcPr>
            <w:tcW w:type="dxa" w:w="16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Impact</w:t>
            </w:r>
          </w:p>
        </w:tc>
        <w:tc>
          <w:tcPr>
            <w:tcW w:type="dxa" w:w="83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20%</w:t>
            </w:r>
          </w:p>
        </w:tc>
        <w:tc>
          <w:tcPr>
            <w:tcW w:type="dxa" w:w="239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Who benefits, measurably?</w:t>
            </w:r>
          </w:p>
        </w:tc>
        <w:tc>
          <w:tcPr>
            <w:tcW w:type="dxa" w:w="239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Archive gap; school and ZCC channels; KPIs; kiosk; crafts roadmap</w:t>
            </w:r>
          </w:p>
        </w:tc>
        <w:tc>
          <w:tcPr>
            <w:tcW w:type="dxa" w:w="172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NCAA slide + kiosk photo</w:t>
            </w:r>
          </w:p>
        </w:tc>
      </w:tr>
      <w:tr>
        <w:trPr>
          <w:cantSplit/>
        </w:trPr>
        <w:tc>
          <w:tcPr>
            <w:tcW w:type="dxa" w:w="16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Novelty</w:t>
            </w:r>
          </w:p>
        </w:tc>
        <w:tc>
          <w:tcPr>
            <w:tcW w:type="dxa" w:w="83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15%</w:t>
            </w:r>
          </w:p>
        </w:tc>
        <w:tc>
          <w:tcPr>
            <w:tcW w:type="dxa" w:w="239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What is new?</w:t>
            </w:r>
          </w:p>
        </w:tc>
        <w:tc>
          <w:tcPr>
            <w:tcW w:type="dxa" w:w="239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Fingerprint + perception-driven curriculum + consent; matrix; search log</w:t>
            </w:r>
          </w:p>
        </w:tc>
        <w:tc>
          <w:tcPr>
            <w:tcW w:type="dxa" w:w="172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Matrix with one fully ticked row</w:t>
            </w:r>
          </w:p>
        </w:tc>
      </w:tr>
      <w:tr>
        <w:trPr>
          <w:cantSplit/>
        </w:trPr>
        <w:tc>
          <w:tcPr>
            <w:tcW w:type="dxa" w:w="16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Complexity</w:t>
            </w:r>
          </w:p>
        </w:tc>
        <w:tc>
          <w:tcPr>
            <w:tcW w:type="dxa" w:w="83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15%</w:t>
            </w:r>
          </w:p>
        </w:tc>
        <w:tc>
          <w:tcPr>
            <w:tcW w:type="dxa" w:w="239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Real engineering depth?</w:t>
            </w:r>
          </w:p>
        </w:tc>
        <w:tc>
          <w:tcPr>
            <w:tcW w:type="dxa" w:w="239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Custom PCB; on-device classifier; skew-compensated sync; movement-aware scheduler; simulations</w:t>
            </w:r>
          </w:p>
        </w:tc>
        <w:tc>
          <w:tcPr>
            <w:tcW w:type="dxa" w:w="172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Cue timeline figure; live fade curve</w:t>
            </w:r>
          </w:p>
        </w:tc>
      </w:tr>
      <w:tr>
        <w:trPr>
          <w:cantSplit/>
        </w:trPr>
        <w:tc>
          <w:tcPr>
            <w:tcW w:type="dxa" w:w="167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Sustainability</w:t>
            </w:r>
          </w:p>
        </w:tc>
        <w:tc>
          <w:tcPr>
            <w:tcW w:type="dxa" w:w="83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15%</w:t>
            </w:r>
          </w:p>
        </w:tc>
        <w:tc>
          <w:tcPr>
            <w:tcW w:type="dxa" w:w="239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Will it last and grow?</w:t>
            </w:r>
          </w:p>
        </w:tc>
        <w:tc>
          <w:tcPr>
            <w:tcW w:type="dxa" w:w="239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Bottom-up channels; volume BOM; open design; gated expansion</w:t>
            </w:r>
          </w:p>
        </w:tc>
        <w:tc>
          <w:tcPr>
            <w:tcW w:type="dxa" w:w="172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Roadmap slide</w:t>
            </w:r>
          </w:p>
        </w:tc>
      </w:tr>
      <w:tr>
        <w:trPr>
          <w:cantSplit/>
        </w:trPr>
        <w:tc>
          <w:tcPr>
            <w:tcW w:type="dxa" w:w="167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User experience</w:t>
            </w:r>
          </w:p>
        </w:tc>
        <w:tc>
          <w:tcPr>
            <w:tcW w:type="dxa" w:w="83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10%</w:t>
            </w:r>
          </w:p>
        </w:tc>
        <w:tc>
          <w:tcPr>
            <w:tcW w:type="dxa" w:w="239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Pleasant and usable?</w:t>
            </w:r>
          </w:p>
        </w:tc>
        <w:tc>
          <w:tcPr>
            <w:tcW w:type="dxa" w:w="239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Fingerprint signing; one-button recording; kiosk game</w:t>
            </w:r>
          </w:p>
        </w:tc>
        <w:tc>
          <w:tcPr>
            <w:tcW w:type="dxa" w:w="172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The judge wears it</w:t>
            </w:r>
          </w:p>
        </w:tc>
      </w:tr>
    </w:tbl>
    <w:p>
      <w:pPr>
        <w:spacing w:after="80"/>
      </w:pPr>
    </w:p>
    <w:p>
      <w:pPr>
        <w:pStyle w:val="Heading2"/>
        <w:keepNext/>
      </w:pPr>
      <w:r>
        <w:rPr>
          <w:rFonts w:ascii="Arial" w:cs="Arial" w:eastAsia="Arial" w:hAnsi="Arial"/>
        </w:rPr>
        <w:t xml:space="preserve">15.2 Five moments a jury remembers</w:t>
      </w:r>
    </w:p>
    <w:p>
      <w:pPr>
        <w:pStyle w:val="ListParagraph"/>
        <w:numPr>
          <w:ilvl w:val="0"/>
          <w:numId w:val="5"/>
        </w:numPr>
        <w:spacing w:after="60" w:line="268"/>
      </w:pPr>
      <w:r>
        <w:rPr>
          <w:rFonts w:ascii="Arial" w:cs="Arial" w:eastAsia="Arial" w:hAnsi="Arial"/>
          <w:b/>
          <w:bCs/>
          <w:color w:val="222222"/>
          <w:sz w:val="20"/>
          <w:szCs w:val="20"/>
        </w:rPr>
        <w:t xml:space="preserve">'Which master is this?'</w:t>
      </w:r>
      <w:r>
        <w:rPr>
          <w:rFonts w:ascii="Arial" w:cs="Arial" w:eastAsia="Arial" w:hAnsi="Arial"/>
          <w:color w:val="222222"/>
          <w:sz w:val="20"/>
          <w:szCs w:val="20"/>
        </w:rPr>
        <w:t xml:space="preserve"> The judge feels and hears two masters' theka and guesses. Then the fingerprint plot shows why they differ. This is heritage as measurable science.</w:t>
      </w:r>
    </w:p>
    <w:p>
      <w:pPr>
        <w:pStyle w:val="ListParagraph"/>
        <w:numPr>
          <w:ilvl w:val="0"/>
          <w:numId w:val="5"/>
        </w:numPr>
        <w:spacing w:after="60" w:line="268"/>
      </w:pPr>
      <w:r>
        <w:rPr>
          <w:rFonts w:ascii="Arial" w:cs="Arial" w:eastAsia="Arial" w:hAnsi="Arial"/>
          <w:b/>
          <w:bCs/>
          <w:color w:val="222222"/>
          <w:sz w:val="20"/>
          <w:szCs w:val="20"/>
        </w:rPr>
        <w:t xml:space="preserve">'You are the student.'</w:t>
      </w:r>
      <w:r>
        <w:rPr>
          <w:rFonts w:ascii="Arial" w:cs="Arial" w:eastAsia="Arial" w:hAnsi="Arial"/>
          <w:color w:val="222222"/>
          <w:sz w:val="20"/>
          <w:szCs w:val="20"/>
        </w:rPr>
        <w:t xml:space="preserve"> The judge wears the cuff and plays along on the practice pad; the score appears.</w:t>
      </w:r>
    </w:p>
    <w:p>
      <w:pPr>
        <w:pStyle w:val="ListParagraph"/>
        <w:numPr>
          <w:ilvl w:val="0"/>
          <w:numId w:val="5"/>
        </w:numPr>
        <w:spacing w:after="60" w:line="268"/>
      </w:pPr>
      <w:r>
        <w:rPr>
          <w:rFonts w:ascii="Arial" w:cs="Arial" w:eastAsia="Arial" w:hAnsi="Arial"/>
          <w:b/>
          <w:bCs/>
          <w:color w:val="222222"/>
          <w:sz w:val="20"/>
          <w:szCs w:val="20"/>
        </w:rPr>
        <w:t xml:space="preserve">'Now the device steps back.'</w:t>
      </w:r>
      <w:r>
        <w:rPr>
          <w:rFonts w:ascii="Arial" w:cs="Arial" w:eastAsia="Arial" w:hAnsi="Arial"/>
          <w:color w:val="222222"/>
          <w:sz w:val="20"/>
          <w:szCs w:val="20"/>
        </w:rPr>
        <w:t xml:space="preserve"> The fade curve drops, then a probe cycle runs with no cues: 'We measure learning with the device off.'</w:t>
      </w:r>
    </w:p>
    <w:p>
      <w:pPr>
        <w:pStyle w:val="ListParagraph"/>
        <w:numPr>
          <w:ilvl w:val="0"/>
          <w:numId w:val="5"/>
        </w:numPr>
        <w:spacing w:after="60" w:line="268"/>
      </w:pPr>
      <w:r>
        <w:rPr>
          <w:rFonts w:ascii="Arial" w:cs="Arial" w:eastAsia="Arial" w:hAnsi="Arial"/>
          <w:b/>
          <w:bCs/>
          <w:color w:val="222222"/>
          <w:sz w:val="20"/>
          <w:szCs w:val="20"/>
        </w:rPr>
        <w:t xml:space="preserve">'The guru signs with a fingerprint.'</w:t>
      </w:r>
      <w:r>
        <w:rPr>
          <w:rFonts w:ascii="Arial" w:cs="Arial" w:eastAsia="Arial" w:hAnsi="Arial"/>
          <w:color w:val="222222"/>
          <w:sz w:val="20"/>
          <w:szCs w:val="20"/>
        </w:rPr>
        <w:t xml:space="preserve"> One touch on a phone signs the recording; a tampered copy fails.</w:t>
      </w:r>
    </w:p>
    <w:p>
      <w:pPr>
        <w:pStyle w:val="ListParagraph"/>
        <w:numPr>
          <w:ilvl w:val="0"/>
          <w:numId w:val="5"/>
        </w:numPr>
        <w:spacing w:after="60" w:line="268"/>
      </w:pPr>
      <w:r>
        <w:rPr>
          <w:rFonts w:ascii="Arial" w:cs="Arial" w:eastAsia="Arial" w:hAnsi="Arial"/>
          <w:b/>
          <w:bCs/>
          <w:color w:val="222222"/>
          <w:sz w:val="20"/>
          <w:szCs w:val="20"/>
        </w:rPr>
        <w:t xml:space="preserve">'Here is what our own red team found, and what we changed.'</w:t>
      </w:r>
      <w:r>
        <w:rPr>
          <w:rFonts w:ascii="Arial" w:cs="Arial" w:eastAsia="Arial" w:hAnsi="Arial"/>
          <w:color w:val="222222"/>
          <w:sz w:val="20"/>
          <w:szCs w:val="20"/>
        </w:rPr>
        <w:t xml:space="preserve"> Show the v1 → v2 table. Judges rarely see this honesty.</w:t>
      </w:r>
    </w:p>
    <w:p>
      <w:pPr>
        <w:pStyle w:val="Heading2"/>
        <w:keepNext/>
      </w:pPr>
      <w:r>
        <w:rPr>
          <w:rFonts w:ascii="Arial" w:cs="Arial" w:eastAsia="Arial" w:hAnsi="Arial"/>
        </w:rPr>
        <w:t xml:space="preserve">15.3 Three-minute demo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5"/>
        <w:gridCol w:w="7601"/>
      </w:tblGrid>
      <w:tr>
        <w:trPr>
          <w:cantSplit/>
          <w:tblHeader/>
        </w:trPr>
        <w:tc>
          <w:tcPr>
            <w:tcW w:type="dxa" w:w="1425"/>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Time</w:t>
            </w:r>
          </w:p>
        </w:tc>
        <w:tc>
          <w:tcPr>
            <w:tcW w:type="dxa" w:w="760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What happens</w:t>
            </w:r>
          </w:p>
        </w:tc>
      </w:tr>
      <w:tr>
        <w:trPr>
          <w:cantSplit/>
        </w:trPr>
        <w:tc>
          <w:tcPr>
            <w:tcW w:type="dxa" w:w="14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0:00–0:20</w:t>
            </w:r>
          </w:p>
        </w:tc>
        <w:tc>
          <w:tcPr>
            <w:tcW w:type="dxa" w:w="76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Hook: 'Every master plays the same theka differently. Archives keep their sound; nothing keeps their hands.' One line on Zakir Hussain.</w:t>
            </w:r>
          </w:p>
        </w:tc>
      </w:tr>
      <w:tr>
        <w:trPr>
          <w:cantSplit/>
        </w:trPr>
        <w:tc>
          <w:tcPr>
            <w:tcW w:type="dxa" w:w="14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0:20–1:00</w:t>
            </w:r>
          </w:p>
        </w:tc>
        <w:tc>
          <w:tcPr>
            <w:tcW w:type="dxa" w:w="760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Fingerprint: two masters' plots on screen; the judge feels and hears both and guesses (the kiosk game).</w:t>
            </w:r>
          </w:p>
        </w:tc>
      </w:tr>
      <w:tr>
        <w:trPr>
          <w:cantSplit/>
        </w:trPr>
        <w:tc>
          <w:tcPr>
            <w:tcW w:type="dxa" w:w="14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1:00–1:50</w:t>
            </w:r>
          </w:p>
        </w:tc>
        <w:tc>
          <w:tcPr>
            <w:tcW w:type="dxa" w:w="76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Learn: judge wears the cuff, plays along; Tier 1 cues; live score; fade curve drops; probe at g = 0.</w:t>
            </w:r>
          </w:p>
        </w:tc>
      </w:tr>
      <w:tr>
        <w:trPr>
          <w:cantSplit/>
        </w:trPr>
        <w:tc>
          <w:tcPr>
            <w:tcW w:type="dxa" w:w="1425"/>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1:50–2:20</w:t>
            </w:r>
          </w:p>
        </w:tc>
        <w:tc>
          <w:tcPr>
            <w:tcW w:type="dxa" w:w="760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Trust: guru signs with a phone fingerprint; tamper test fails; consent card shown.</w:t>
            </w:r>
          </w:p>
        </w:tc>
      </w:tr>
      <w:tr>
        <w:trPr>
          <w:cantSplit/>
        </w:trPr>
        <w:tc>
          <w:tcPr>
            <w:tcW w:type="dxa" w:w="1425"/>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2:20–3:00</w:t>
            </w:r>
          </w:p>
        </w:tc>
        <w:tc>
          <w:tcPr>
            <w:tcW w:type="dxa" w:w="760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Evidence: E1–E4 results, simulation, roadmap (Kathak next, then crafts), and a guru's quote (with consent).</w:t>
            </w:r>
          </w:p>
        </w:tc>
      </w:tr>
    </w:tbl>
    <w:p>
      <w:pPr>
        <w:spacing w:after="80"/>
      </w:pPr>
    </w:p>
    <w:p>
      <w:pPr>
        <w:pStyle w:val="Heading2"/>
        <w:keepNext/>
      </w:pPr>
      <w:r>
        <w:rPr>
          <w:rFonts w:ascii="Arial" w:cs="Arial" w:eastAsia="Arial" w:hAnsi="Arial"/>
        </w:rPr>
        <w:t xml:space="preserve">15.4 Hard questions and short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3"/>
        <w:gridCol w:w="5923"/>
      </w:tblGrid>
      <w:tr>
        <w:trPr>
          <w:cantSplit/>
          <w:tblHeader/>
        </w:trPr>
        <w:tc>
          <w:tcPr>
            <w:tcW w:type="dxa" w:w="310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Question</w:t>
            </w:r>
          </w:p>
        </w:tc>
        <w:tc>
          <w:tcPr>
            <w:tcW w:type="dxa" w:w="5923"/>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Answer</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Isn't this a metronome?</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 metronome gives one grid. We give this master's accents, strokes and hands, and in Tier 3 their micro-timing. E1 shows masters really differ </w:t>
            </w:r>
            <w:r>
              <w:rPr>
                <w:rFonts w:ascii="Arial" w:cs="Arial" w:eastAsia="Arial" w:hAnsi="Arial"/>
                <w:b w:val="false"/>
                <w:bCs w:val="false"/>
                <w:color w:val="1F4E79"/>
                <w:sz w:val="15"/>
                <w:szCs w:val="15"/>
              </w:rPr>
              <w:t xml:space="preserve">[103, 104]</w:t>
            </w:r>
            <w:r>
              <w:rPr>
                <w:rFonts w:ascii="Arial" w:cs="Arial" w:eastAsia="Arial" w:hAnsi="Arial"/>
                <w:color w:val="222222"/>
                <w:sz w:val="15"/>
                <w:szCs w:val="15"/>
              </w:rPr>
              <w:t xml:space="preserve">.</w:t>
            </w:r>
          </w:p>
        </w:tc>
      </w:tr>
      <w:tr>
        <w:trPr>
          <w:cantSplit/>
        </w:trPr>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Can touch carry 10 ms timing?</w:t>
            </w:r>
          </w:p>
        </w:tc>
        <w:tc>
          <w:tcPr>
            <w:tcW w:type="dxa" w:w="59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 Touch resolves 10–30 ms at best </w:t>
            </w:r>
            <w:r>
              <w:rPr>
                <w:rFonts w:ascii="Arial" w:cs="Arial" w:eastAsia="Arial" w:hAnsi="Arial"/>
                <w:b w:val="false"/>
                <w:bCs w:val="false"/>
                <w:color w:val="1F4E79"/>
                <w:sz w:val="15"/>
                <w:szCs w:val="15"/>
              </w:rPr>
              <w:t xml:space="preserve">[114]</w:t>
            </w:r>
            <w:r>
              <w:rPr>
                <w:rFonts w:ascii="Arial" w:cs="Arial" w:eastAsia="Arial" w:hAnsi="Arial"/>
                <w:color w:val="222222"/>
                <w:sz w:val="15"/>
                <w:szCs w:val="15"/>
              </w:rPr>
              <w:t xml:space="preserve">; hearing about 10 ms </w:t>
            </w:r>
            <w:r>
              <w:rPr>
                <w:rFonts w:ascii="Arial" w:cs="Arial" w:eastAsia="Arial" w:hAnsi="Arial"/>
                <w:b w:val="false"/>
                <w:bCs w:val="false"/>
                <w:color w:val="1F4E79"/>
                <w:sz w:val="15"/>
                <w:szCs w:val="15"/>
              </w:rPr>
              <w:t xml:space="preserve">[110]</w:t>
            </w:r>
            <w:r>
              <w:rPr>
                <w:rFonts w:ascii="Arial" w:cs="Arial" w:eastAsia="Arial" w:hAnsi="Arial"/>
                <w:color w:val="222222"/>
                <w:sz w:val="15"/>
                <w:szCs w:val="15"/>
              </w:rPr>
              <w:t xml:space="preserve">. So touch carries structure and the ear carries micro-timing.</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Doesn't playing mask the vibration?</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It can: sensitivity drops 25–45 ms before movement </w:t>
            </w:r>
            <w:r>
              <w:rPr>
                <w:rFonts w:ascii="Arial" w:cs="Arial" w:eastAsia="Arial" w:hAnsi="Arial"/>
                <w:b w:val="false"/>
                <w:bCs w:val="false"/>
                <w:color w:val="1F4E79"/>
                <w:sz w:val="15"/>
                <w:szCs w:val="15"/>
              </w:rPr>
              <w:t xml:space="preserve">[113]</w:t>
            </w:r>
            <w:r>
              <w:rPr>
                <w:rFonts w:ascii="Arial" w:cs="Arial" w:eastAsia="Arial" w:hAnsi="Arial"/>
                <w:color w:val="222222"/>
                <w:sz w:val="15"/>
                <w:szCs w:val="15"/>
              </w:rPr>
              <w:t xml:space="preserve">. Our cues end before the lift and are strong; E2 measures it.</w:t>
            </w:r>
          </w:p>
        </w:tc>
      </w:tr>
      <w:tr>
        <w:trPr>
          <w:cantSplit/>
        </w:trPr>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Why sign anything?</w:t>
            </w:r>
          </w:p>
        </w:tc>
        <w:tc>
          <w:tcPr>
            <w:tcW w:type="dxa" w:w="59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So the guru controls use and gets credit, following CARE and UNESCO principles </w:t>
            </w:r>
            <w:r>
              <w:rPr>
                <w:rFonts w:ascii="Arial" w:cs="Arial" w:eastAsia="Arial" w:hAnsi="Arial"/>
                <w:b w:val="false"/>
                <w:bCs w:val="false"/>
                <w:color w:val="1F4E79"/>
                <w:sz w:val="15"/>
                <w:szCs w:val="15"/>
              </w:rPr>
              <w:t xml:space="preserve">[71, 115]</w:t>
            </w:r>
            <w:r>
              <w:rPr>
                <w:rFonts w:ascii="Arial" w:cs="Arial" w:eastAsia="Arial" w:hAnsi="Arial"/>
                <w:color w:val="222222"/>
                <w:sz w:val="15"/>
                <w:szCs w:val="15"/>
              </w:rPr>
              <w:t xml:space="preserve">. It costs one fingerprint touch.</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Won't students depend on the cuff?</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Probes measure unaided skill and fading withdraws cues </w:t>
            </w:r>
            <w:r>
              <w:rPr>
                <w:rFonts w:ascii="Arial" w:cs="Arial" w:eastAsia="Arial" w:hAnsi="Arial"/>
                <w:b w:val="false"/>
                <w:bCs w:val="false"/>
                <w:color w:val="1F4E79"/>
                <w:sz w:val="15"/>
                <w:szCs w:val="15"/>
              </w:rPr>
              <w:t xml:space="preserve">[22]</w:t>
            </w:r>
            <w:r>
              <w:rPr>
                <w:rFonts w:ascii="Arial" w:cs="Arial" w:eastAsia="Arial" w:hAnsi="Arial"/>
                <w:color w:val="222222"/>
                <w:sz w:val="15"/>
                <w:szCs w:val="15"/>
              </w:rPr>
              <w:t xml:space="preserve">; mastery needs the guru's approval.</w:t>
            </w:r>
          </w:p>
        </w:tc>
      </w:tr>
      <w:tr>
        <w:trPr>
          <w:cantSplit/>
        </w:trPr>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Does adaptive fading help?</w:t>
            </w:r>
          </w:p>
        </w:tc>
        <w:tc>
          <w:tcPr>
            <w:tcW w:type="dxa" w:w="59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Under realistic conditions our simulation shows a small, consistent gain; we test it against a fixed fade in the trial (Section 7).</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Is this new?</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Closest work is cited (Section 9). None measures a master's fingerprint and teaches it back with fading and consent.</w:t>
            </w:r>
          </w:p>
        </w:tc>
      </w:tr>
      <w:tr>
        <w:trPr>
          <w:cantSplit/>
        </w:trPr>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Does it replace the guru?</w:t>
            </w:r>
          </w:p>
        </w:tc>
        <w:tc>
          <w:tcPr>
            <w:tcW w:type="dxa" w:w="59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 The guru records, approves readiness and can revoke.</w:t>
            </w:r>
          </w:p>
        </w:tc>
      </w:tr>
      <w:tr>
        <w:trPr>
          <w:cantSplit/>
        </w:trPr>
        <w:tc>
          <w:tcPr>
            <w:tcW w:type="dxa" w:w="310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Cost and scale?</w:t>
            </w:r>
          </w:p>
        </w:tc>
        <w:tc>
          <w:tcPr>
            <w:tcW w:type="dxa" w:w="5923"/>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 ₹3,000–5,600 per system at volume; institutions first (ZCCs, schools, archives).</w:t>
            </w:r>
          </w:p>
        </w:tc>
      </w:tr>
      <w:tr>
        <w:trPr>
          <w:cantSplit/>
        </w:trPr>
        <w:tc>
          <w:tcPr>
            <w:tcW w:type="dxa" w:w="310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What if E1 fails?</w:t>
            </w:r>
          </w:p>
        </w:tc>
        <w:tc>
          <w:tcPr>
            <w:tcW w:type="dxa" w:w="5923"/>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We drop the style claim and keep structure, laya and the archive. We report it.</w:t>
            </w:r>
          </w:p>
        </w:tc>
      </w:tr>
    </w:tbl>
    <w:p>
      <w:pPr>
        <w:spacing w:after="80"/>
      </w:pPr>
    </w:p>
    <w:p>
      <w:pPr>
        <w:pStyle w:val="Heading2"/>
        <w:keepNext/>
      </w:pPr>
      <w:r>
        <w:rPr>
          <w:rFonts w:ascii="Arial" w:cs="Arial" w:eastAsia="Arial" w:hAnsi="Arial"/>
        </w:rPr>
        <w:t xml:space="preserve">15.5 Mapping to the SIH idea deck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trPr>
        <w:tc>
          <w:tcPr>
            <w:tcW w:type="dxa" w:w="225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Slide</w:t>
            </w:r>
          </w:p>
        </w:tc>
        <w:tc>
          <w:tcPr>
            <w:tcW w:type="dxa" w:w="676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7"/>
                <w:szCs w:val="17"/>
              </w:rPr>
              <w:t xml:space="preserve">Content</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Title</w:t>
            </w:r>
          </w:p>
        </w:tc>
        <w:tc>
          <w:tcPr>
            <w:tcW w:type="dxa" w:w="67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PARAMPARA 2.0: Feel the Guru's Hand; PS 26214</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Idea</w:t>
            </w:r>
          </w:p>
        </w:tc>
        <w:tc>
          <w:tcPr>
            <w:tcW w:type="dxa" w:w="67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Pitch; Measure-Teach-Fade-Protect; innovation sentence</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Technical approach</w:t>
            </w:r>
          </w:p>
        </w:tc>
        <w:tc>
          <w:tcPr>
            <w:tcW w:type="dxa" w:w="67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Architecture; fingerprint; three tiers; cue timeline; Fade Engine 2.1; passkey signing; PCB</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Feasibility &amp; viability</w:t>
            </w:r>
          </w:p>
        </w:tc>
        <w:tc>
          <w:tcPr>
            <w:tcW w:type="dxa" w:w="67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TRL; E1–E4; build plan; risks; volume BOM; channels</w:t>
            </w:r>
          </w:p>
        </w:tc>
      </w:tr>
      <w:tr>
        <w:trPr>
          <w:cantSplit/>
        </w:trPr>
        <w:tc>
          <w:tcPr>
            <w:tcW w:type="dxa" w:w="225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Impact &amp; benefits</w:t>
            </w:r>
          </w:p>
        </w:tc>
        <w:tc>
          <w:tcPr>
            <w:tcW w:type="dxa" w:w="676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Theory of change; NCAA gap; kiosk; KPIs; traditions map</w:t>
            </w:r>
          </w:p>
        </w:tc>
      </w:tr>
      <w:tr>
        <w:trPr>
          <w:cantSplit/>
        </w:trPr>
        <w:tc>
          <w:tcPr>
            <w:tcW w:type="dxa" w:w="225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7"/>
                <w:szCs w:val="17"/>
              </w:rPr>
              <w:t xml:space="preserve">Research &amp; references</w:t>
            </w:r>
          </w:p>
        </w:tc>
        <w:tc>
          <w:tcPr>
            <w:tcW w:type="dxa" w:w="676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7"/>
                <w:szCs w:val="17"/>
              </w:rPr>
              <w:t xml:space="preserve">Evidence tables; prior-art matrix; 6–8 V-status references</w:t>
            </w:r>
          </w:p>
        </w:tc>
      </w:tr>
    </w:tbl>
    <w:p>
      <w:pPr>
        <w:spacing w:after="80"/>
      </w:pPr>
    </w:p>
    <w:p>
      <w:pPr>
        <w:pStyle w:val="Heading1"/>
        <w:keepNext/>
        <w:spacing w:after="200" w:before="480"/>
      </w:pPr>
      <w:r>
        <w:rPr>
          <w:rFonts w:ascii="Arial" w:cs="Arial" w:eastAsia="Arial" w:hAnsi="Arial"/>
        </w:rPr>
        <w:t xml:space="preserve">16. Limitations and honest risks</w:t>
      </w:r>
    </w:p>
    <w:p>
      <w:pPr>
        <w:pStyle w:val="ListParagraph"/>
        <w:numPr>
          <w:ilvl w:val="0"/>
          <w:numId w:val="6"/>
        </w:numPr>
        <w:spacing w:after="60" w:line="268"/>
      </w:pPr>
      <w:r>
        <w:rPr>
          <w:rFonts w:ascii="Arial" w:cs="Arial" w:eastAsia="Arial" w:hAnsi="Arial"/>
          <w:b/>
          <w:bCs/>
          <w:color w:val="222222"/>
          <w:sz w:val="20"/>
          <w:szCs w:val="20"/>
        </w:rPr>
        <w:t xml:space="preserve">Style may be small.</w:t>
      </w:r>
      <w:r>
        <w:rPr>
          <w:rFonts w:ascii="Arial" w:cs="Arial" w:eastAsia="Arial" w:hAnsi="Arial"/>
          <w:color w:val="222222"/>
          <w:sz w:val="20"/>
          <w:szCs w:val="20"/>
        </w:rPr>
        <w:t xml:space="preserve"> If E1 finds tiny differences between masters, the style claim goes; Tiers 1–2 and the archive remain.</w:t>
      </w:r>
    </w:p>
    <w:p>
      <w:pPr>
        <w:pStyle w:val="ListParagraph"/>
        <w:numPr>
          <w:ilvl w:val="0"/>
          <w:numId w:val="6"/>
        </w:numPr>
        <w:spacing w:after="60" w:line="268"/>
      </w:pPr>
      <w:r>
        <w:rPr>
          <w:rFonts w:ascii="Arial" w:cs="Arial" w:eastAsia="Arial" w:hAnsi="Arial"/>
          <w:b/>
          <w:bCs/>
          <w:color w:val="222222"/>
          <w:sz w:val="20"/>
          <w:szCs w:val="20"/>
        </w:rPr>
        <w:t xml:space="preserve">Touch has limits.</w:t>
      </w:r>
      <w:r>
        <w:rPr>
          <w:rFonts w:ascii="Arial" w:cs="Arial" w:eastAsia="Arial" w:hAnsi="Arial"/>
          <w:color w:val="222222"/>
          <w:sz w:val="20"/>
          <w:szCs w:val="20"/>
        </w:rPr>
        <w:t xml:space="preserve"> About four wrist sites, two (maybe three) strength levels, slow-to-medium laya only.</w:t>
      </w:r>
    </w:p>
    <w:p>
      <w:pPr>
        <w:pStyle w:val="ListParagraph"/>
        <w:numPr>
          <w:ilvl w:val="0"/>
          <w:numId w:val="6"/>
        </w:numPr>
        <w:spacing w:after="60" w:line="268"/>
      </w:pPr>
      <w:r>
        <w:rPr>
          <w:rFonts w:ascii="Arial" w:cs="Arial" w:eastAsia="Arial" w:hAnsi="Arial"/>
          <w:b/>
          <w:bCs/>
          <w:color w:val="222222"/>
          <w:sz w:val="20"/>
          <w:szCs w:val="20"/>
        </w:rPr>
        <w:t xml:space="preserve">Masking is real.</w:t>
      </w:r>
      <w:r>
        <w:rPr>
          <w:rFonts w:ascii="Arial" w:cs="Arial" w:eastAsia="Arial" w:hAnsi="Arial"/>
          <w:color w:val="222222"/>
          <w:sz w:val="20"/>
          <w:szCs w:val="20"/>
        </w:rPr>
        <w:t xml:space="preserve"> Cue timing and intensity mitigate it; E2 decides.</w:t>
      </w:r>
    </w:p>
    <w:p>
      <w:pPr>
        <w:pStyle w:val="ListParagraph"/>
        <w:numPr>
          <w:ilvl w:val="0"/>
          <w:numId w:val="6"/>
        </w:numPr>
        <w:spacing w:after="60" w:line="268"/>
      </w:pPr>
      <w:r>
        <w:rPr>
          <w:rFonts w:ascii="Arial" w:cs="Arial" w:eastAsia="Arial" w:hAnsi="Arial"/>
          <w:b/>
          <w:bCs/>
          <w:color w:val="222222"/>
          <w:sz w:val="20"/>
          <w:szCs w:val="20"/>
        </w:rPr>
        <w:t xml:space="preserve">Proxy measures.</w:t>
      </w:r>
      <w:r>
        <w:rPr>
          <w:rFonts w:ascii="Arial" w:cs="Arial" w:eastAsia="Arial" w:hAnsi="Arial"/>
          <w:color w:val="222222"/>
          <w:sz w:val="20"/>
          <w:szCs w:val="20"/>
        </w:rPr>
        <w:t xml:space="preserve"> Piezo amplitude is a relative force proxy; ringing vs damped may need the microphone.</w:t>
      </w:r>
    </w:p>
    <w:p>
      <w:pPr>
        <w:pStyle w:val="ListParagraph"/>
        <w:numPr>
          <w:ilvl w:val="0"/>
          <w:numId w:val="6"/>
        </w:numPr>
        <w:spacing w:after="60" w:line="268"/>
      </w:pPr>
      <w:r>
        <w:rPr>
          <w:rFonts w:ascii="Arial" w:cs="Arial" w:eastAsia="Arial" w:hAnsi="Arial"/>
          <w:b/>
          <w:bCs/>
          <w:color w:val="222222"/>
          <w:sz w:val="20"/>
          <w:szCs w:val="20"/>
        </w:rPr>
        <w:t xml:space="preserve">Simulations are assumption-bound.</w:t>
      </w:r>
      <w:r>
        <w:rPr>
          <w:rFonts w:ascii="Arial" w:cs="Arial" w:eastAsia="Arial" w:hAnsi="Arial"/>
          <w:color w:val="222222"/>
          <w:sz w:val="20"/>
          <w:szCs w:val="20"/>
        </w:rPr>
        <w:t xml:space="preserve"> The adaptive advantage is small and model-dependent.</w:t>
      </w:r>
    </w:p>
    <w:p>
      <w:pPr>
        <w:pStyle w:val="ListParagraph"/>
        <w:numPr>
          <w:ilvl w:val="0"/>
          <w:numId w:val="6"/>
        </w:numPr>
        <w:spacing w:after="60" w:line="268"/>
      </w:pPr>
      <w:r>
        <w:rPr>
          <w:rFonts w:ascii="Arial" w:cs="Arial" w:eastAsia="Arial" w:hAnsi="Arial"/>
          <w:b/>
          <w:bCs/>
          <w:color w:val="222222"/>
          <w:sz w:val="20"/>
          <w:szCs w:val="20"/>
        </w:rPr>
        <w:t xml:space="preserve">Evidence is short-term.</w:t>
      </w:r>
      <w:r>
        <w:rPr>
          <w:rFonts w:ascii="Arial" w:cs="Arial" w:eastAsia="Arial" w:hAnsi="Arial"/>
          <w:color w:val="222222"/>
          <w:sz w:val="20"/>
          <w:szCs w:val="20"/>
        </w:rPr>
        <w:t xml:space="preserve"> Pilots are small; long-term retention is unknown.</w:t>
      </w:r>
    </w:p>
    <w:p>
      <w:pPr>
        <w:pStyle w:val="ListParagraph"/>
        <w:numPr>
          <w:ilvl w:val="0"/>
          <w:numId w:val="6"/>
        </w:numPr>
        <w:spacing w:after="60" w:line="268"/>
      </w:pPr>
      <w:r>
        <w:rPr>
          <w:rFonts w:ascii="Arial" w:cs="Arial" w:eastAsia="Arial" w:hAnsi="Arial"/>
          <w:b/>
          <w:bCs/>
          <w:color w:val="222222"/>
          <w:sz w:val="20"/>
          <w:szCs w:val="20"/>
        </w:rPr>
        <w:t xml:space="preserve">Enforcement.</w:t>
      </w:r>
      <w:r>
        <w:rPr>
          <w:rFonts w:ascii="Arial" w:cs="Arial" w:eastAsia="Arial" w:hAnsi="Arial"/>
          <w:color w:val="222222"/>
          <w:sz w:val="20"/>
          <w:szCs w:val="20"/>
        </w:rPr>
        <w:t xml:space="preserve"> Revocation has an offline window; copying cannot be prevented; licences are contractual.</w:t>
      </w:r>
    </w:p>
    <w:p>
      <w:pPr>
        <w:pStyle w:val="ListParagraph"/>
        <w:numPr>
          <w:ilvl w:val="0"/>
          <w:numId w:val="6"/>
        </w:numPr>
        <w:spacing w:after="60" w:line="268"/>
      </w:pPr>
      <w:r>
        <w:rPr>
          <w:rFonts w:ascii="Arial" w:cs="Arial" w:eastAsia="Arial" w:hAnsi="Arial"/>
          <w:b/>
          <w:bCs/>
          <w:color w:val="222222"/>
          <w:sz w:val="20"/>
          <w:szCs w:val="20"/>
        </w:rPr>
        <w:t xml:space="preserve">Cultural acceptance.</w:t>
      </w:r>
      <w:r>
        <w:rPr>
          <w:rFonts w:ascii="Arial" w:cs="Arial" w:eastAsia="Arial" w:hAnsi="Arial"/>
          <w:color w:val="222222"/>
          <w:sz w:val="20"/>
          <w:szCs w:val="20"/>
        </w:rPr>
        <w:t xml:space="preserve"> Some gurus will refuse recording or device-mediated teaching; their view decides.</w:t>
      </w:r>
    </w:p>
    <w:p>
      <w:pPr>
        <w:pStyle w:val="ListParagraph"/>
        <w:numPr>
          <w:ilvl w:val="0"/>
          <w:numId w:val="6"/>
        </w:numPr>
        <w:spacing w:after="60" w:line="268"/>
      </w:pPr>
      <w:r>
        <w:rPr>
          <w:rFonts w:ascii="Arial" w:cs="Arial" w:eastAsia="Arial" w:hAnsi="Arial"/>
          <w:b/>
          <w:bCs/>
          <w:color w:val="222222"/>
          <w:sz w:val="20"/>
          <w:szCs w:val="20"/>
        </w:rPr>
        <w:t xml:space="preserve">Style imitation.</w:t>
      </w:r>
      <w:r>
        <w:rPr>
          <w:rFonts w:ascii="Arial" w:cs="Arial" w:eastAsia="Arial" w:hAnsi="Arial"/>
          <w:color w:val="222222"/>
          <w:sz w:val="20"/>
          <w:szCs w:val="20"/>
        </w:rPr>
        <w:t xml:space="preserve"> A fingerprint is not audio and cannot generate a performance, but it could help imitation; consent terms say what is allowed.</w:t>
      </w:r>
    </w:p>
    <w:p>
      <w:pPr>
        <w:pStyle w:val="ListParagraph"/>
        <w:numPr>
          <w:ilvl w:val="0"/>
          <w:numId w:val="6"/>
        </w:numPr>
        <w:spacing w:after="60" w:line="268"/>
      </w:pPr>
      <w:r>
        <w:rPr>
          <w:rFonts w:ascii="Arial" w:cs="Arial" w:eastAsia="Arial" w:hAnsi="Arial"/>
          <w:b/>
          <w:bCs/>
          <w:color w:val="222222"/>
          <w:sz w:val="20"/>
          <w:szCs w:val="20"/>
        </w:rPr>
        <w:t xml:space="preserve">No public tabla data was analysed by us</w:t>
      </w:r>
      <w:r>
        <w:rPr>
          <w:rFonts w:ascii="Arial" w:cs="Arial" w:eastAsia="Arial" w:hAnsi="Arial"/>
          <w:color w:val="222222"/>
          <w:sz w:val="20"/>
          <w:szCs w:val="20"/>
        </w:rPr>
        <w:t xml:space="preserve"> (download blocked in our environment); E1 provides the first numbers.</w:t>
      </w:r>
    </w:p>
    <w:p>
      <w:pPr>
        <w:pStyle w:val="Heading1"/>
        <w:keepNext/>
        <w:spacing w:after="200" w:before="480"/>
      </w:pPr>
      <w:r>
        <w:rPr>
          <w:rFonts w:ascii="Arial" w:cs="Arial" w:eastAsia="Arial" w:hAnsi="Arial"/>
        </w:rPr>
        <w:t xml:space="preserve">17.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74"/>
        <w:gridCol w:w="4231"/>
        <w:gridCol w:w="2821"/>
      </w:tblGrid>
      <w:tr>
        <w:trPr>
          <w:cantSplit/>
          <w:tblHeader/>
        </w:trPr>
        <w:tc>
          <w:tcPr>
            <w:tcW w:type="dxa" w:w="197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Phase</w:t>
            </w:r>
          </w:p>
        </w:tc>
        <w:tc>
          <w:tcPr>
            <w:tcW w:type="dxa" w:w="423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Scope</w:t>
            </w:r>
          </w:p>
        </w:tc>
        <w:tc>
          <w:tcPr>
            <w:tcW w:type="dxa" w:w="282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Exit criterion</w:t>
            </w:r>
          </w:p>
        </w:tc>
      </w:tr>
      <w:tr>
        <w:trPr>
          <w:cantSplit/>
        </w:trPr>
        <w:tc>
          <w:tcPr>
            <w:tcW w:type="dxa" w:w="19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1. SIH MVP (4 weeks)</w:t>
            </w:r>
          </w:p>
        </w:tc>
        <w:tc>
          <w:tcPr>
            <w:tcW w:type="dxa" w:w="423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Capture, fingerprint view, Tiers 1–2, movement-aware cues, Fade Engine 2.1, passkey signing, kiosk mode, E1–E4</w:t>
            </w:r>
          </w:p>
        </w:tc>
        <w:tc>
          <w:tcPr>
            <w:tcW w:type="dxa" w:w="282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E1 and E2 pass; demo runs 3× unaided</w:t>
            </w:r>
          </w:p>
        </w:tc>
      </w:tr>
      <w:tr>
        <w:trPr>
          <w:cantSplit/>
        </w:trPr>
        <w:tc>
          <w:tcPr>
            <w:tcW w:type="dxa" w:w="19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2. Product (3–6 months)</w:t>
            </w:r>
          </w:p>
        </w:tc>
        <w:tc>
          <w:tcPr>
            <w:tcW w:type="dxa" w:w="423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Custom PCB cuff; on-device classifier; Tier 3 style mirror; more taals; Stage B trial</w:t>
            </w:r>
          </w:p>
        </w:tc>
        <w:tc>
          <w:tcPr>
            <w:tcW w:type="dxa" w:w="282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Trial launched; 10 masters recorded</w:t>
            </w:r>
          </w:p>
        </w:tc>
      </w:tr>
      <w:tr>
        <w:trPr>
          <w:cantSplit/>
        </w:trPr>
        <w:tc>
          <w:tcPr>
            <w:tcW w:type="dxa" w:w="197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3. Archive and trust (6–12 months)</w:t>
            </w:r>
          </w:p>
        </w:tc>
        <w:tc>
          <w:tcPr>
            <w:tcW w:type="dxa" w:w="423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NCAA pilot deposit; institutional countersignature (W3C VC </w:t>
            </w:r>
            <w:r>
              <w:rPr>
                <w:rFonts w:ascii="Arial" w:cs="Arial" w:eastAsia="Arial" w:hAnsi="Arial"/>
                <w:b w:val="false"/>
                <w:bCs w:val="false"/>
                <w:color w:val="1F4E79"/>
                <w:sz w:val="16"/>
                <w:szCs w:val="16"/>
              </w:rPr>
              <w:t xml:space="preserve">[94]</w:t>
            </w:r>
            <w:r>
              <w:rPr>
                <w:rFonts w:ascii="Arial" w:cs="Arial" w:eastAsia="Arial" w:hAnsi="Arial"/>
                <w:color w:val="222222"/>
                <w:sz w:val="16"/>
                <w:szCs w:val="16"/>
              </w:rPr>
              <w:t xml:space="preserve">); TK labels; royalty ledger</w:t>
            </w:r>
          </w:p>
        </w:tc>
        <w:tc>
          <w:tcPr>
            <w:tcW w:type="dxa" w:w="282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One institution issuing countersignatures</w:t>
            </w:r>
          </w:p>
        </w:tc>
      </w:tr>
      <w:tr>
        <w:trPr>
          <w:cantSplit/>
        </w:trPr>
        <w:tc>
          <w:tcPr>
            <w:tcW w:type="dxa" w:w="197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4. Platform (12+ months)</w:t>
            </w:r>
          </w:p>
        </w:tc>
        <w:tc>
          <w:tcPr>
            <w:tcW w:type="dxa" w:w="423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Kathak footwork, pakhawaj/mridangam, then pottery and puppetry; accessibility study</w:t>
            </w:r>
          </w:p>
        </w:tc>
        <w:tc>
          <w:tcPr>
            <w:tcW w:type="dxa" w:w="282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Two traditions live</w:t>
            </w:r>
          </w:p>
        </w:tc>
      </w:tr>
    </w:tbl>
    <w:p>
      <w:pPr>
        <w:spacing w:after="80"/>
      </w:pPr>
    </w:p>
    <w:p>
      <w:pPr>
        <w:pStyle w:val="Heading1"/>
        <w:keepNext/>
        <w:spacing w:after="200" w:before="480"/>
      </w:pPr>
      <w:r>
        <w:rPr>
          <w:rFonts w:ascii="Arial" w:cs="Arial" w:eastAsia="Arial" w:hAnsi="Arial"/>
        </w:rPr>
        <w:t xml:space="preserve">18. Pre-submission checklist</w:t>
      </w:r>
    </w:p>
    <w:p>
      <w:pPr>
        <w:pStyle w:val="ListParagraph"/>
        <w:numPr>
          <w:ilvl w:val="0"/>
          <w:numId w:val="2"/>
        </w:numPr>
        <w:spacing w:after="60" w:line="268"/>
      </w:pPr>
      <w:r>
        <w:rPr>
          <w:rFonts w:ascii="Arial" w:cs="Arial" w:eastAsia="Arial" w:hAnsi="Arial"/>
          <w:b/>
          <w:bCs/>
          <w:color w:val="222222"/>
          <w:sz w:val="20"/>
          <w:szCs w:val="20"/>
        </w:rPr>
        <w:t xml:space="preserve">Run E1–E4</w:t>
      </w:r>
      <w:r>
        <w:rPr>
          <w:rFonts w:ascii="Arial" w:cs="Arial" w:eastAsia="Arial" w:hAnsi="Arial"/>
          <w:color w:val="222222"/>
          <w:sz w:val="20"/>
          <w:szCs w:val="20"/>
        </w:rPr>
        <w:t xml:space="preserve"> and put the real numbers on the slides (replace every [Target]).</w:t>
      </w:r>
    </w:p>
    <w:p>
      <w:pPr>
        <w:pStyle w:val="ListParagraph"/>
        <w:numPr>
          <w:ilvl w:val="0"/>
          <w:numId w:val="2"/>
        </w:numPr>
        <w:spacing w:after="60" w:line="268"/>
      </w:pPr>
      <w:r>
        <w:rPr>
          <w:rFonts w:ascii="Arial" w:cs="Arial" w:eastAsia="Arial" w:hAnsi="Arial"/>
          <w:color w:val="222222"/>
          <w:sz w:val="20"/>
          <w:szCs w:val="20"/>
        </w:rPr>
        <w:t xml:space="preserve">Secure at least one consenting guru or senior teacher, plus a support letter from a music college, ZCC or gurukul.</w:t>
      </w:r>
    </w:p>
    <w:p>
      <w:pPr>
        <w:pStyle w:val="ListParagraph"/>
        <w:numPr>
          <w:ilvl w:val="0"/>
          <w:numId w:val="2"/>
        </w:numPr>
        <w:spacing w:after="60" w:line="268"/>
      </w:pPr>
      <w:r>
        <w:rPr>
          <w:rFonts w:ascii="Arial" w:cs="Arial" w:eastAsia="Arial" w:hAnsi="Arial"/>
          <w:color w:val="222222"/>
          <w:sz w:val="20"/>
          <w:szCs w:val="20"/>
        </w:rPr>
        <w:t xml:space="preserve">Open every reference used on a slide; use V-status ones or re-check P and S entries.</w:t>
      </w:r>
    </w:p>
    <w:p>
      <w:pPr>
        <w:pStyle w:val="ListParagraph"/>
        <w:numPr>
          <w:ilvl w:val="0"/>
          <w:numId w:val="2"/>
        </w:numPr>
        <w:spacing w:after="60" w:line="268"/>
      </w:pPr>
      <w:r>
        <w:rPr>
          <w:rFonts w:ascii="Arial" w:cs="Arial" w:eastAsia="Arial" w:hAnsi="Arial"/>
          <w:color w:val="222222"/>
          <w:sz w:val="20"/>
          <w:szCs w:val="20"/>
        </w:rPr>
        <w:t xml:space="preserve">Formal patent and literature search (InPASS, Google Patents, IEEE Xplore); record the date.</w:t>
      </w:r>
    </w:p>
    <w:p>
      <w:pPr>
        <w:pStyle w:val="ListParagraph"/>
        <w:numPr>
          <w:ilvl w:val="0"/>
          <w:numId w:val="2"/>
        </w:numPr>
        <w:spacing w:after="60" w:line="268"/>
      </w:pPr>
      <w:r>
        <w:rPr>
          <w:rFonts w:ascii="Arial" w:cs="Arial" w:eastAsia="Arial" w:hAnsi="Arial"/>
          <w:color w:val="222222"/>
          <w:sz w:val="20"/>
          <w:szCs w:val="20"/>
        </w:rPr>
        <w:t xml:space="preserve">Written consent from every player for recordings, fingerprints, kiosk use and quotes; institute ethics process.</w:t>
      </w:r>
    </w:p>
    <w:p>
      <w:pPr>
        <w:pStyle w:val="ListParagraph"/>
        <w:numPr>
          <w:ilvl w:val="0"/>
          <w:numId w:val="2"/>
        </w:numPr>
        <w:spacing w:after="60" w:line="268"/>
      </w:pPr>
      <w:r>
        <w:rPr>
          <w:rFonts w:ascii="Arial" w:cs="Arial" w:eastAsia="Arial" w:hAnsi="Arial"/>
          <w:color w:val="222222"/>
          <w:sz w:val="20"/>
          <w:szCs w:val="20"/>
        </w:rPr>
        <w:t xml:space="preserve">Bench-test T1–T15 and keep the logs.</w:t>
      </w:r>
    </w:p>
    <w:p>
      <w:pPr>
        <w:pStyle w:val="ListParagraph"/>
        <w:numPr>
          <w:ilvl w:val="0"/>
          <w:numId w:val="2"/>
        </w:numPr>
        <w:spacing w:after="60" w:line="268"/>
      </w:pPr>
      <w:r>
        <w:rPr>
          <w:rFonts w:ascii="Arial" w:cs="Arial" w:eastAsia="Arial" w:hAnsi="Arial"/>
          <w:color w:val="222222"/>
          <w:sz w:val="20"/>
          <w:szCs w:val="20"/>
        </w:rPr>
        <w:t xml:space="preserve">Replace ₹ estimates with real quotes.</w:t>
      </w:r>
    </w:p>
    <w:p>
      <w:pPr>
        <w:pStyle w:val="ListParagraph"/>
        <w:numPr>
          <w:ilvl w:val="0"/>
          <w:numId w:val="2"/>
        </w:numPr>
        <w:spacing w:after="60" w:line="268"/>
      </w:pPr>
      <w:r>
        <w:rPr>
          <w:rFonts w:ascii="Arial" w:cs="Arial" w:eastAsia="Arial" w:hAnsi="Arial"/>
          <w:color w:val="222222"/>
          <w:sz w:val="20"/>
          <w:szCs w:val="20"/>
        </w:rPr>
        <w:t xml:space="preserve">Re-run the simulations after any change to fade constants.</w:t>
      </w:r>
    </w:p>
    <w:p>
      <w:pPr>
        <w:pStyle w:val="ListParagraph"/>
        <w:numPr>
          <w:ilvl w:val="0"/>
          <w:numId w:val="2"/>
        </w:numPr>
        <w:spacing w:after="60" w:line="268"/>
      </w:pPr>
      <w:r>
        <w:rPr>
          <w:rFonts w:ascii="Arial" w:cs="Arial" w:eastAsia="Arial" w:hAnsi="Arial"/>
          <w:color w:val="222222"/>
          <w:sz w:val="20"/>
          <w:szCs w:val="20"/>
        </w:rPr>
        <w:t xml:space="preserve">Rehearse the 3-minute demo three times; record a backup video.</w:t>
      </w:r>
    </w:p>
    <w:p>
      <w:pPr>
        <w:pStyle w:val="ListParagraph"/>
        <w:numPr>
          <w:ilvl w:val="0"/>
          <w:numId w:val="2"/>
        </w:numPr>
        <w:spacing w:after="60" w:line="268"/>
      </w:pPr>
      <w:r>
        <w:rPr>
          <w:rFonts w:ascii="Arial" w:cs="Arial" w:eastAsia="Arial" w:hAnsi="Arial"/>
          <w:color w:val="222222"/>
          <w:sz w:val="20"/>
          <w:szCs w:val="20"/>
        </w:rPr>
        <w:t xml:space="preserve">Confirm the official SIH rubric and deck template with the SPOC.</w:t>
      </w:r>
    </w:p>
    <w:p>
      <w:pPr>
        <w:pStyle w:val="Heading1"/>
        <w:keepNext/>
        <w:spacing w:after="200" w:before="480"/>
      </w:pPr>
      <w:r>
        <w:rPr>
          <w:rFonts w:ascii="Arial" w:cs="Arial" w:eastAsia="Arial" w:hAnsi="Arial"/>
        </w:rPr>
        <w:t xml:space="preserve">19. Source merge decisions and reference audit (from v1)</w:t>
      </w:r>
    </w:p>
    <w:p>
      <w:pPr>
        <w:pStyle w:val="Heading2"/>
        <w:keepNext/>
      </w:pPr>
      <w:r>
        <w:rPr>
          <w:rFonts w:ascii="Arial" w:cs="Arial" w:eastAsia="Arial" w:hAnsi="Arial"/>
        </w:rPr>
        <w:t xml:space="preserve">19.1 What the two original documents disagreed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2031"/>
        <w:gridCol w:w="2031"/>
        <w:gridCol w:w="3610"/>
      </w:tblGrid>
      <w:tr>
        <w:trPr>
          <w:cantSplit/>
          <w:tblHeader/>
        </w:trPr>
        <w:tc>
          <w:tcPr>
            <w:tcW w:type="dxa" w:w="135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Topic</w:t>
            </w:r>
          </w:p>
        </w:tc>
        <w:tc>
          <w:tcPr>
            <w:tcW w:type="dxa" w:w="203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Executive Summary PDF</w:t>
            </w:r>
          </w:p>
        </w:tc>
        <w:tc>
          <w:tcPr>
            <w:tcW w:type="dxa" w:w="203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Engineering dossier</w:t>
            </w:r>
          </w:p>
        </w:tc>
        <w:tc>
          <w:tcPr>
            <w:tcW w:type="dxa" w:w="361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Final decision</w:t>
            </w:r>
          </w:p>
        </w:tc>
      </w:tr>
      <w:tr>
        <w:trPr>
          <w:cantSplit/>
        </w:trPr>
        <w:tc>
          <w:tcPr>
            <w:tcW w:type="dxa" w:w="135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Guru capture</w:t>
            </w:r>
          </w:p>
        </w:tc>
        <w:tc>
          <w:tcPr>
            <w:tcW w:type="dxa" w:w="203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Glove (flex, FSR) + wrist IMU + piezo</w:t>
            </w:r>
          </w:p>
        </w:tc>
        <w:tc>
          <w:tcPr>
            <w:tcW w:type="dxa" w:w="203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Piezo + wrist IMU (+ mic); no glove</w:t>
            </w:r>
          </w:p>
        </w:tc>
        <w:tc>
          <w:tcPr>
            <w:tcW w:type="dxa" w:w="361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 glove: it changes the guru's touch; strokes are recoverable from audio/piezo </w:t>
            </w:r>
            <w:r>
              <w:rPr>
                <w:rFonts w:ascii="Arial" w:cs="Arial" w:eastAsia="Arial" w:hAnsi="Arial"/>
                <w:b w:val="false"/>
                <w:bCs w:val="false"/>
                <w:color w:val="1F4E79"/>
                <w:sz w:val="15"/>
                <w:szCs w:val="15"/>
              </w:rPr>
              <w:t xml:space="preserve">[49]</w:t>
            </w:r>
          </w:p>
        </w:tc>
      </w:tr>
      <w:tr>
        <w:trPr>
          <w:cantSplit/>
        </w:trPr>
        <w:tc>
          <w:tcPr>
            <w:tcW w:type="dxa" w:w="135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Actuators</w:t>
            </w:r>
          </w:p>
        </w:tc>
        <w:tc>
          <w:tcPr>
            <w:tcW w:type="dxa" w:w="203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Coin ERM, 2–3 on one band</w:t>
            </w:r>
          </w:p>
        </w:tc>
        <w:tc>
          <w:tcPr>
            <w:tcW w:type="dxa" w:w="203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LRA + DRV2605L, 2 per cuff</w:t>
            </w:r>
          </w:p>
        </w:tc>
        <w:tc>
          <w:tcPr>
            <w:tcW w:type="dxa" w:w="361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LRA; ERM as budget fallback </w:t>
            </w:r>
            <w:r>
              <w:rPr>
                <w:rFonts w:ascii="Arial" w:cs="Arial" w:eastAsia="Arial" w:hAnsi="Arial"/>
                <w:b w:val="false"/>
                <w:bCs w:val="false"/>
                <w:color w:val="1F4E79"/>
                <w:sz w:val="15"/>
                <w:szCs w:val="15"/>
              </w:rPr>
              <w:t xml:space="preserve">[37, 97]</w:t>
            </w:r>
          </w:p>
        </w:tc>
      </w:tr>
      <w:tr>
        <w:trPr>
          <w:cantSplit/>
        </w:trPr>
        <w:tc>
          <w:tcPr>
            <w:tcW w:type="dxa" w:w="135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Skin sites</w:t>
            </w:r>
          </w:p>
        </w:tc>
        <w:tc>
          <w:tcPr>
            <w:tcW w:type="dxa" w:w="203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2–3 on one arm</w:t>
            </w:r>
          </w:p>
        </w:tc>
        <w:tc>
          <w:tcPr>
            <w:tcW w:type="dxa" w:w="203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4 (dorsal/palmar × L/R)</w:t>
            </w:r>
          </w:p>
        </w:tc>
        <w:tc>
          <w:tcPr>
            <w:tcW w:type="dxa" w:w="361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4 sites </w:t>
            </w:r>
            <w:r>
              <w:rPr>
                <w:rFonts w:ascii="Arial" w:cs="Arial" w:eastAsia="Arial" w:hAnsi="Arial"/>
                <w:b w:val="false"/>
                <w:bCs w:val="false"/>
                <w:color w:val="1F4E79"/>
                <w:sz w:val="15"/>
                <w:szCs w:val="15"/>
              </w:rPr>
              <w:t xml:space="preserve">[38]</w:t>
            </w:r>
          </w:p>
        </w:tc>
      </w:tr>
      <w:tr>
        <w:trPr>
          <w:cantSplit/>
        </w:trPr>
        <w:tc>
          <w:tcPr>
            <w:tcW w:type="dxa" w:w="135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Envelope</w:t>
            </w:r>
          </w:p>
        </w:tc>
        <w:tc>
          <w:tcPr>
            <w:tcW w:type="dxa" w:w="203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JSON + SHA-256 + Ed25519/ECDSA</w:t>
            </w:r>
          </w:p>
        </w:tc>
        <w:tc>
          <w:tcPr>
            <w:tcW w:type="dxa" w:w="203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Deterministic CBOR + Ed25519</w:t>
            </w:r>
          </w:p>
        </w:tc>
        <w:tc>
          <w:tcPr>
            <w:tcW w:type="dxa" w:w="361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COSE over deterministic CBOR; passkey signing in v2 </w:t>
            </w:r>
            <w:r>
              <w:rPr>
                <w:rFonts w:ascii="Arial" w:cs="Arial" w:eastAsia="Arial" w:hAnsi="Arial"/>
                <w:b w:val="false"/>
                <w:bCs w:val="false"/>
                <w:color w:val="1F4E79"/>
                <w:sz w:val="15"/>
                <w:szCs w:val="15"/>
              </w:rPr>
              <w:t xml:space="preserve">[92, 119]</w:t>
            </w:r>
          </w:p>
        </w:tc>
      </w:tr>
      <w:tr>
        <w:trPr>
          <w:cantSplit/>
        </w:trPr>
        <w:tc>
          <w:tcPr>
            <w:tcW w:type="dxa" w:w="135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Scoring</w:t>
            </w:r>
          </w:p>
        </w:tc>
        <w:tc>
          <w:tcPr>
            <w:tcW w:type="dxa" w:w="203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Weighted Euclidean, 90% pass</w:t>
            </w:r>
          </w:p>
        </w:tc>
        <w:tc>
          <w:tcPr>
            <w:tcW w:type="dxa" w:w="203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Bias-corrected exponential</w:t>
            </w:r>
          </w:p>
        </w:tc>
        <w:tc>
          <w:tcPr>
            <w:tcW w:type="dxa" w:w="361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Bias-corrected + tier-adaptive + style similarity </w:t>
            </w:r>
            <w:r>
              <w:rPr>
                <w:rFonts w:ascii="Arial" w:cs="Arial" w:eastAsia="Arial" w:hAnsi="Arial"/>
                <w:b w:val="false"/>
                <w:bCs w:val="false"/>
                <w:color w:val="1F4E79"/>
                <w:sz w:val="15"/>
                <w:szCs w:val="15"/>
              </w:rPr>
              <w:t xml:space="preserve">[34]</w:t>
            </w:r>
          </w:p>
        </w:tc>
      </w:tr>
      <w:tr>
        <w:trPr>
          <w:cantSplit/>
        </w:trPr>
        <w:tc>
          <w:tcPr>
            <w:tcW w:type="dxa" w:w="135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Evaluation</w:t>
            </w:r>
          </w:p>
        </w:tc>
        <w:tc>
          <w:tcPr>
            <w:tcW w:type="dxa" w:w="203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3 groups, n = 30–45</w:t>
            </w:r>
          </w:p>
        </w:tc>
        <w:tc>
          <w:tcPr>
            <w:tcW w:type="dxa" w:w="203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Crossover, n = 12–15</w:t>
            </w:r>
          </w:p>
        </w:tc>
        <w:tc>
          <w:tcPr>
            <w:tcW w:type="dxa" w:w="361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E1–E4 → crossover pilot → 4-arm trial</w:t>
            </w:r>
          </w:p>
        </w:tc>
      </w:tr>
      <w:tr>
        <w:trPr>
          <w:cantSplit/>
        </w:trPr>
        <w:tc>
          <w:tcPr>
            <w:tcW w:type="dxa" w:w="135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Claim</w:t>
            </w:r>
          </w:p>
        </w:tc>
        <w:tc>
          <w:tcPr>
            <w:tcW w:type="dxa" w:w="203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'Kinesthetic feel of the guru'</w:t>
            </w:r>
          </w:p>
        </w:tc>
        <w:tc>
          <w:tcPr>
            <w:tcW w:type="dxa" w:w="203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Timing, hand, family, strength</w:t>
            </w:r>
          </w:p>
        </w:tc>
        <w:tc>
          <w:tcPr>
            <w:tcW w:type="dxa" w:w="361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Measured fingerprint; touch for structure, ear for micro-timing</w:t>
            </w:r>
          </w:p>
        </w:tc>
      </w:tr>
      <w:tr>
        <w:trPr>
          <w:cantSplit/>
        </w:trPr>
        <w:tc>
          <w:tcPr>
            <w:tcW w:type="dxa" w:w="135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Lineage</w:t>
            </w:r>
          </w:p>
        </w:tc>
        <w:tc>
          <w:tcPr>
            <w:tcW w:type="dxa" w:w="203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'Gharana kabhi merge nahi hota'</w:t>
            </w:r>
          </w:p>
        </w:tc>
        <w:tc>
          <w:tcPr>
            <w:tcW w:type="dxa" w:w="203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Lineages interacted; no automatic blending</w:t>
            </w:r>
          </w:p>
        </w:tc>
        <w:tc>
          <w:tcPr>
            <w:tcW w:type="dxa" w:w="361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 blending without every guru's consent </w:t>
            </w:r>
            <w:r>
              <w:rPr>
                <w:rFonts w:ascii="Arial" w:cs="Arial" w:eastAsia="Arial" w:hAnsi="Arial"/>
                <w:b w:val="false"/>
                <w:bCs w:val="false"/>
                <w:color w:val="1F4E79"/>
                <w:sz w:val="15"/>
                <w:szCs w:val="15"/>
              </w:rPr>
              <w:t xml:space="preserve">[52]</w:t>
            </w:r>
          </w:p>
        </w:tc>
      </w:tr>
    </w:tbl>
    <w:p>
      <w:pPr>
        <w:spacing w:after="80"/>
      </w:pPr>
    </w:p>
    <w:p>
      <w:pPr>
        <w:pStyle w:val="Heading2"/>
        <w:keepNext/>
      </w:pPr>
      <w:r>
        <w:rPr>
          <w:rFonts w:ascii="Arial" w:cs="Arial" w:eastAsia="Arial" w:hAnsi="Arial"/>
        </w:rPr>
        <w:t xml:space="preserve">19.2 Reference 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
        <w:gridCol w:w="3129"/>
        <w:gridCol w:w="3129"/>
        <w:gridCol w:w="2407"/>
      </w:tblGrid>
      <w:tr>
        <w:trPr>
          <w:cantSplit/>
          <w:tblHeader/>
        </w:trPr>
        <w:tc>
          <w:tcPr>
            <w:tcW w:type="dxa" w:w="361"/>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w:t>
            </w:r>
          </w:p>
        </w:tc>
        <w:tc>
          <w:tcPr>
            <w:tcW w:type="dxa" w:w="312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Claim as written in the sources</w:t>
            </w:r>
          </w:p>
        </w:tc>
        <w:tc>
          <w:tcPr>
            <w:tcW w:type="dxa" w:w="3129"/>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What we found</w:t>
            </w:r>
          </w:p>
        </w:tc>
        <w:tc>
          <w:tcPr>
            <w:tcW w:type="dxa" w:w="2407"/>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5"/>
                <w:szCs w:val="15"/>
              </w:rPr>
              <w:t xml:space="preserve">Action</w:t>
            </w:r>
          </w:p>
        </w:tc>
      </w:tr>
      <w:tr>
        <w:trPr>
          <w:cantSplit/>
        </w:trPr>
        <w:tc>
          <w:tcPr>
            <w:tcW w:type="dxa" w:w="36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1</w:t>
            </w:r>
          </w:p>
        </w:tc>
        <w:tc>
          <w:tcPr>
            <w:tcW w:type="dxa" w:w="31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Grindlay: haptic + audio cut errors ~17–18%</w:t>
            </w:r>
          </w:p>
        </w:tc>
        <w:tc>
          <w:tcPr>
            <w:tcW w:type="dxa" w:w="31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Correct: −17% velocity error, −18% early timing error</w:t>
            </w:r>
          </w:p>
        </w:tc>
        <w:tc>
          <w:tcPr>
            <w:tcW w:type="dxa" w:w="240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Keep </w:t>
            </w:r>
            <w:r>
              <w:rPr>
                <w:rFonts w:ascii="Arial" w:cs="Arial" w:eastAsia="Arial" w:hAnsi="Arial"/>
                <w:b w:val="false"/>
                <w:bCs w:val="false"/>
                <w:color w:val="1F4E79"/>
                <w:sz w:val="15"/>
                <w:szCs w:val="15"/>
              </w:rPr>
              <w:t xml:space="preserve">[1]</w:t>
            </w:r>
          </w:p>
        </w:tc>
      </w:tr>
      <w:tr>
        <w:trPr>
          <w:cantSplit/>
        </w:trPr>
        <w:tc>
          <w:tcPr>
            <w:tcW w:type="dxa" w:w="36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2</w:t>
            </w:r>
          </w:p>
        </w:tc>
        <w:tc>
          <w:tcPr>
            <w:tcW w:type="dxa" w:w="31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'Grindlay (2008), ACM Multimedia, pp. 481–484'</w:t>
            </w:r>
          </w:p>
        </w:tc>
        <w:tc>
          <w:tcPr>
            <w:tcW w:type="dxa" w:w="31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Venue does not match; 2008 haptics symposium paper + 2007 MIT thesis</w:t>
            </w:r>
          </w:p>
        </w:tc>
        <w:tc>
          <w:tcPr>
            <w:tcW w:type="dxa" w:w="240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Corrected </w:t>
            </w:r>
            <w:r>
              <w:rPr>
                <w:rFonts w:ascii="Arial" w:cs="Arial" w:eastAsia="Arial" w:hAnsi="Arial"/>
                <w:b w:val="false"/>
                <w:bCs w:val="false"/>
                <w:color w:val="1F4E79"/>
                <w:sz w:val="15"/>
                <w:szCs w:val="15"/>
              </w:rPr>
              <w:t xml:space="preserve">[2]</w:t>
            </w:r>
          </w:p>
        </w:tc>
      </w:tr>
      <w:tr>
        <w:trPr>
          <w:cantSplit/>
        </w:trPr>
        <w:tc>
          <w:tcPr>
            <w:tcW w:type="dxa" w:w="36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3</w:t>
            </w:r>
          </w:p>
        </w:tc>
        <w:tc>
          <w:tcPr>
            <w:tcW w:type="dxa" w:w="31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'Masur &amp; Sacks, IEEE Robotics (2025)'</w:t>
            </w:r>
          </w:p>
        </w:tc>
        <w:tc>
          <w:tcPr>
            <w:tcW w:type="dxa" w:w="31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No such paper</w:t>
            </w:r>
            <w:r>
              <w:rPr>
                <w:rFonts w:ascii="Arial" w:cs="Arial" w:eastAsia="Arial" w:hAnsi="Arial"/>
                <w:color w:val="222222"/>
                <w:sz w:val="15"/>
                <w:szCs w:val="15"/>
              </w:rPr>
              <w:t xml:space="preserve">; closest is Zahedi et al. 2017, IEEE RA-L</w:t>
            </w:r>
          </w:p>
        </w:tc>
        <w:tc>
          <w:tcPr>
            <w:tcW w:type="dxa" w:w="240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Removed </w:t>
            </w:r>
            <w:r>
              <w:rPr>
                <w:rFonts w:ascii="Arial" w:cs="Arial" w:eastAsia="Arial" w:hAnsi="Arial"/>
                <w:b w:val="false"/>
                <w:bCs w:val="false"/>
                <w:color w:val="1F4E79"/>
                <w:sz w:val="15"/>
                <w:szCs w:val="15"/>
              </w:rPr>
              <w:t xml:space="preserve">[19]</w:t>
            </w:r>
          </w:p>
        </w:tc>
      </w:tr>
      <w:tr>
        <w:trPr>
          <w:cantSplit/>
        </w:trPr>
        <w:tc>
          <w:tcPr>
            <w:tcW w:type="dxa" w:w="36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4</w:t>
            </w:r>
          </w:p>
        </w:tc>
        <w:tc>
          <w:tcPr>
            <w:tcW w:type="dxa" w:w="31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'Flandorfer et al., Sensors 22(4):1564 (2022)'</w:t>
            </w:r>
          </w:p>
        </w:tc>
        <w:tc>
          <w:tcPr>
            <w:tcW w:type="dxa" w:w="31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5"/>
                <w:szCs w:val="15"/>
              </w:rPr>
              <w:t xml:space="preserve">Not found</w:t>
            </w:r>
          </w:p>
        </w:tc>
        <w:tc>
          <w:tcPr>
            <w:tcW w:type="dxa" w:w="240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Removed; use </w:t>
            </w:r>
            <w:r>
              <w:rPr>
                <w:rFonts w:ascii="Arial" w:cs="Arial" w:eastAsia="Arial" w:hAnsi="Arial"/>
                <w:b w:val="false"/>
                <w:bCs w:val="false"/>
                <w:color w:val="1F4E79"/>
                <w:sz w:val="15"/>
                <w:szCs w:val="15"/>
              </w:rPr>
              <w:t xml:space="preserve">[16]</w:t>
            </w:r>
          </w:p>
        </w:tc>
      </w:tr>
      <w:tr>
        <w:trPr>
          <w:cantSplit/>
        </w:trPr>
        <w:tc>
          <w:tcPr>
            <w:tcW w:type="dxa" w:w="36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5</w:t>
            </w:r>
          </w:p>
        </w:tc>
        <w:tc>
          <w:tcPr>
            <w:tcW w:type="dxa" w:w="31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MusicJacket 'CHI 2010 WIP', 'IEEE TIM 2009'</w:t>
            </w:r>
          </w:p>
        </w:tc>
        <w:tc>
          <w:tcPr>
            <w:tcW w:type="dxa" w:w="31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CHI 2010 EA exists; IEEE TIM is 2011, 60(1)</w:t>
            </w:r>
          </w:p>
        </w:tc>
        <w:tc>
          <w:tcPr>
            <w:tcW w:type="dxa" w:w="240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Corrected </w:t>
            </w:r>
            <w:r>
              <w:rPr>
                <w:rFonts w:ascii="Arial" w:cs="Arial" w:eastAsia="Arial" w:hAnsi="Arial"/>
                <w:b w:val="false"/>
                <w:bCs w:val="false"/>
                <w:color w:val="1F4E79"/>
                <w:sz w:val="15"/>
                <w:szCs w:val="15"/>
              </w:rPr>
              <w:t xml:space="preserve">[7, 8]</w:t>
            </w:r>
          </w:p>
        </w:tc>
      </w:tr>
      <w:tr>
        <w:trPr>
          <w:cantSplit/>
        </w:trPr>
        <w:tc>
          <w:tcPr>
            <w:tcW w:type="dxa" w:w="36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6</w:t>
            </w:r>
          </w:p>
        </w:tc>
        <w:tc>
          <w:tcPr>
            <w:tcW w:type="dxa" w:w="31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SparkFun buying guide for IMU specs</w:t>
            </w:r>
          </w:p>
        </w:tc>
        <w:tc>
          <w:tcPr>
            <w:tcW w:type="dxa" w:w="31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Vendor page, not research</w:t>
            </w:r>
          </w:p>
        </w:tc>
        <w:tc>
          <w:tcPr>
            <w:tcW w:type="dxa" w:w="240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Replaced by datasheets</w:t>
            </w:r>
          </w:p>
        </w:tc>
      </w:tr>
      <w:tr>
        <w:trPr>
          <w:cantSplit/>
        </w:trPr>
        <w:tc>
          <w:tcPr>
            <w:tcW w:type="dxa" w:w="36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7</w:t>
            </w:r>
          </w:p>
        </w:tc>
        <w:tc>
          <w:tcPr>
            <w:tcW w:type="dxa" w:w="31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Kapur et al., 'JNMR 32(4)'</w:t>
            </w:r>
          </w:p>
        </w:tc>
        <w:tc>
          <w:tcPr>
            <w:tcW w:type="dxa" w:w="31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Verified: NIME 2002, pp. 108–112</w:t>
            </w:r>
          </w:p>
        </w:tc>
        <w:tc>
          <w:tcPr>
            <w:tcW w:type="dxa" w:w="240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Cite NIME </w:t>
            </w:r>
            <w:r>
              <w:rPr>
                <w:rFonts w:ascii="Arial" w:cs="Arial" w:eastAsia="Arial" w:hAnsi="Arial"/>
                <w:b w:val="false"/>
                <w:bCs w:val="false"/>
                <w:color w:val="1F4E79"/>
                <w:sz w:val="15"/>
                <w:szCs w:val="15"/>
              </w:rPr>
              <w:t xml:space="preserve">[45]</w:t>
            </w:r>
          </w:p>
        </w:tc>
      </w:tr>
      <w:tr>
        <w:trPr>
          <w:cantSplit/>
        </w:trPr>
        <w:tc>
          <w:tcPr>
            <w:tcW w:type="dxa" w:w="361"/>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8</w:t>
            </w:r>
          </w:p>
        </w:tc>
        <w:tc>
          <w:tcPr>
            <w:tcW w:type="dxa" w:w="31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Chat-tool markers such as 【35†L1-L4】</w:t>
            </w:r>
          </w:p>
        </w:tc>
        <w:tc>
          <w:tcPr>
            <w:tcW w:type="dxa" w:w="3129"/>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Not references; claims untraceable</w:t>
            </w:r>
          </w:p>
        </w:tc>
        <w:tc>
          <w:tcPr>
            <w:tcW w:type="dxa" w:w="2407"/>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Removed</w:t>
            </w:r>
          </w:p>
        </w:tc>
      </w:tr>
      <w:tr>
        <w:trPr>
          <w:cantSplit/>
        </w:trPr>
        <w:tc>
          <w:tcPr>
            <w:tcW w:type="dxa" w:w="361"/>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9</w:t>
            </w:r>
          </w:p>
        </w:tc>
        <w:tc>
          <w:tcPr>
            <w:tcW w:type="dxa" w:w="31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Huang &amp; Starner 'passive learning'</w:t>
            </w:r>
          </w:p>
        </w:tc>
        <w:tc>
          <w:tcPr>
            <w:tcW w:type="dxa" w:w="3129"/>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Two works: PianoTouch 2008, Mobile Music Touch 2010</w:t>
            </w:r>
          </w:p>
        </w:tc>
        <w:tc>
          <w:tcPr>
            <w:tcW w:type="dxa" w:w="2407"/>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5"/>
                <w:szCs w:val="15"/>
              </w:rPr>
              <w:t xml:space="preserve">Cited separately </w:t>
            </w:r>
            <w:r>
              <w:rPr>
                <w:rFonts w:ascii="Arial" w:cs="Arial" w:eastAsia="Arial" w:hAnsi="Arial"/>
                <w:b w:val="false"/>
                <w:bCs w:val="false"/>
                <w:color w:val="1F4E79"/>
                <w:sz w:val="15"/>
                <w:szCs w:val="15"/>
              </w:rPr>
              <w:t xml:space="preserve">[10, 11, 12]</w:t>
            </w:r>
          </w:p>
        </w:tc>
      </w:tr>
    </w:tbl>
    <w:p>
      <w:pPr>
        <w:spacing w:after="80"/>
      </w:pPr>
    </w:p>
    <w:p>
      <w:pPr>
        <w:pStyle w:val="Heading1"/>
        <w:keepNext/>
        <w:pageBreakBefore/>
        <w:spacing w:after="200" w:before="0"/>
      </w:pPr>
      <w:r>
        <w:rPr>
          <w:rFonts w:ascii="Arial" w:cs="Arial" w:eastAsia="Arial" w:hAnsi="Arial"/>
        </w:rPr>
        <w:t xml:space="preserve">20. References</w:t>
      </w:r>
    </w:p>
    <w:p>
      <w:pPr>
        <w:spacing w:after="120" w:before="0" w:line="276"/>
        <w:jc w:val="left"/>
      </w:pPr>
      <w:r>
        <w:rPr>
          <w:rFonts w:ascii="Arial" w:cs="Arial" w:eastAsia="Arial" w:hAnsi="Arial"/>
          <w:color w:val="222222"/>
          <w:sz w:val="20"/>
          <w:szCs w:val="20"/>
        </w:rPr>
        <w:t xml:space="preserve">Status at the end of each entry: </w:t>
      </w:r>
      <w:r>
        <w:rPr>
          <w:rFonts w:ascii="Arial" w:cs="Arial" w:eastAsia="Arial" w:hAnsi="Arial"/>
          <w:b/>
          <w:bCs/>
          <w:color w:val="222222"/>
          <w:sz w:val="20"/>
          <w:szCs w:val="20"/>
        </w:rPr>
        <w:t xml:space="preserve">V</w:t>
      </w:r>
      <w:r>
        <w:rPr>
          <w:rFonts w:ascii="Arial" w:cs="Arial" w:eastAsia="Arial" w:hAnsi="Arial"/>
          <w:color w:val="222222"/>
          <w:sz w:val="20"/>
          <w:szCs w:val="20"/>
        </w:rPr>
        <w:t xml:space="preserve"> verified this session by live web search (October 2026); </w:t>
      </w:r>
      <w:r>
        <w:rPr>
          <w:rFonts w:ascii="Arial" w:cs="Arial" w:eastAsia="Arial" w:hAnsi="Arial"/>
          <w:b/>
          <w:bCs/>
          <w:color w:val="222222"/>
          <w:sz w:val="20"/>
          <w:szCs w:val="20"/>
        </w:rPr>
        <w:t xml:space="preserve">P</w:t>
      </w:r>
      <w:r>
        <w:rPr>
          <w:rFonts w:ascii="Arial" w:cs="Arial" w:eastAsia="Arial" w:hAnsi="Arial"/>
          <w:color w:val="222222"/>
          <w:sz w:val="20"/>
          <w:szCs w:val="20"/>
        </w:rPr>
        <w:t xml:space="preserve"> existence verified, some details from memory; </w:t>
      </w:r>
      <w:r>
        <w:rPr>
          <w:rFonts w:ascii="Arial" w:cs="Arial" w:eastAsia="Arial" w:hAnsi="Arial"/>
          <w:b/>
          <w:bCs/>
          <w:color w:val="222222"/>
          <w:sz w:val="20"/>
          <w:szCs w:val="20"/>
        </w:rPr>
        <w:t xml:space="preserve">S</w:t>
      </w:r>
      <w:r>
        <w:rPr>
          <w:rFonts w:ascii="Arial" w:cs="Arial" w:eastAsia="Arial" w:hAnsi="Arial"/>
          <w:color w:val="222222"/>
          <w:sz w:val="20"/>
          <w:szCs w:val="20"/>
        </w:rPr>
        <w:t xml:space="preserve"> standard reference carried over, not re-checked. Numbers quoted in the text come from V-status entries unless marked otherwise.</w:t>
      </w:r>
    </w:p>
    <w:p>
      <w:pPr>
        <w:pStyle w:val="Heading3"/>
        <w:keepNext/>
      </w:pPr>
      <w:r>
        <w:rPr>
          <w:rFonts w:ascii="Arial" w:cs="Arial" w:eastAsia="Arial" w:hAnsi="Arial"/>
        </w:rPr>
        <w:t xml:space="preserve">A. Haptic guidance and music learning</w:t>
      </w:r>
    </w:p>
    <w:p>
      <w:pPr>
        <w:spacing w:after="70" w:line="252"/>
        <w:ind w:left="520" w:hanging="520"/>
      </w:pPr>
      <w:r>
        <w:rPr>
          <w:rFonts w:ascii="Arial" w:cs="Arial" w:eastAsia="Arial" w:hAnsi="Arial"/>
          <w:b/>
          <w:bCs/>
          <w:color w:val="1F4E79"/>
          <w:sz w:val="17"/>
          <w:szCs w:val="17"/>
        </w:rPr>
        <w:t xml:space="preserve">[1]  </w:t>
      </w:r>
      <w:r>
        <w:rPr>
          <w:rFonts w:ascii="Arial" w:cs="Arial" w:eastAsia="Arial" w:hAnsi="Arial"/>
          <w:color w:val="222222"/>
          <w:sz w:val="17"/>
          <w:szCs w:val="17"/>
        </w:rPr>
        <w:t xml:space="preserve">Grindlay, G. (2008). Haptic guidance benefits musical motor learning. Proc. IEEE Symposium on Haptic Interfaces for Virtual Environment and Teleoperator Systems (HAPTICS 2008). Finding used: adding haptic guidance to audio training reduced final velocity error by 17% and early-stage timing error by 18% compared with audio alone.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cxcbbpdlw3n0l8_pmjaub">
        <w:r>
          <w:rPr>
            <w:rFonts w:ascii="Arial" w:cs="Arial" w:eastAsia="Arial" w:hAnsi="Arial"/>
            <w:color w:val="1F4E79"/>
            <w:sz w:val="15"/>
            <w:szCs w:val="15"/>
            <w:u w:val="single"/>
          </w:rPr>
          <w:t xml:space="preserve">https://www.ee.columbia.edu/~grindlay/pubs/Haptics_2008.pdf</w:t>
        </w:r>
      </w:hyperlink>
    </w:p>
    <w:p>
      <w:pPr>
        <w:spacing w:after="70" w:line="252"/>
        <w:ind w:left="520" w:hanging="520"/>
      </w:pPr>
      <w:r>
        <w:rPr>
          <w:rFonts w:ascii="Arial" w:cs="Arial" w:eastAsia="Arial" w:hAnsi="Arial"/>
          <w:b/>
          <w:bCs/>
          <w:color w:val="1F4E79"/>
          <w:sz w:val="17"/>
          <w:szCs w:val="17"/>
        </w:rPr>
        <w:t xml:space="preserve">[2]  </w:t>
      </w:r>
      <w:r>
        <w:rPr>
          <w:rFonts w:ascii="Arial" w:cs="Arial" w:eastAsia="Arial" w:hAnsi="Arial"/>
          <w:color w:val="222222"/>
          <w:sz w:val="17"/>
          <w:szCs w:val="17"/>
        </w:rPr>
        <w:t xml:space="preserve">Grindlay, G. (2007). The impact of haptic guidance on musical motor learning. S.M. thesis, MIT Media Lab.</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pu53ly6ay63pv9qde59f6">
        <w:r>
          <w:rPr>
            <w:rFonts w:ascii="Arial" w:cs="Arial" w:eastAsia="Arial" w:hAnsi="Arial"/>
            <w:color w:val="1F4E79"/>
            <w:sz w:val="15"/>
            <w:szCs w:val="15"/>
            <w:u w:val="single"/>
          </w:rPr>
          <w:t xml:space="preserve">https://dspace.mit.edu/handle/1721.1/41562</w:t>
        </w:r>
      </w:hyperlink>
    </w:p>
    <w:p>
      <w:pPr>
        <w:spacing w:after="70" w:line="252"/>
        <w:ind w:left="520" w:hanging="520"/>
      </w:pPr>
      <w:r>
        <w:rPr>
          <w:rFonts w:ascii="Arial" w:cs="Arial" w:eastAsia="Arial" w:hAnsi="Arial"/>
          <w:b/>
          <w:bCs/>
          <w:color w:val="1F4E79"/>
          <w:sz w:val="17"/>
          <w:szCs w:val="17"/>
        </w:rPr>
        <w:t xml:space="preserve">[3]  </w:t>
      </w:r>
      <w:r>
        <w:rPr>
          <w:rFonts w:ascii="Arial" w:cs="Arial" w:eastAsia="Arial" w:hAnsi="Arial"/>
          <w:color w:val="222222"/>
          <w:sz w:val="17"/>
          <w:szCs w:val="17"/>
        </w:rPr>
        <w:t xml:space="preserve">Feygin, D., Keehner, M., &amp; Tendick, F. (2002). Haptic guidance: experimental evaluation of a haptic training method for a perceptual motor skill. Proc. 10th Symposium on Haptic Interfaces for Virtual Environment and Teleoperator Systems (HAPTICS 2002), Orlando. Finding: timing accuracy was dominated by haptic training, position and shape by visual training.</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ubtu1ux5t6izebfgqfh5x">
        <w:r>
          <w:rPr>
            <w:rFonts w:ascii="Arial" w:cs="Arial" w:eastAsia="Arial" w:hAnsi="Arial"/>
            <w:color w:val="1F4E79"/>
            <w:sz w:val="15"/>
            <w:szCs w:val="15"/>
            <w:u w:val="single"/>
          </w:rPr>
          <w:t xml:space="preserve">https://www.semanticscholar.org/paper/14e629ead9528a9554b249bdc44134a4ac7c22c9</w:t>
        </w:r>
      </w:hyperlink>
    </w:p>
    <w:p>
      <w:pPr>
        <w:spacing w:after="70" w:line="252"/>
        <w:ind w:left="520" w:hanging="520"/>
      </w:pPr>
      <w:r>
        <w:rPr>
          <w:rFonts w:ascii="Arial" w:cs="Arial" w:eastAsia="Arial" w:hAnsi="Arial"/>
          <w:b/>
          <w:bCs/>
          <w:color w:val="1F4E79"/>
          <w:sz w:val="17"/>
          <w:szCs w:val="17"/>
        </w:rPr>
        <w:t xml:space="preserve">[4]  </w:t>
      </w:r>
      <w:r>
        <w:rPr>
          <w:rFonts w:ascii="Arial" w:cs="Arial" w:eastAsia="Arial" w:hAnsi="Arial"/>
          <w:color w:val="222222"/>
          <w:sz w:val="17"/>
          <w:szCs w:val="17"/>
        </w:rPr>
        <w:t xml:space="preserve">Holland, S., Bouwer, A. J., Dalgleish, M., &amp; Hurtig, T. M. (2010). Feeling the beat where it counts: fostering multi-limb rhythm skills with the Haptic Drum Kit. Proc. TEI 2010. Finding: beginning drummers learned intricate multi-limb patterns from haptic stimuli alone.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l_3tiyw3w-gjklrefky1u">
        <w:r>
          <w:rPr>
            <w:rFonts w:ascii="Arial" w:cs="Arial" w:eastAsia="Arial" w:hAnsi="Arial"/>
            <w:color w:val="1F4E79"/>
            <w:sz w:val="15"/>
            <w:szCs w:val="15"/>
            <w:u w:val="single"/>
          </w:rPr>
          <w:t xml:space="preserve">https://oro.open.ac.uk/18900</w:t>
        </w:r>
      </w:hyperlink>
    </w:p>
    <w:p>
      <w:pPr>
        <w:spacing w:after="70" w:line="252"/>
        <w:ind w:left="520" w:hanging="520"/>
      </w:pPr>
      <w:r>
        <w:rPr>
          <w:rFonts w:ascii="Arial" w:cs="Arial" w:eastAsia="Arial" w:hAnsi="Arial"/>
          <w:b/>
          <w:bCs/>
          <w:color w:val="1F4E79"/>
          <w:sz w:val="17"/>
          <w:szCs w:val="17"/>
        </w:rPr>
        <w:t xml:space="preserve">[5]  </w:t>
      </w:r>
      <w:r>
        <w:rPr>
          <w:rFonts w:ascii="Arial" w:cs="Arial" w:eastAsia="Arial" w:hAnsi="Arial"/>
          <w:color w:val="222222"/>
          <w:sz w:val="17"/>
          <w:szCs w:val="17"/>
        </w:rPr>
        <w:t xml:space="preserve">Bouwer, A., Holland, S., &amp; Dalgleish, M. (2013). The Haptic Bracelets: learning multi-limb rhythm skills from haptic stimuli while reading. In Music and Human-Computer Interaction. Springer.</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xg-kfpoikrbaopdo6yhog">
        <w:r>
          <w:rPr>
            <w:rFonts w:ascii="Arial" w:cs="Arial" w:eastAsia="Arial" w:hAnsi="Arial"/>
            <w:color w:val="1F4E79"/>
            <w:sz w:val="15"/>
            <w:szCs w:val="15"/>
            <w:u w:val="single"/>
          </w:rPr>
          <w:t xml:space="preserve">https://oro.open.ac.uk/35072</w:t>
        </w:r>
      </w:hyperlink>
    </w:p>
    <w:p>
      <w:pPr>
        <w:spacing w:after="70" w:line="252"/>
        <w:ind w:left="520" w:hanging="520"/>
      </w:pPr>
      <w:r>
        <w:rPr>
          <w:rFonts w:ascii="Arial" w:cs="Arial" w:eastAsia="Arial" w:hAnsi="Arial"/>
          <w:b/>
          <w:bCs/>
          <w:color w:val="1F4E79"/>
          <w:sz w:val="17"/>
          <w:szCs w:val="17"/>
        </w:rPr>
        <w:t xml:space="preserve">[6]  </w:t>
      </w:r>
      <w:r>
        <w:rPr>
          <w:rFonts w:ascii="Arial" w:cs="Arial" w:eastAsia="Arial" w:hAnsi="Arial"/>
          <w:color w:val="222222"/>
          <w:sz w:val="17"/>
          <w:szCs w:val="17"/>
        </w:rPr>
        <w:t xml:space="preserve">Holland, S., Bouwer, A., &amp; Hödl, O. (2018). Haptics for the development of fundamental rhythm skills, including multi-limb coordination. In S. Papetti &amp; C. Saitis (Eds.), Musical Haptics. Springer (open access). Includes a teacher-and-learner bracelet set-up that lets a learner feel which limb a drummer uses in real time.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dpnrjvalxhop4wanhzvck">
        <w:r>
          <w:rPr>
            <w:rFonts w:ascii="Arial" w:cs="Arial" w:eastAsia="Arial" w:hAnsi="Arial"/>
            <w:color w:val="1F4E79"/>
            <w:sz w:val="15"/>
            <w:szCs w:val="15"/>
            <w:u w:val="single"/>
          </w:rPr>
          <w:t xml:space="preserve">https://oro.open.ac.uk/52571</w:t>
        </w:r>
      </w:hyperlink>
    </w:p>
    <w:p>
      <w:pPr>
        <w:spacing w:after="70" w:line="252"/>
        <w:ind w:left="520" w:hanging="520"/>
      </w:pPr>
      <w:r>
        <w:rPr>
          <w:rFonts w:ascii="Arial" w:cs="Arial" w:eastAsia="Arial" w:hAnsi="Arial"/>
          <w:b/>
          <w:bCs/>
          <w:color w:val="1F4E79"/>
          <w:sz w:val="17"/>
          <w:szCs w:val="17"/>
        </w:rPr>
        <w:t xml:space="preserve">[7]  </w:t>
      </w:r>
      <w:r>
        <w:rPr>
          <w:rFonts w:ascii="Arial" w:cs="Arial" w:eastAsia="Arial" w:hAnsi="Arial"/>
          <w:color w:val="222222"/>
          <w:sz w:val="17"/>
          <w:szCs w:val="17"/>
        </w:rPr>
        <w:t xml:space="preserve">van der Linden, J., Schoonderwaldt, E., Bird, J., &amp; Johnson, R. (2011). MusicJacket: combining motion capture and vibrotactile feedback to teach violin bowing. IEEE Transactions on Instrumentation and Measurement, 60(1), 104–113. Finding: vibrotactile feedback improved novices' straight bowing; half kept the improvement without feedback; no control learner improved comparably.</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wrgaxunvcl2rw-bmsrzfb">
        <w:r>
          <w:rPr>
            <w:rFonts w:ascii="Arial" w:cs="Arial" w:eastAsia="Arial" w:hAnsi="Arial"/>
            <w:color w:val="1F4E79"/>
            <w:sz w:val="15"/>
            <w:szCs w:val="15"/>
            <w:u w:val="single"/>
          </w:rPr>
          <w:t xml:space="preserve">https://oro.open.ac.uk/25275</w:t>
        </w:r>
      </w:hyperlink>
    </w:p>
    <w:p>
      <w:pPr>
        <w:spacing w:after="70" w:line="252"/>
        <w:ind w:left="520" w:hanging="520"/>
      </w:pPr>
      <w:r>
        <w:rPr>
          <w:rFonts w:ascii="Arial" w:cs="Arial" w:eastAsia="Arial" w:hAnsi="Arial"/>
          <w:b/>
          <w:bCs/>
          <w:color w:val="1F4E79"/>
          <w:sz w:val="17"/>
          <w:szCs w:val="17"/>
        </w:rPr>
        <w:t xml:space="preserve">[8]  </w:t>
      </w:r>
      <w:r>
        <w:rPr>
          <w:rFonts w:ascii="Arial" w:cs="Arial" w:eastAsia="Arial" w:hAnsi="Arial"/>
          <w:color w:val="222222"/>
          <w:sz w:val="17"/>
          <w:szCs w:val="17"/>
        </w:rPr>
        <w:t xml:space="preserve">Johnson, R., et al. (2010). MusicJacket: the efficacy of real-time vibrotactile feedback for learning to play the violin. CHI 2010 Extended Abstracts.</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8yppfyibz0fctrqnyqram">
        <w:r>
          <w:rPr>
            <w:rFonts w:ascii="Arial" w:cs="Arial" w:eastAsia="Arial" w:hAnsi="Arial"/>
            <w:color w:val="1F4E79"/>
            <w:sz w:val="15"/>
            <w:szCs w:val="15"/>
            <w:u w:val="single"/>
          </w:rPr>
          <w:t xml:space="preserve">https://oro.open.ac.uk/23378</w:t>
        </w:r>
      </w:hyperlink>
    </w:p>
    <w:p>
      <w:pPr>
        <w:spacing w:after="70" w:line="252"/>
        <w:ind w:left="520" w:hanging="520"/>
      </w:pPr>
      <w:r>
        <w:rPr>
          <w:rFonts w:ascii="Arial" w:cs="Arial" w:eastAsia="Arial" w:hAnsi="Arial"/>
          <w:b/>
          <w:bCs/>
          <w:color w:val="1F4E79"/>
          <w:sz w:val="17"/>
          <w:szCs w:val="17"/>
        </w:rPr>
        <w:t xml:space="preserve">[9]  </w:t>
      </w:r>
      <w:r>
        <w:rPr>
          <w:rFonts w:ascii="Arial" w:cs="Arial" w:eastAsia="Arial" w:hAnsi="Arial"/>
          <w:color w:val="222222"/>
          <w:sz w:val="17"/>
          <w:szCs w:val="17"/>
        </w:rPr>
        <w:t xml:space="preserve">Lee, I., &amp; Choi, S. Vibrotactile guidance for drumming learning: method and perceptual assessment. IEEE haptics conference paper (IEEE Xplore document 6548471); and Lee, I. (2015). Vibrotactile guidance for motor skill learning and its application to drumming learning. PhD thesis, POSTECH. Finding: 96.18% accuracy (0.77 s) for identifying the target drum plus one of two strength levels per strike.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o6xxxocqwk8stu4oivjq4">
        <w:r>
          <w:rPr>
            <w:rFonts w:ascii="Arial" w:cs="Arial" w:eastAsia="Arial" w:hAnsi="Arial"/>
            <w:color w:val="1F4E79"/>
            <w:sz w:val="15"/>
            <w:szCs w:val="15"/>
            <w:u w:val="single"/>
          </w:rPr>
          <w:t xml:space="preserve">https://remotecenter.postech.ac.kr/handle/2014.oak/93484</w:t>
        </w:r>
      </w:hyperlink>
    </w:p>
    <w:p>
      <w:pPr>
        <w:spacing w:after="70" w:line="252"/>
        <w:ind w:left="520" w:hanging="520"/>
      </w:pPr>
      <w:r>
        <w:rPr>
          <w:rFonts w:ascii="Arial" w:cs="Arial" w:eastAsia="Arial" w:hAnsi="Arial"/>
          <w:b/>
          <w:bCs/>
          <w:color w:val="1F4E79"/>
          <w:sz w:val="17"/>
          <w:szCs w:val="17"/>
        </w:rPr>
        <w:t xml:space="preserve">[10]  </w:t>
      </w:r>
      <w:r>
        <w:rPr>
          <w:rFonts w:ascii="Arial" w:cs="Arial" w:eastAsia="Arial" w:hAnsi="Arial"/>
          <w:color w:val="222222"/>
          <w:sz w:val="17"/>
          <w:szCs w:val="17"/>
        </w:rPr>
        <w:t xml:space="preserve">Huang, K., Do, E. Y.-L., &amp; Starner, T. (2008). PianoTouch: a wearable haptic piano instruction system for passive learning of piano skills. Proc. ISWC 2008.</w:t>
      </w:r>
      <w:r>
        <w:rPr>
          <w:rFonts w:ascii="Arial" w:cs="Arial" w:eastAsia="Arial" w:hAnsi="Arial"/>
          <w:b/>
          <w:bCs/>
          <w:color w:val="B8901A"/>
          <w:sz w:val="17"/>
          <w:szCs w:val="17"/>
        </w:rPr>
        <w:t xml:space="preserve">  Status: P.</w:t>
      </w:r>
    </w:p>
    <w:p>
      <w:pPr>
        <w:spacing w:after="70" w:line="252"/>
        <w:ind w:left="520" w:hanging="520"/>
      </w:pPr>
      <w:r>
        <w:rPr>
          <w:rFonts w:ascii="Arial" w:cs="Arial" w:eastAsia="Arial" w:hAnsi="Arial"/>
          <w:b/>
          <w:bCs/>
          <w:color w:val="1F4E79"/>
          <w:sz w:val="17"/>
          <w:szCs w:val="17"/>
        </w:rPr>
        <w:t xml:space="preserve">[11]  </w:t>
      </w:r>
      <w:r>
        <w:rPr>
          <w:rFonts w:ascii="Arial" w:cs="Arial" w:eastAsia="Arial" w:hAnsi="Arial"/>
          <w:color w:val="222222"/>
          <w:sz w:val="17"/>
          <w:szCs w:val="17"/>
        </w:rPr>
        <w:t xml:space="preserve">Huang, K., Starner, T., Do, E., Weinberg, G., Kohlsdorf, D., Ahlrichs, C., &amp; Leibrandt, R. (2010). Mobile Music Touch: mobile tactile stimulation for passive learning. Proc. CHI 2010.</w:t>
      </w:r>
      <w:r>
        <w:rPr>
          <w:rFonts w:ascii="Arial" w:cs="Arial" w:eastAsia="Arial" w:hAnsi="Arial"/>
          <w:b/>
          <w:bCs/>
          <w:color w:val="B8901A"/>
          <w:sz w:val="17"/>
          <w:szCs w:val="17"/>
        </w:rPr>
        <w:t xml:space="preserve">  Status: P.</w:t>
      </w:r>
    </w:p>
    <w:p>
      <w:pPr>
        <w:spacing w:after="70" w:line="252"/>
        <w:ind w:left="520" w:hanging="520"/>
      </w:pPr>
      <w:r>
        <w:rPr>
          <w:rFonts w:ascii="Arial" w:cs="Arial" w:eastAsia="Arial" w:hAnsi="Arial"/>
          <w:b/>
          <w:bCs/>
          <w:color w:val="1F4E79"/>
          <w:sz w:val="17"/>
          <w:szCs w:val="17"/>
        </w:rPr>
        <w:t xml:space="preserve">[12]  </w:t>
      </w:r>
      <w:r>
        <w:rPr>
          <w:rFonts w:ascii="Arial" w:cs="Arial" w:eastAsia="Arial" w:hAnsi="Arial"/>
          <w:color w:val="222222"/>
          <w:sz w:val="17"/>
          <w:szCs w:val="17"/>
        </w:rPr>
        <w:t xml:space="preserve">Seim, C., Estes, T., &amp; Starner, T. (2015). Towards passive haptic learning of piano songs. Proc. IEEE World Haptics Conference 2015.</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1hb8zxhxjb7h7dahcxvsh">
        <w:r>
          <w:rPr>
            <w:rFonts w:ascii="Arial" w:cs="Arial" w:eastAsia="Arial" w:hAnsi="Arial"/>
            <w:color w:val="1F4E79"/>
            <w:sz w:val="15"/>
            <w:szCs w:val="15"/>
            <w:u w:val="single"/>
          </w:rPr>
          <w:t xml:space="preserve">https://morse.gatech.edu/assets/seimpiano.pdf</w:t>
        </w:r>
      </w:hyperlink>
    </w:p>
    <w:p>
      <w:pPr>
        <w:spacing w:after="70" w:line="252"/>
        <w:ind w:left="520" w:hanging="520"/>
      </w:pPr>
      <w:r>
        <w:rPr>
          <w:rFonts w:ascii="Arial" w:cs="Arial" w:eastAsia="Arial" w:hAnsi="Arial"/>
          <w:b/>
          <w:bCs/>
          <w:color w:val="1F4E79"/>
          <w:sz w:val="17"/>
          <w:szCs w:val="17"/>
        </w:rPr>
        <w:t xml:space="preserve">[13]  </w:t>
      </w:r>
      <w:r>
        <w:rPr>
          <w:rFonts w:ascii="Arial" w:cs="Arial" w:eastAsia="Arial" w:hAnsi="Arial"/>
          <w:color w:val="222222"/>
          <w:sz w:val="17"/>
          <w:szCs w:val="17"/>
        </w:rPr>
        <w:t xml:space="preserve">Coscia, M. A., &amp; Al Borno, M. (2024). Vibrotactile versus visual stimulation in learning the piano. arXiv:2406.06720. Finding (n = 14, 14-note tune): timing error 12.1% (SD 6.0) with vibrotactile cues vs 22.3% (SD 10.3) with visual cues; note accuracy not significantly different.</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q98ioaleak3zdgmxti8ap">
        <w:r>
          <w:rPr>
            <w:rFonts w:ascii="Arial" w:cs="Arial" w:eastAsia="Arial" w:hAnsi="Arial"/>
            <w:color w:val="1F4E79"/>
            <w:sz w:val="15"/>
            <w:szCs w:val="15"/>
            <w:u w:val="single"/>
          </w:rPr>
          <w:t xml:space="preserve">https://arxiv.org/abs/2406.06720</w:t>
        </w:r>
      </w:hyperlink>
    </w:p>
    <w:p>
      <w:pPr>
        <w:spacing w:after="70" w:line="252"/>
        <w:ind w:left="520" w:hanging="520"/>
      </w:pPr>
      <w:r>
        <w:rPr>
          <w:rFonts w:ascii="Arial" w:cs="Arial" w:eastAsia="Arial" w:hAnsi="Arial"/>
          <w:b/>
          <w:bCs/>
          <w:color w:val="1F4E79"/>
          <w:sz w:val="17"/>
          <w:szCs w:val="17"/>
        </w:rPr>
        <w:t xml:space="preserve">[14]  </w:t>
      </w:r>
      <w:r>
        <w:rPr>
          <w:rFonts w:ascii="Arial" w:cs="Arial" w:eastAsia="Arial" w:hAnsi="Arial"/>
          <w:color w:val="222222"/>
          <w:sz w:val="17"/>
          <w:szCs w:val="17"/>
        </w:rPr>
        <w:t xml:space="preserve">Ammirante, P., Patel, A. D., &amp; Russo, F. A. (2016). Synchronizing to auditory and tactile metronomes: a test of the auditory-motor enhancement hypothesis. Psychonomic Bulletin &amp; Review, 23, 1882–1890. Finding: with a large stimulation area and simple rhythms, tactile synchronisation closely matched auditory synchronisation.</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[15]  </w:t>
      </w:r>
      <w:r>
        <w:rPr>
          <w:rFonts w:ascii="Arial" w:cs="Arial" w:eastAsia="Arial" w:hAnsi="Arial"/>
          <w:color w:val="222222"/>
          <w:sz w:val="17"/>
          <w:szCs w:val="17"/>
        </w:rPr>
        <w:t xml:space="preserve">Tranchant, P., Shiell, M. M., Giordano, M., Nadeau, A., Peretz, I., &amp; Zatorre, R. J. (2017). Feeling the beat: bouncing synchronization to vibrotactile music in hearing and early deaf people. Frontiers in Neuroscience, 11, 507.</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tp9p4pzoa21v8dpjpqhbp">
        <w:r>
          <w:rPr>
            <w:rFonts w:ascii="Arial" w:cs="Arial" w:eastAsia="Arial" w:hAnsi="Arial"/>
            <w:color w:val="1F4E79"/>
            <w:sz w:val="15"/>
            <w:szCs w:val="15"/>
            <w:u w:val="single"/>
          </w:rPr>
          <w:t xml:space="preserve">https://www.frontiersin.org/articles/10.3389/fnins.2017.00507/full</w:t>
        </w:r>
      </w:hyperlink>
    </w:p>
    <w:p>
      <w:pPr>
        <w:spacing w:after="70" w:line="252"/>
        <w:ind w:left="520" w:hanging="520"/>
      </w:pPr>
      <w:r>
        <w:rPr>
          <w:rFonts w:ascii="Arial" w:cs="Arial" w:eastAsia="Arial" w:hAnsi="Arial"/>
          <w:b/>
          <w:bCs/>
          <w:color w:val="1F4E79"/>
          <w:sz w:val="17"/>
          <w:szCs w:val="17"/>
        </w:rPr>
        <w:t xml:space="preserve">[16]  </w:t>
      </w:r>
      <w:r>
        <w:rPr>
          <w:rFonts w:ascii="Arial" w:cs="Arial" w:eastAsia="Arial" w:hAnsi="Arial"/>
          <w:color w:val="222222"/>
          <w:sz w:val="17"/>
          <w:szCs w:val="17"/>
        </w:rPr>
        <w:t xml:space="preserve">Sigrist, R., Rauter, G., Riener, R., &amp; Wolf, P. (2013). Augmented visual, auditory, haptic, and multimodal feedback in motor learning: a review. Psychonomic Bulletin &amp; Review, 20(1), 21–53.</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[17]  </w:t>
      </w:r>
      <w:r>
        <w:rPr>
          <w:rFonts w:ascii="Arial" w:cs="Arial" w:eastAsia="Arial" w:hAnsi="Arial"/>
          <w:color w:val="222222"/>
          <w:sz w:val="17"/>
          <w:szCs w:val="17"/>
        </w:rPr>
        <w:t xml:space="preserve">Drobny, D., &amp; Borchers, J. (2010). Learning basic dance choreographies with different augmented feedback modalities. CHI 2010 Extended Abstracts.</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rwsldccig81xrpjurmxkn">
        <w:r>
          <w:rPr>
            <w:rFonts w:ascii="Arial" w:cs="Arial" w:eastAsia="Arial" w:hAnsi="Arial"/>
            <w:color w:val="1F4E79"/>
            <w:sz w:val="15"/>
            <w:szCs w:val="15"/>
            <w:u w:val="single"/>
          </w:rPr>
          <w:t xml:space="preserve">https://almeida.informatik.rwth-aachen.de/publications/drobny2010.pdf</w:t>
        </w:r>
      </w:hyperlink>
    </w:p>
    <w:p>
      <w:pPr>
        <w:spacing w:after="70" w:line="252"/>
        <w:ind w:left="520" w:hanging="520"/>
      </w:pPr>
      <w:r>
        <w:rPr>
          <w:rFonts w:ascii="Arial" w:cs="Arial" w:eastAsia="Arial" w:hAnsi="Arial"/>
          <w:b/>
          <w:bCs/>
          <w:color w:val="1F4E79"/>
          <w:sz w:val="17"/>
          <w:szCs w:val="17"/>
        </w:rPr>
        <w:t xml:space="preserve">[18]  </w:t>
      </w:r>
      <w:r>
        <w:rPr>
          <w:rFonts w:ascii="Arial" w:cs="Arial" w:eastAsia="Arial" w:hAnsi="Arial"/>
          <w:color w:val="222222"/>
          <w:sz w:val="17"/>
          <w:szCs w:val="17"/>
        </w:rPr>
        <w:t xml:space="preserve">Soundbrenner (2016). Soundbrenner Pulse wearable vibrating metronome. Crowdfunded in 2015–16, shipped to buyers in 67 countries; reported annual sales about US$1.5 million.</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xriu1hnhesmgaomx57spe">
        <w:r>
          <w:rPr>
            <w:rFonts w:ascii="Arial" w:cs="Arial" w:eastAsia="Arial" w:hAnsi="Arial"/>
            <w:color w:val="1F4E79"/>
            <w:sz w:val="15"/>
            <w:szCs w:val="15"/>
            <w:u w:val="single"/>
          </w:rPr>
          <w:t xml:space="preserve">https://www.globalsources.com/knowledge/world-s-first-wearable-metronome-startup-launchpad/</w:t>
        </w:r>
      </w:hyperlink>
    </w:p>
    <w:p>
      <w:pPr>
        <w:spacing w:after="70" w:line="252"/>
        <w:ind w:left="520" w:hanging="520"/>
      </w:pPr>
      <w:r>
        <w:rPr>
          <w:rFonts w:ascii="Arial" w:cs="Arial" w:eastAsia="Arial" w:hAnsi="Arial"/>
          <w:b/>
          <w:bCs/>
          <w:color w:val="1F4E79"/>
          <w:sz w:val="17"/>
          <w:szCs w:val="17"/>
        </w:rPr>
        <w:t xml:space="preserve">[19]  </w:t>
      </w:r>
      <w:r>
        <w:rPr>
          <w:rFonts w:ascii="Arial" w:cs="Arial" w:eastAsia="Arial" w:hAnsi="Arial"/>
          <w:color w:val="222222"/>
          <w:sz w:val="17"/>
          <w:szCs w:val="17"/>
        </w:rPr>
        <w:t xml:space="preserve">Zahedi, E., et al. (2017). Gesture-based adaptive haptic guidance: a comparison of discriminative and generative modeling approaches. IEEE Robotics and Automation Letters (DOI 10.1109/LRA.2017.2660071). This is the real paper closest to the PDF's non-existent "Masur &amp; Sacks (2025)" citation.</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11frpwg0akjwmlowb3vfo">
        <w:r>
          <w:rPr>
            <w:rFonts w:ascii="Arial" w:cs="Arial" w:eastAsia="Arial" w:hAnsi="Arial"/>
            <w:color w:val="1F4E79"/>
            <w:sz w:val="15"/>
            <w:szCs w:val="15"/>
            <w:u w:val="single"/>
          </w:rPr>
          <w:t xml:space="preserve">https://api.openalex.org/works/doi:10.1109%2FLRA.2017.2660071</w:t>
        </w:r>
      </w:hyperlink>
    </w:p>
    <w:p>
      <w:pPr>
        <w:pStyle w:val="Heading3"/>
        <w:keepNext/>
      </w:pPr>
      <w:r>
        <w:rPr>
          <w:rFonts w:ascii="Arial" w:cs="Arial" w:eastAsia="Arial" w:hAnsi="Arial"/>
        </w:rPr>
        <w:t xml:space="preserve">B. Motor learning and assist-as-needed control</w:t>
      </w:r>
    </w:p>
    <w:p>
      <w:pPr>
        <w:spacing w:after="70" w:line="252"/>
        <w:ind w:left="520" w:hanging="520"/>
      </w:pPr>
      <w:r>
        <w:rPr>
          <w:rFonts w:ascii="Arial" w:cs="Arial" w:eastAsia="Arial" w:hAnsi="Arial"/>
          <w:b/>
          <w:bCs/>
          <w:color w:val="1F4E79"/>
          <w:sz w:val="17"/>
          <w:szCs w:val="17"/>
        </w:rPr>
        <w:t xml:space="preserve">[20]  </w:t>
      </w:r>
      <w:r>
        <w:rPr>
          <w:rFonts w:ascii="Arial" w:cs="Arial" w:eastAsia="Arial" w:hAnsi="Arial"/>
          <w:color w:val="222222"/>
          <w:sz w:val="17"/>
          <w:szCs w:val="17"/>
        </w:rPr>
        <w:t xml:space="preserve">Schmidt, R. A., &amp; Lee, T. D. Motor Control and Learning: A Behavioral Emphasis (use the latest edition). Human Kinetics.</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[21]  </w:t>
      </w:r>
      <w:r>
        <w:rPr>
          <w:rFonts w:ascii="Arial" w:cs="Arial" w:eastAsia="Arial" w:hAnsi="Arial"/>
          <w:color w:val="222222"/>
          <w:sz w:val="17"/>
          <w:szCs w:val="17"/>
        </w:rPr>
        <w:t xml:space="preserve">Salmoni, A. W., Schmidt, R. A., &amp; Walter, C. B. (1984). Knowledge of results and motor learning: a review and critical reappraisal. Psychological Bulletin, 95(3), 355–386.</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[22]  </w:t>
      </w:r>
      <w:r>
        <w:rPr>
          <w:rFonts w:ascii="Arial" w:cs="Arial" w:eastAsia="Arial" w:hAnsi="Arial"/>
          <w:color w:val="222222"/>
          <w:sz w:val="17"/>
          <w:szCs w:val="17"/>
        </w:rPr>
        <w:t xml:space="preserve">Winstein, C. J., &amp; Schmidt, R. A. (1990). Reduced frequency of knowledge of results enhances motor skill learning. Journal of Experimental Psychology: Learning, Memory, and Cognition, 16(4), 677–691. Finding: 50% feedback gave better retention than 100% feedback, although acquisition performance was worse.</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[23]  </w:t>
      </w:r>
      <w:r>
        <w:rPr>
          <w:rFonts w:ascii="Arial" w:cs="Arial" w:eastAsia="Arial" w:hAnsi="Arial"/>
          <w:color w:val="222222"/>
          <w:sz w:val="17"/>
          <w:szCs w:val="17"/>
        </w:rPr>
        <w:t xml:space="preserve">Guadagnoli, M. A., &amp; Lee, T. D. (2004). Challenge point: a framework for conceptualizing the effects of various practice conditions in motor learning. Journal of Motor Behavior, 36(2), 212–224.</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[24]  </w:t>
      </w:r>
      <w:r>
        <w:rPr>
          <w:rFonts w:ascii="Arial" w:cs="Arial" w:eastAsia="Arial" w:hAnsi="Arial"/>
          <w:color w:val="222222"/>
          <w:sz w:val="17"/>
          <w:szCs w:val="17"/>
        </w:rPr>
        <w:t xml:space="preserve">Shea, J. B., &amp; Morgan, R. L. (1979). Contextual interference effects on the acquisition, retention, and transfer of a motor skill. Journal of Experimental Psychology: Human Learning and Memory, 5(2), 179–187.</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[25]  </w:t>
      </w:r>
      <w:r>
        <w:rPr>
          <w:rFonts w:ascii="Arial" w:cs="Arial" w:eastAsia="Arial" w:hAnsi="Arial"/>
          <w:color w:val="222222"/>
          <w:sz w:val="17"/>
          <w:szCs w:val="17"/>
        </w:rPr>
        <w:t xml:space="preserve">Bjork, E. L., &amp; Bjork, R. A. (2011). Making things hard on yourself, but in a good way: creating desirable difficulties to enhance learning. In Psychology and the Real World. Worth.</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[26]  </w:t>
      </w:r>
      <w:r>
        <w:rPr>
          <w:rFonts w:ascii="Arial" w:cs="Arial" w:eastAsia="Arial" w:hAnsi="Arial"/>
          <w:color w:val="222222"/>
          <w:sz w:val="17"/>
          <w:szCs w:val="17"/>
        </w:rPr>
        <w:t xml:space="preserve">Newell, A., &amp; Rosenbloom, P. S. (1981). Mechanisms of skill acquisition and the law of practice. In J. R. Anderson (Ed.), Cognitive Skills and Their Acquisition. Erlbaum.</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[27]  </w:t>
      </w:r>
      <w:r>
        <w:rPr>
          <w:rFonts w:ascii="Arial" w:cs="Arial" w:eastAsia="Arial" w:hAnsi="Arial"/>
          <w:color w:val="222222"/>
          <w:sz w:val="17"/>
          <w:szCs w:val="17"/>
        </w:rPr>
        <w:t xml:space="preserve">Wulf, G., &amp; Lewthwaite, R. (2016). Optimizing performance through intrinsic motivation and attention for learning: the OPTIMAL theory of motor learning. Psychonomic Bulletin &amp; Review, 23(5), 1382–1414. Note: the self-controlled practice advantage has failed to replicate in several recent large, pre-registered experiments.</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av4smy93qjnk9qqx8ql4t">
        <w:r>
          <w:rPr>
            <w:rFonts w:ascii="Arial" w:cs="Arial" w:eastAsia="Arial" w:hAnsi="Arial"/>
            <w:color w:val="1F4E79"/>
            <w:sz w:val="15"/>
            <w:szCs w:val="15"/>
            <w:u w:val="single"/>
          </w:rPr>
          <w:t xml:space="preserve">https://www.scapps.org/jems/index.php/1/article/view/1796</w:t>
        </w:r>
      </w:hyperlink>
    </w:p>
    <w:p>
      <w:pPr>
        <w:spacing w:after="70" w:line="252"/>
        <w:ind w:left="520" w:hanging="520"/>
      </w:pPr>
      <w:r>
        <w:rPr>
          <w:rFonts w:ascii="Arial" w:cs="Arial" w:eastAsia="Arial" w:hAnsi="Arial"/>
          <w:b/>
          <w:bCs/>
          <w:color w:val="1F4E79"/>
          <w:sz w:val="17"/>
          <w:szCs w:val="17"/>
        </w:rPr>
        <w:t xml:space="preserve">[28]  </w:t>
      </w:r>
      <w:r>
        <w:rPr>
          <w:rFonts w:ascii="Arial" w:cs="Arial" w:eastAsia="Arial" w:hAnsi="Arial"/>
          <w:color w:val="222222"/>
          <w:sz w:val="17"/>
          <w:szCs w:val="17"/>
        </w:rPr>
        <w:t xml:space="preserve">Marchal-Crespo, L., &amp; Reinkensmeyer, D. J. (2008). Haptic guidance can enhance motor learning of a steering task. Journal of Motor Behavior, 40(6), 545–557.</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[29]  </w:t>
      </w:r>
      <w:r>
        <w:rPr>
          <w:rFonts w:ascii="Arial" w:cs="Arial" w:eastAsia="Arial" w:hAnsi="Arial"/>
          <w:color w:val="222222"/>
          <w:sz w:val="17"/>
          <w:szCs w:val="17"/>
        </w:rPr>
        <w:t xml:space="preserve">Marchal-Crespo, L., McHughen, S., Cramer, S. C., &amp; Reinkensmeyer, D. J. (2010). The effect of haptic guidance, aging, and initial skill level on motor learning of a steering task. Experimental Brain Research, 201(2), 209–220.</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y11exwegoedml6ysqhwrh">
        <w:r>
          <w:rPr>
            <w:rFonts w:ascii="Arial" w:cs="Arial" w:eastAsia="Arial" w:hAnsi="Arial"/>
            <w:color w:val="1F4E79"/>
            <w:sz w:val="15"/>
            <w:szCs w:val="15"/>
            <w:u w:val="single"/>
          </w:rPr>
          <w:t xml:space="preserve">https://pmc.ncbi.nlm.nih.gov/articles/PMC2832903/</w:t>
        </w:r>
      </w:hyperlink>
    </w:p>
    <w:p>
      <w:pPr>
        <w:spacing w:after="70" w:line="252"/>
        <w:ind w:left="520" w:hanging="520"/>
      </w:pPr>
      <w:r>
        <w:rPr>
          <w:rFonts w:ascii="Arial" w:cs="Arial" w:eastAsia="Arial" w:hAnsi="Arial"/>
          <w:b/>
          <w:bCs/>
          <w:color w:val="1F4E79"/>
          <w:sz w:val="17"/>
          <w:szCs w:val="17"/>
        </w:rPr>
        <w:t xml:space="preserve">[30]  </w:t>
      </w:r>
      <w:r>
        <w:rPr>
          <w:rFonts w:ascii="Arial" w:cs="Arial" w:eastAsia="Arial" w:hAnsi="Arial"/>
          <w:color w:val="222222"/>
          <w:sz w:val="17"/>
          <w:szCs w:val="17"/>
        </w:rPr>
        <w:t xml:space="preserve">Milot, M.-H., Marchal-Crespo, L., Green, C. S., Cramer, S. C., &amp; Reinkensmeyer, D. J. (2010). Comparison of error-amplification and haptic-guidance training techniques for learning of a timing-based motor task by healthy individuals. Experimental Brain Research, 201(2), 119–131. Finding: more skilled learners gained more from error amplification, less skilled learners from haptic guidance.</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[31]  </w:t>
      </w:r>
      <w:r>
        <w:rPr>
          <w:rFonts w:ascii="Arial" w:cs="Arial" w:eastAsia="Arial" w:hAnsi="Arial"/>
          <w:color w:val="222222"/>
          <w:sz w:val="17"/>
          <w:szCs w:val="17"/>
        </w:rPr>
        <w:t xml:space="preserve">Heuer, H., &amp; Lüttgen, J. (2015). Robot assistance of motor learning: a neuro-cognitive perspective. Neuroscience &amp; Biobehavioral Reviews, 56. Haptic guidance can facilitate learning (high-quality information) or interfere with it (passive learner).</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[32]  </w:t>
      </w:r>
      <w:r>
        <w:rPr>
          <w:rFonts w:ascii="Arial" w:cs="Arial" w:eastAsia="Arial" w:hAnsi="Arial"/>
          <w:color w:val="222222"/>
          <w:sz w:val="17"/>
          <w:szCs w:val="17"/>
        </w:rPr>
        <w:t xml:space="preserve">Wolbrecht, E. T., Chan, V., Reinkensmeyer, D. J., &amp; Bobrow, J. E. (2008). Optimizing compliant, model-based robotic assistance to promote neurorehabilitation. IEEE Transactions on Neural Systems and Rehabilitation Engineering, 16(3), 286–297.</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[33]  </w:t>
      </w:r>
      <w:r>
        <w:rPr>
          <w:rFonts w:ascii="Arial" w:cs="Arial" w:eastAsia="Arial" w:hAnsi="Arial"/>
          <w:color w:val="222222"/>
          <w:sz w:val="17"/>
          <w:szCs w:val="17"/>
        </w:rPr>
        <w:t xml:space="preserve">Marchal-Crespo, L., &amp; Reinkensmeyer, D. J. (2009). Review of control strategies for robotic movement training after neurologic injury. Journal of NeuroEngineering and Rehabilitation, 6, 20.</w:t>
      </w:r>
      <w:r>
        <w:rPr>
          <w:rFonts w:ascii="Arial" w:cs="Arial" w:eastAsia="Arial" w:hAnsi="Arial"/>
          <w:b/>
          <w:bCs/>
          <w:color w:val="5E5E5E"/>
          <w:sz w:val="17"/>
          <w:szCs w:val="17"/>
        </w:rPr>
        <w:t xml:space="preserve">  Status: S.</w:t>
      </w:r>
    </w:p>
    <w:p>
      <w:pPr>
        <w:pStyle w:val="Heading3"/>
        <w:keepNext/>
      </w:pPr>
      <w:r>
        <w:rPr>
          <w:rFonts w:ascii="Arial" w:cs="Arial" w:eastAsia="Arial" w:hAnsi="Arial"/>
        </w:rPr>
        <w:t xml:space="preserve">C. Timing and sensorimotor synchronisation</w:t>
      </w:r>
    </w:p>
    <w:p>
      <w:pPr>
        <w:spacing w:after="70" w:line="252"/>
        <w:ind w:left="520" w:hanging="520"/>
      </w:pPr>
      <w:r>
        <w:rPr>
          <w:rFonts w:ascii="Arial" w:cs="Arial" w:eastAsia="Arial" w:hAnsi="Arial"/>
          <w:b/>
          <w:bCs/>
          <w:color w:val="1F4E79"/>
          <w:sz w:val="17"/>
          <w:szCs w:val="17"/>
        </w:rPr>
        <w:t xml:space="preserve">[34]  </w:t>
      </w:r>
      <w:r>
        <w:rPr>
          <w:rFonts w:ascii="Arial" w:cs="Arial" w:eastAsia="Arial" w:hAnsi="Arial"/>
          <w:color w:val="222222"/>
          <w:sz w:val="17"/>
          <w:szCs w:val="17"/>
        </w:rPr>
        <w:t xml:space="preserve">Repp, B. H. (2005). Sensorimotor synchronization: a review of the tapping literature. Psychonomic Bulletin &amp; Review, 12(6), 969–992. People tap tens of milliseconds before the pacing signal (negative mean asynchrony); musicians less so.</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[35]  </w:t>
      </w:r>
      <w:r>
        <w:rPr>
          <w:rFonts w:ascii="Arial" w:cs="Arial" w:eastAsia="Arial" w:hAnsi="Arial"/>
          <w:color w:val="222222"/>
          <w:sz w:val="17"/>
          <w:szCs w:val="17"/>
        </w:rPr>
        <w:t xml:space="preserve">Repp, B. H., &amp; Su, Y.-H. (2013). Sensorimotor synchronization: a review of recent research (2006–2012). Psychonomic Bulletin &amp; Review, 20(3), 403–452.</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[36]  </w:t>
      </w:r>
      <w:r>
        <w:rPr>
          <w:rFonts w:ascii="Arial" w:cs="Arial" w:eastAsia="Arial" w:hAnsi="Arial"/>
          <w:color w:val="222222"/>
          <w:sz w:val="17"/>
          <w:szCs w:val="17"/>
        </w:rPr>
        <w:t xml:space="preserve">Wing, A. M., &amp; Kristofferson, A. B. (1973). Response delays and the timing of discrete motor responses. Perception &amp; Psychophysics, 14(1), 5–12.</w:t>
      </w:r>
      <w:r>
        <w:rPr>
          <w:rFonts w:ascii="Arial" w:cs="Arial" w:eastAsia="Arial" w:hAnsi="Arial"/>
          <w:b/>
          <w:bCs/>
          <w:color w:val="5E5E5E"/>
          <w:sz w:val="17"/>
          <w:szCs w:val="17"/>
        </w:rPr>
        <w:t xml:space="preserve">  Status: S.</w:t>
      </w:r>
    </w:p>
    <w:p>
      <w:pPr>
        <w:pStyle w:val="Heading3"/>
        <w:keepNext/>
      </w:pPr>
      <w:r>
        <w:rPr>
          <w:rFonts w:ascii="Arial" w:cs="Arial" w:eastAsia="Arial" w:hAnsi="Arial"/>
        </w:rPr>
        <w:t xml:space="preserve">D. Touch perception and tactile design</w:t>
      </w:r>
    </w:p>
    <w:p>
      <w:pPr>
        <w:spacing w:after="70" w:line="252"/>
        <w:ind w:left="520" w:hanging="520"/>
      </w:pPr>
      <w:r>
        <w:rPr>
          <w:rFonts w:ascii="Arial" w:cs="Arial" w:eastAsia="Arial" w:hAnsi="Arial"/>
          <w:b/>
          <w:bCs/>
          <w:color w:val="1F4E79"/>
          <w:sz w:val="17"/>
          <w:szCs w:val="17"/>
        </w:rPr>
        <w:t xml:space="preserve">[37]  </w:t>
      </w:r>
      <w:r>
        <w:rPr>
          <w:rFonts w:ascii="Arial" w:cs="Arial" w:eastAsia="Arial" w:hAnsi="Arial"/>
          <w:color w:val="222222"/>
          <w:sz w:val="17"/>
          <w:szCs w:val="17"/>
        </w:rPr>
        <w:t xml:space="preserve">Bolanowski, S. J., Gescheider, G. A., Verrillo, R. T., &amp; Checkosky, C. M. (1988). Four channels mediate the mechanical aspects of touch. Journal of the Acoustical Society of America, 84(5), 1680–1694. Pacinian channel most sensitive near 250 Hz (sub-micrometre displacement thresholds).</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[38]  </w:t>
      </w:r>
      <w:r>
        <w:rPr>
          <w:rFonts w:ascii="Arial" w:cs="Arial" w:eastAsia="Arial" w:hAnsi="Arial"/>
          <w:color w:val="222222"/>
          <w:sz w:val="17"/>
          <w:szCs w:val="17"/>
        </w:rPr>
        <w:t xml:space="preserve">Chen, H.-Y., Santos, J., Graves, M., Kim, K., &amp; Tan, H. Z. (2008). Tactor localization at the wrist. Proc. EuroHaptics 2008, Madrid. Finding: about 2 locations can be identified on either the dorsal or volar side of the wrist, about 4 using both sides.</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[39]  </w:t>
      </w:r>
      <w:r>
        <w:rPr>
          <w:rFonts w:ascii="Arial" w:cs="Arial" w:eastAsia="Arial" w:hAnsi="Arial"/>
          <w:color w:val="222222"/>
          <w:sz w:val="17"/>
          <w:szCs w:val="17"/>
        </w:rPr>
        <w:t xml:space="preserve">Cholewiak, R. W., &amp; Collins, A. A. (2003). Vibrotactile localization on the arm: effects of place, space, and age. Perception &amp; Psychophysics, 65(7), 1058–1077.</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[40]  </w:t>
      </w:r>
      <w:r>
        <w:rPr>
          <w:rFonts w:ascii="Arial" w:cs="Arial" w:eastAsia="Arial" w:hAnsi="Arial"/>
          <w:color w:val="222222"/>
          <w:sz w:val="17"/>
          <w:szCs w:val="17"/>
        </w:rPr>
        <w:t xml:space="preserve">Jones, L. A., &amp; Sarter, N. B. (2008). Tactile displays: guidance for their design and application. Human Factors, 50(1), 90–111.</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[41]  </w:t>
      </w:r>
      <w:r>
        <w:rPr>
          <w:rFonts w:ascii="Arial" w:cs="Arial" w:eastAsia="Arial" w:hAnsi="Arial"/>
          <w:color w:val="222222"/>
          <w:sz w:val="17"/>
          <w:szCs w:val="17"/>
        </w:rPr>
        <w:t xml:space="preserve">Brewster, S., &amp; Brown, L. M. (2004). Tactons: structured tactile messages for non-visual information display. Proc. AUIC 2004.</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[42]  </w:t>
      </w:r>
      <w:r>
        <w:rPr>
          <w:rFonts w:ascii="Arial" w:cs="Arial" w:eastAsia="Arial" w:hAnsi="Arial"/>
          <w:color w:val="222222"/>
          <w:sz w:val="17"/>
          <w:szCs w:val="17"/>
        </w:rPr>
        <w:t xml:space="preserve">Gescheider, G. A. (1997). Psychophysics: The Fundamentals (3rd ed.). Erlbaum.</w:t>
      </w:r>
      <w:r>
        <w:rPr>
          <w:rFonts w:ascii="Arial" w:cs="Arial" w:eastAsia="Arial" w:hAnsi="Arial"/>
          <w:b/>
          <w:bCs/>
          <w:color w:val="5E5E5E"/>
          <w:sz w:val="17"/>
          <w:szCs w:val="17"/>
        </w:rPr>
        <w:t xml:space="preserve">  Status: S.</w:t>
      </w:r>
    </w:p>
    <w:p>
      <w:pPr>
        <w:pStyle w:val="Heading3"/>
        <w:keepNext/>
      </w:pPr>
      <w:r>
        <w:rPr>
          <w:rFonts w:ascii="Arial" w:cs="Arial" w:eastAsia="Arial" w:hAnsi="Arial"/>
        </w:rPr>
        <w:t xml:space="preserve">E. Tabla, Indian music technology and music information research</w:t>
      </w:r>
    </w:p>
    <w:p>
      <w:pPr>
        <w:spacing w:after="70" w:line="252"/>
        <w:ind w:left="520" w:hanging="520"/>
      </w:pPr>
      <w:r>
        <w:rPr>
          <w:rFonts w:ascii="Arial" w:cs="Arial" w:eastAsia="Arial" w:hAnsi="Arial"/>
          <w:b/>
          <w:bCs/>
          <w:color w:val="1F4E79"/>
          <w:sz w:val="17"/>
          <w:szCs w:val="17"/>
        </w:rPr>
        <w:t xml:space="preserve">[43]  </w:t>
      </w:r>
      <w:r>
        <w:rPr>
          <w:rFonts w:ascii="Arial" w:cs="Arial" w:eastAsia="Arial" w:hAnsi="Arial"/>
          <w:color w:val="222222"/>
          <w:sz w:val="17"/>
          <w:szCs w:val="17"/>
        </w:rPr>
        <w:t xml:space="preserve">Raman, C. V., &amp; Kumar, S. (1920). Musical drums with harmonic overtones. Nature, 104(2620), 500.</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ghuhms8uppfnpwzti4i4t">
        <w:r>
          <w:rPr>
            <w:rFonts w:ascii="Arial" w:cs="Arial" w:eastAsia="Arial" w:hAnsi="Arial"/>
            <w:color w:val="1F4E79"/>
            <w:sz w:val="15"/>
            <w:szCs w:val="15"/>
            <w:u w:val="single"/>
          </w:rPr>
          <w:t xml:space="preserve">https://repository.ias.ac.in/52555</w:t>
        </w:r>
      </w:hyperlink>
    </w:p>
    <w:p>
      <w:pPr>
        <w:spacing w:after="70" w:line="252"/>
        <w:ind w:left="520" w:hanging="520"/>
      </w:pPr>
      <w:r>
        <w:rPr>
          <w:rFonts w:ascii="Arial" w:cs="Arial" w:eastAsia="Arial" w:hAnsi="Arial"/>
          <w:b/>
          <w:bCs/>
          <w:color w:val="1F4E79"/>
          <w:sz w:val="17"/>
          <w:szCs w:val="17"/>
        </w:rPr>
        <w:t xml:space="preserve">[44]  </w:t>
      </w:r>
      <w:r>
        <w:rPr>
          <w:rFonts w:ascii="Arial" w:cs="Arial" w:eastAsia="Arial" w:hAnsi="Arial"/>
          <w:color w:val="222222"/>
          <w:sz w:val="17"/>
          <w:szCs w:val="17"/>
        </w:rPr>
        <w:t xml:space="preserve">Raman, C. V. (1934). The Indian musical drums. Proceedings of the Indian Academy of Sciences, A, 1, 179–188.</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[45]  </w:t>
      </w:r>
      <w:r>
        <w:rPr>
          <w:rFonts w:ascii="Arial" w:cs="Arial" w:eastAsia="Arial" w:hAnsi="Arial"/>
          <w:color w:val="222222"/>
          <w:sz w:val="17"/>
          <w:szCs w:val="17"/>
        </w:rPr>
        <w:t xml:space="preserve">Kapur, A., Essl, G., Davidson, P. L., &amp; Cook, P. R. (2002). The Electronic Tabla Controller. Proc. NIME 2002, Dublin, 108–112. DOI 10.5281/zenodo.1176434.</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9iffk4-dm8cl4ykmfipge">
        <w:r>
          <w:rPr>
            <w:rFonts w:ascii="Arial" w:cs="Arial" w:eastAsia="Arial" w:hAnsi="Arial"/>
            <w:color w:val="1F4E79"/>
            <w:sz w:val="15"/>
            <w:szCs w:val="15"/>
            <w:u w:val="single"/>
          </w:rPr>
          <w:t xml:space="preserve">https://nime.org/proc/nime2002_kapur/</w:t>
        </w:r>
      </w:hyperlink>
    </w:p>
    <w:p>
      <w:pPr>
        <w:spacing w:after="70" w:line="252"/>
        <w:ind w:left="520" w:hanging="520"/>
      </w:pPr>
      <w:r>
        <w:rPr>
          <w:rFonts w:ascii="Arial" w:cs="Arial" w:eastAsia="Arial" w:hAnsi="Arial"/>
          <w:b/>
          <w:bCs/>
          <w:color w:val="1F4E79"/>
          <w:sz w:val="17"/>
          <w:szCs w:val="17"/>
        </w:rPr>
        <w:t xml:space="preserve">[46]  </w:t>
      </w:r>
      <w:r>
        <w:rPr>
          <w:rFonts w:ascii="Arial" w:cs="Arial" w:eastAsia="Arial" w:hAnsi="Arial"/>
          <w:color w:val="222222"/>
          <w:sz w:val="17"/>
          <w:szCs w:val="17"/>
        </w:rPr>
        <w:t xml:space="preserve">Sarkar, M., &amp; Vercoe, B. (2007). Recognition and prediction in a network music performance system for Indian percussion. Proc. NIME 2007; and Sarkar, M. (2007). TablaNet: a real-time online musical collaboration system for Indian percussion. S.M. thesis, MIT.</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g5mj4-5vve6znk9kcobqu">
        <w:r>
          <w:rPr>
            <w:rFonts w:ascii="Arial" w:cs="Arial" w:eastAsia="Arial" w:hAnsi="Arial"/>
            <w:color w:val="1F4E79"/>
            <w:sz w:val="15"/>
            <w:szCs w:val="15"/>
            <w:u w:val="single"/>
          </w:rPr>
          <w:t xml:space="preserve">https://dspace.mit.edu/handle/1721.1/41750</w:t>
        </w:r>
      </w:hyperlink>
    </w:p>
    <w:p>
      <w:pPr>
        <w:spacing w:after="70" w:line="252"/>
        <w:ind w:left="520" w:hanging="520"/>
      </w:pPr>
      <w:r>
        <w:rPr>
          <w:rFonts w:ascii="Arial" w:cs="Arial" w:eastAsia="Arial" w:hAnsi="Arial"/>
          <w:b/>
          <w:bCs/>
          <w:color w:val="1F4E79"/>
          <w:sz w:val="17"/>
          <w:szCs w:val="17"/>
        </w:rPr>
        <w:t xml:space="preserve">[47]  </w:t>
      </w:r>
      <w:r>
        <w:rPr>
          <w:rFonts w:ascii="Arial" w:cs="Arial" w:eastAsia="Arial" w:hAnsi="Arial"/>
          <w:color w:val="222222"/>
          <w:sz w:val="17"/>
          <w:szCs w:val="17"/>
        </w:rPr>
        <w:t xml:space="preserve">Pardue, L. S., Bhamra, K., England, G., Eddershaw, P., &amp; Menzies, D. (2020). Demystifying tabla through the development of an electronic drum. Proc. NIME 2020, 596–599. DOI 10.5281/zenodo.4813212.</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pk1u9m-kifzk3jpsgrnui">
        <w:r>
          <w:rPr>
            <w:rFonts w:ascii="Arial" w:cs="Arial" w:eastAsia="Arial" w:hAnsi="Arial"/>
            <w:color w:val="1F4E79"/>
            <w:sz w:val="15"/>
            <w:szCs w:val="15"/>
            <w:u w:val="single"/>
          </w:rPr>
          <w:t xml:space="preserve">https://zenodo.org/records/4813212</w:t>
        </w:r>
      </w:hyperlink>
    </w:p>
    <w:p>
      <w:pPr>
        <w:spacing w:after="70" w:line="252"/>
        <w:ind w:left="520" w:hanging="520"/>
      </w:pPr>
      <w:r>
        <w:rPr>
          <w:rFonts w:ascii="Arial" w:cs="Arial" w:eastAsia="Arial" w:hAnsi="Arial"/>
          <w:b/>
          <w:bCs/>
          <w:color w:val="1F4E79"/>
          <w:sz w:val="17"/>
          <w:szCs w:val="17"/>
        </w:rPr>
        <w:t xml:space="preserve">[48]  </w:t>
      </w:r>
      <w:r>
        <w:rPr>
          <w:rFonts w:ascii="Arial" w:cs="Arial" w:eastAsia="Arial" w:hAnsi="Arial"/>
          <w:color w:val="222222"/>
          <w:sz w:val="17"/>
          <w:szCs w:val="17"/>
        </w:rPr>
        <w:t xml:space="preserve">Rohit M. A., Bhattacharjee, A., &amp; Rao, P. (2021). Four-way classification of tabla strokes with models adapted from automatic drum transcription. Proc. ISMIR 2021, 19–26. Dataset: about 26,600 training strokes from 10 tabla sets and about 4,500 test strokes.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7ndpgzlg8xvrf7ials7tf">
        <w:r>
          <w:rPr>
            <w:rFonts w:ascii="Arial" w:cs="Arial" w:eastAsia="Arial" w:hAnsi="Arial"/>
            <w:color w:val="1F4E79"/>
            <w:sz w:val="15"/>
            <w:szCs w:val="15"/>
            <w:u w:val="single"/>
          </w:rPr>
          <w:t xml:space="preserve">https://archives.ismir.net/ismir2021/paper/000001.pdf</w:t>
        </w:r>
      </w:hyperlink>
    </w:p>
    <w:p>
      <w:pPr>
        <w:spacing w:after="70" w:line="252"/>
        <w:ind w:left="520" w:hanging="520"/>
      </w:pPr>
      <w:r>
        <w:rPr>
          <w:rFonts w:ascii="Arial" w:cs="Arial" w:eastAsia="Arial" w:hAnsi="Arial"/>
          <w:b/>
          <w:bCs/>
          <w:color w:val="1F4E79"/>
          <w:sz w:val="17"/>
          <w:szCs w:val="17"/>
        </w:rPr>
        <w:t xml:space="preserve">[49]  </w:t>
      </w:r>
      <w:r>
        <w:rPr>
          <w:rFonts w:ascii="Arial" w:cs="Arial" w:eastAsia="Arial" w:hAnsi="Arial"/>
          <w:color w:val="222222"/>
          <w:sz w:val="17"/>
          <w:szCs w:val="17"/>
        </w:rPr>
        <w:t xml:space="preserve">Rohit M. A., Bhattacharjee, A., &amp; Rao, P. (2023). Four-way classification of tabla strokes with transfer learning using Western drums. Transactions of the International Society for Music Information Retrieval. doi:10.5334/tismir.150. Uses atomic stroke classes: damped, resonant treble, resonant bass (and both).</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uacuzxv1-d1uigriiatm8">
        <w:r>
          <w:rPr>
            <w:rFonts w:ascii="Arial" w:cs="Arial" w:eastAsia="Arial" w:hAnsi="Arial"/>
            <w:color w:val="1F4E79"/>
            <w:sz w:val="15"/>
            <w:szCs w:val="15"/>
            <w:u w:val="single"/>
          </w:rPr>
          <w:t xml:space="preserve">https://doi.org/10.5334/tismir.150</w:t>
        </w:r>
      </w:hyperlink>
    </w:p>
    <w:p>
      <w:pPr>
        <w:spacing w:after="70" w:line="252"/>
        <w:ind w:left="520" w:hanging="520"/>
      </w:pPr>
      <w:r>
        <w:rPr>
          <w:rFonts w:ascii="Arial" w:cs="Arial" w:eastAsia="Arial" w:hAnsi="Arial"/>
          <w:b/>
          <w:bCs/>
          <w:color w:val="1F4E79"/>
          <w:sz w:val="17"/>
          <w:szCs w:val="17"/>
        </w:rPr>
        <w:t xml:space="preserve">[50]  </w:t>
      </w:r>
      <w:r>
        <w:rPr>
          <w:rFonts w:ascii="Arial" w:cs="Arial" w:eastAsia="Arial" w:hAnsi="Arial"/>
          <w:color w:val="222222"/>
          <w:sz w:val="17"/>
          <w:szCs w:val="17"/>
        </w:rPr>
        <w:t xml:space="preserve">Mukherjee, P., Bhagat, A. K., Jain, K., Rawat, V., Srinath, L., Dev, S. K., Kumar, S., &amp; Prabhakar, G. (2026). Layika: a wearable device mapping traditional hand gestures to tabla sound. Proc. NIME 2026, London. Glove-based MIDI device for singers; user study N = 4.</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dzzk5awb6zivc9g_letmi">
        <w:r>
          <w:rPr>
            <w:rFonts w:ascii="Arial" w:cs="Arial" w:eastAsia="Arial" w:hAnsi="Arial"/>
            <w:color w:val="1F4E79"/>
            <w:sz w:val="15"/>
            <w:szCs w:val="15"/>
            <w:u w:val="single"/>
          </w:rPr>
          <w:t xml:space="preserve">https://nime.org/proc/nime2026_101/</w:t>
        </w:r>
      </w:hyperlink>
    </w:p>
    <w:p>
      <w:pPr>
        <w:spacing w:after="70" w:line="252"/>
        <w:ind w:left="520" w:hanging="520"/>
      </w:pPr>
      <w:r>
        <w:rPr>
          <w:rFonts w:ascii="Arial" w:cs="Arial" w:eastAsia="Arial" w:hAnsi="Arial"/>
          <w:b/>
          <w:bCs/>
          <w:color w:val="1F4E79"/>
          <w:sz w:val="17"/>
          <w:szCs w:val="17"/>
        </w:rPr>
        <w:t xml:space="preserve">[51]  </w:t>
      </w:r>
      <w:r>
        <w:rPr>
          <w:rFonts w:ascii="Arial" w:cs="Arial" w:eastAsia="Arial" w:hAnsi="Arial"/>
          <w:color w:val="222222"/>
          <w:sz w:val="17"/>
          <w:szCs w:val="17"/>
        </w:rPr>
        <w:t xml:space="preserve">Serra, X., et al. CompMusic: Computational Models for the Discovery of the World's Music. ERC project, Universitat Pompeu Fabra, 2011–2017; Hindustani and Carnatic research corpora and the Saraga open datasets.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2egb4uonhasx_9pd5go3x">
        <w:r>
          <w:rPr>
            <w:rFonts w:ascii="Arial" w:cs="Arial" w:eastAsia="Arial" w:hAnsi="Arial"/>
            <w:color w:val="1F4E79"/>
            <w:sz w:val="15"/>
            <w:szCs w:val="15"/>
            <w:u w:val="single"/>
          </w:rPr>
          <w:t xml:space="preserve">https://compmusic.upf.edu</w:t>
        </w:r>
      </w:hyperlink>
    </w:p>
    <w:p>
      <w:pPr>
        <w:spacing w:after="70" w:line="252"/>
        <w:ind w:left="520" w:hanging="520"/>
      </w:pPr>
      <w:r>
        <w:rPr>
          <w:rFonts w:ascii="Arial" w:cs="Arial" w:eastAsia="Arial" w:hAnsi="Arial"/>
          <w:b/>
          <w:bCs/>
          <w:color w:val="1F4E79"/>
          <w:sz w:val="17"/>
          <w:szCs w:val="17"/>
        </w:rPr>
        <w:t xml:space="preserve">[52]  </w:t>
      </w:r>
      <w:r>
        <w:rPr>
          <w:rFonts w:ascii="Arial" w:cs="Arial" w:eastAsia="Arial" w:hAnsi="Arial"/>
          <w:color w:val="222222"/>
          <w:sz w:val="17"/>
          <w:szCs w:val="17"/>
        </w:rPr>
        <w:t xml:space="preserve">Overview of the six tabla gharanas (Delhi, Ajrada, Lucknow, Farrukhabad, Benares, Punjab), their descent and band/khula baaj. DigiTabla; see also Journal of the Sangeet Natak Akademi, 39(1). Secondary sources.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ap9xqjyzkbgzvhw_lemal">
        <w:r>
          <w:rPr>
            <w:rFonts w:ascii="Arial" w:cs="Arial" w:eastAsia="Arial" w:hAnsi="Arial"/>
            <w:color w:val="1F4E79"/>
            <w:sz w:val="15"/>
            <w:szCs w:val="15"/>
            <w:u w:val="single"/>
          </w:rPr>
          <w:t xml:space="preserve">https://digitabla.com/tabla-tradition/six-gharanas/</w:t>
        </w:r>
      </w:hyperlink>
    </w:p>
    <w:p>
      <w:pPr>
        <w:spacing w:after="70" w:line="252"/>
        <w:ind w:left="520" w:hanging="520"/>
      </w:pPr>
      <w:r>
        <w:rPr>
          <w:rFonts w:ascii="Arial" w:cs="Arial" w:eastAsia="Arial" w:hAnsi="Arial"/>
          <w:b/>
          <w:bCs/>
          <w:color w:val="1F4E79"/>
          <w:sz w:val="17"/>
          <w:szCs w:val="17"/>
        </w:rPr>
        <w:t xml:space="preserve">[53]  </w:t>
      </w:r>
      <w:r>
        <w:rPr>
          <w:rFonts w:ascii="Arial" w:cs="Arial" w:eastAsia="Arial" w:hAnsi="Arial"/>
          <w:color w:val="222222"/>
          <w:sz w:val="17"/>
          <w:szCs w:val="17"/>
        </w:rPr>
        <w:t xml:space="preserve">Chordia, P. (2005). Segmentation and recognition of tabla strokes. Proc. ISMIR 2005.</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[54]  </w:t>
      </w:r>
      <w:r>
        <w:rPr>
          <w:rFonts w:ascii="Arial" w:cs="Arial" w:eastAsia="Arial" w:hAnsi="Arial"/>
          <w:color w:val="222222"/>
          <w:sz w:val="17"/>
          <w:szCs w:val="17"/>
        </w:rPr>
        <w:t xml:space="preserve">Gillet, O., &amp; Richard, G. (2003). Automatic labelling of tabla signals. Proc. ISMIR 2003.</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[55]  </w:t>
      </w:r>
      <w:r>
        <w:rPr>
          <w:rFonts w:ascii="Arial" w:cs="Arial" w:eastAsia="Arial" w:hAnsi="Arial"/>
          <w:color w:val="222222"/>
          <w:sz w:val="17"/>
          <w:szCs w:val="17"/>
        </w:rPr>
        <w:t xml:space="preserve">Bello, J. P., Daudet, L., Abdallah, S., Duxbury, C., Davies, M., &amp; Sandler, M. B. (2005). A tutorial on onset detection in music signals. IEEE Transactions on Speech and Audio Processing, 13(5), 1035–1047.</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[56]  </w:t>
      </w:r>
      <w:r>
        <w:rPr>
          <w:rFonts w:ascii="Arial" w:cs="Arial" w:eastAsia="Arial" w:hAnsi="Arial"/>
          <w:color w:val="222222"/>
          <w:sz w:val="17"/>
          <w:szCs w:val="17"/>
        </w:rPr>
        <w:t xml:space="preserve">Sakoe, H., &amp; Chiba, S. (1978). Dynamic programming algorithm optimization for spoken word recognition. IEEE Transactions on Acoustics, Speech, and Signal Processing, 26(1), 43–49.</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[57]  </w:t>
      </w:r>
      <w:r>
        <w:rPr>
          <w:rFonts w:ascii="Arial" w:cs="Arial" w:eastAsia="Arial" w:hAnsi="Arial"/>
          <w:color w:val="222222"/>
          <w:sz w:val="17"/>
          <w:szCs w:val="17"/>
        </w:rPr>
        <w:t xml:space="preserve">Müller, M. (2015). Fundamentals of Music Processing. Springer.</w:t>
      </w:r>
      <w:r>
        <w:rPr>
          <w:rFonts w:ascii="Arial" w:cs="Arial" w:eastAsia="Arial" w:hAnsi="Arial"/>
          <w:b/>
          <w:bCs/>
          <w:color w:val="5E5E5E"/>
          <w:sz w:val="17"/>
          <w:szCs w:val="17"/>
        </w:rPr>
        <w:t xml:space="preserve">  Status: S.</w:t>
      </w:r>
    </w:p>
    <w:p>
      <w:pPr>
        <w:pStyle w:val="Heading3"/>
        <w:keepNext/>
      </w:pPr>
      <w:r>
        <w:rPr>
          <w:rFonts w:ascii="Arial" w:cs="Arial" w:eastAsia="Arial" w:hAnsi="Arial"/>
        </w:rPr>
        <w:t xml:space="preserve">F. Craft, dance and puppetry capture; tacit knowledge</w:t>
      </w:r>
    </w:p>
    <w:p>
      <w:pPr>
        <w:spacing w:after="70" w:line="252"/>
        <w:ind w:left="520" w:hanging="520"/>
      </w:pPr>
      <w:r>
        <w:rPr>
          <w:rFonts w:ascii="Arial" w:cs="Arial" w:eastAsia="Arial" w:hAnsi="Arial"/>
          <w:b/>
          <w:bCs/>
          <w:color w:val="1F4E79"/>
          <w:sz w:val="17"/>
          <w:szCs w:val="17"/>
        </w:rPr>
        <w:t xml:space="preserve">[58]  </w:t>
      </w:r>
      <w:r>
        <w:rPr>
          <w:rFonts w:ascii="Arial" w:cs="Arial" w:eastAsia="Arial" w:hAnsi="Arial"/>
          <w:color w:val="222222"/>
          <w:sz w:val="17"/>
          <w:szCs w:val="17"/>
        </w:rPr>
        <w:t xml:space="preserve">Polanyi, M. (1966). The Tacit Dimension. Doubleday.</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[59]  </w:t>
      </w:r>
      <w:r>
        <w:rPr>
          <w:rFonts w:ascii="Arial" w:cs="Arial" w:eastAsia="Arial" w:hAnsi="Arial"/>
          <w:color w:val="222222"/>
          <w:sz w:val="17"/>
          <w:szCs w:val="17"/>
        </w:rPr>
        <w:t xml:space="preserve">Nonaka, I., &amp; Takeuchi, H. (1995). The Knowledge-Creating Company. Oxford University Press (SECI model: socialisation, externalisation, combination, internalisation).</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hmwc9cugfjxgzorhrxy5c">
        <w:r>
          <w:rPr>
            <w:rFonts w:ascii="Arial" w:cs="Arial" w:eastAsia="Arial" w:hAnsi="Arial"/>
            <w:color w:val="1F4E79"/>
            <w:sz w:val="15"/>
            <w:szCs w:val="15"/>
            <w:u w:val="single"/>
          </w:rPr>
          <w:t xml:space="preserve">https://en.wikipedia.org/wiki/SECI_model_of_knowledge_dimensions</w:t>
        </w:r>
      </w:hyperlink>
    </w:p>
    <w:p>
      <w:pPr>
        <w:spacing w:after="70" w:line="252"/>
        <w:ind w:left="520" w:hanging="520"/>
      </w:pPr>
      <w:r>
        <w:rPr>
          <w:rFonts w:ascii="Arial" w:cs="Arial" w:eastAsia="Arial" w:hAnsi="Arial"/>
          <w:b/>
          <w:bCs/>
          <w:color w:val="1F4E79"/>
          <w:sz w:val="17"/>
          <w:szCs w:val="17"/>
        </w:rPr>
        <w:t xml:space="preserve">[60]  </w:t>
      </w:r>
      <w:r>
        <w:rPr>
          <w:rFonts w:ascii="Arial" w:cs="Arial" w:eastAsia="Arial" w:hAnsi="Arial"/>
          <w:color w:val="222222"/>
          <w:sz w:val="17"/>
          <w:szCs w:val="17"/>
        </w:rPr>
        <w:t xml:space="preserve">Dimitropoulos, K., et al. (2014). Capturing the intangible: an introduction to the i-Treasures project. Proc. VISAPP 2014. EU FP7 project 600676 (2013–2017): rare songs, rare dance, wheel-throwing pottery and music composition, using multisensory capture and sensorimotor learning.</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iu-_yfgm1cp0pmyvb3hfs">
        <w:r>
          <w:rPr>
            <w:rFonts w:ascii="Arial" w:cs="Arial" w:eastAsia="Arial" w:hAnsi="Arial"/>
            <w:color w:val="1F4E79"/>
            <w:sz w:val="15"/>
            <w:szCs w:val="15"/>
            <w:u w:val="single"/>
          </w:rPr>
          <w:t xml:space="preserve">https://www.scitepress.org/Papers/2014/48716/</w:t>
        </w:r>
      </w:hyperlink>
    </w:p>
    <w:p>
      <w:pPr>
        <w:spacing w:after="70" w:line="252"/>
        <w:ind w:left="520" w:hanging="520"/>
      </w:pPr>
      <w:r>
        <w:rPr>
          <w:rFonts w:ascii="Arial" w:cs="Arial" w:eastAsia="Arial" w:hAnsi="Arial"/>
          <w:b/>
          <w:bCs/>
          <w:color w:val="1F4E79"/>
          <w:sz w:val="17"/>
          <w:szCs w:val="17"/>
        </w:rPr>
        <w:t xml:space="preserve">[61]  </w:t>
      </w:r>
      <w:r>
        <w:rPr>
          <w:rFonts w:ascii="Arial" w:cs="Arial" w:eastAsia="Arial" w:hAnsi="Arial"/>
          <w:color w:val="222222"/>
          <w:sz w:val="17"/>
          <w:szCs w:val="17"/>
        </w:rPr>
        <w:t xml:space="preserve">Manitsaris, S., Glushkova, A., Bevilacqua, F., &amp; Moutarde, F. (2014). Capture, modeling, and recognition of expert technical gestures in wheel-throwing art of pottery. ACM Journal on Computing and Cultural Heritage, 7(2). Wireless inertial sensors plus hidden Markov models; proposes real-time feedback on expert–learner differences.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7k1xphobqi2tqm4k0-5vg">
        <w:r>
          <w:rPr>
            <w:rFonts w:ascii="Arial" w:cs="Arial" w:eastAsia="Arial" w:hAnsi="Arial"/>
            <w:color w:val="1F4E79"/>
            <w:sz w:val="15"/>
            <w:szCs w:val="15"/>
            <w:u w:val="single"/>
          </w:rPr>
          <w:t xml:space="preserve">https://hal-mines-paristech.archives-ouvertes.fr/hal-00975857</w:t>
        </w:r>
      </w:hyperlink>
    </w:p>
    <w:p>
      <w:pPr>
        <w:spacing w:after="70" w:line="252"/>
        <w:ind w:left="520" w:hanging="520"/>
      </w:pPr>
      <w:r>
        <w:rPr>
          <w:rFonts w:ascii="Arial" w:cs="Arial" w:eastAsia="Arial" w:hAnsi="Arial"/>
          <w:b/>
          <w:bCs/>
          <w:color w:val="1F4E79"/>
          <w:sz w:val="17"/>
          <w:szCs w:val="17"/>
        </w:rPr>
        <w:t xml:space="preserve">[62]  </w:t>
      </w:r>
      <w:r>
        <w:rPr>
          <w:rFonts w:ascii="Arial" w:cs="Arial" w:eastAsia="Arial" w:hAnsi="Arial"/>
          <w:color w:val="222222"/>
          <w:sz w:val="17"/>
          <w:szCs w:val="17"/>
        </w:rPr>
        <w:t xml:space="preserve">Zabulis, X., et al. (2020). Representation and preservation of heritage crafts. Sustainability, 12(4), 1461 (EU H2020 Mingei project).</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dyx-rkgvcfsyc5s8os_k0">
        <w:r>
          <w:rPr>
            <w:rFonts w:ascii="Arial" w:cs="Arial" w:eastAsia="Arial" w:hAnsi="Arial"/>
            <w:color w:val="1F4E79"/>
            <w:sz w:val="15"/>
            <w:szCs w:val="15"/>
            <w:u w:val="single"/>
          </w:rPr>
          <w:t xml:space="preserve">https://ideas.repec.org/a/gam/jsusta/v12y2020i4p1461-d321208.html</w:t>
        </w:r>
      </w:hyperlink>
    </w:p>
    <w:p>
      <w:pPr>
        <w:spacing w:after="70" w:line="252"/>
        <w:ind w:left="520" w:hanging="520"/>
      </w:pPr>
      <w:r>
        <w:rPr>
          <w:rFonts w:ascii="Arial" w:cs="Arial" w:eastAsia="Arial" w:hAnsi="Arial"/>
          <w:b/>
          <w:bCs/>
          <w:color w:val="1F4E79"/>
          <w:sz w:val="17"/>
          <w:szCs w:val="17"/>
        </w:rPr>
        <w:t xml:space="preserve">[63]  </w:t>
      </w:r>
      <w:r>
        <w:rPr>
          <w:rFonts w:ascii="Arial" w:cs="Arial" w:eastAsia="Arial" w:hAnsi="Arial"/>
          <w:color w:val="222222"/>
          <w:sz w:val="17"/>
          <w:szCs w:val="17"/>
        </w:rPr>
        <w:t xml:space="preserve">Chiang, P.-Y., et al. (2018). PotteryGo: a virtual pottery making training system. IEEE Computer Graphics and Applications. Learners trained in VR made a real ceramic base about as easily as studio-taught learners.</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7a3eh-bucetlrayyifvrd">
        <w:r>
          <w:rPr>
            <w:rFonts w:ascii="Arial" w:cs="Arial" w:eastAsia="Arial" w:hAnsi="Arial"/>
            <w:color w:val="1F4E79"/>
            <w:sz w:val="15"/>
            <w:szCs w:val="15"/>
            <w:u w:val="single"/>
          </w:rPr>
          <w:t xml:space="preserve">https://people.cs.nycu.edu.tw/~armuro/pubs/chiang-et-al-2018-ieee-computer-graphics.pdf</w:t>
        </w:r>
      </w:hyperlink>
    </w:p>
    <w:p>
      <w:pPr>
        <w:spacing w:after="70" w:line="252"/>
        <w:ind w:left="520" w:hanging="520"/>
      </w:pPr>
      <w:r>
        <w:rPr>
          <w:rFonts w:ascii="Arial" w:cs="Arial" w:eastAsia="Arial" w:hAnsi="Arial"/>
          <w:b/>
          <w:bCs/>
          <w:color w:val="1F4E79"/>
          <w:sz w:val="17"/>
          <w:szCs w:val="17"/>
        </w:rPr>
        <w:t xml:space="preserve">[64]  </w:t>
      </w:r>
      <w:r>
        <w:rPr>
          <w:rFonts w:ascii="Arial" w:cs="Arial" w:eastAsia="Arial" w:hAnsi="Arial"/>
          <w:color w:val="222222"/>
          <w:sz w:val="17"/>
          <w:szCs w:val="17"/>
        </w:rPr>
        <w:t xml:space="preserve">Yamane, K., Hodgins, J. K., &amp; Brown, H. B. (2004). Controlling a motorized marionette with human motion capture data. International Journal of Humanoid Robotics (ICRA 2003 version).</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uduksfqg-nda2yy6n-l9s">
        <w:r>
          <w:rPr>
            <w:rFonts w:ascii="Arial" w:cs="Arial" w:eastAsia="Arial" w:hAnsi="Arial"/>
            <w:color w:val="1F4E79"/>
            <w:sz w:val="15"/>
            <w:szCs w:val="15"/>
            <w:u w:val="single"/>
          </w:rPr>
          <w:t xml:space="preserve">https://www.ri.cmu.edu/publications/controlling-a-marionette-with-human-motion-capture-data</w:t>
        </w:r>
      </w:hyperlink>
    </w:p>
    <w:p>
      <w:pPr>
        <w:spacing w:after="70" w:line="252"/>
        <w:ind w:left="520" w:hanging="520"/>
      </w:pPr>
      <w:r>
        <w:rPr>
          <w:rFonts w:ascii="Arial" w:cs="Arial" w:eastAsia="Arial" w:hAnsi="Arial"/>
          <w:b/>
          <w:bCs/>
          <w:color w:val="1F4E79"/>
          <w:sz w:val="17"/>
          <w:szCs w:val="17"/>
        </w:rPr>
        <w:t xml:space="preserve">[65]  </w:t>
      </w:r>
      <w:r>
        <w:rPr>
          <w:rFonts w:ascii="Arial" w:cs="Arial" w:eastAsia="Arial" w:hAnsi="Arial"/>
          <w:color w:val="222222"/>
          <w:sz w:val="17"/>
          <w:szCs w:val="17"/>
        </w:rPr>
        <w:t xml:space="preserve">Marionette-inspired interface: bridging traditional puppetry and modern avatar control. AHFE Open Access proceedings (University of Tsukuba). Novice users operated the interface effectively.</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cyq0a7klsfgfn6ahwkgxz">
        <w:r>
          <w:rPr>
            <w:rFonts w:ascii="Arial" w:cs="Arial" w:eastAsia="Arial" w:hAnsi="Arial"/>
            <w:color w:val="1F4E79"/>
            <w:sz w:val="15"/>
            <w:szCs w:val="15"/>
            <w:u w:val="single"/>
          </w:rPr>
          <w:t xml:space="preserve">https://openaccess.cms-conferences.org/publications/book/978-1-964867-68-7/article/978-1-964867-68-7_2</w:t>
        </w:r>
      </w:hyperlink>
    </w:p>
    <w:p>
      <w:pPr>
        <w:spacing w:after="70" w:line="252"/>
        <w:ind w:left="520" w:hanging="520"/>
      </w:pPr>
      <w:r>
        <w:rPr>
          <w:rFonts w:ascii="Arial" w:cs="Arial" w:eastAsia="Arial" w:hAnsi="Arial"/>
          <w:b/>
          <w:bCs/>
          <w:color w:val="1F4E79"/>
          <w:sz w:val="17"/>
          <w:szCs w:val="17"/>
        </w:rPr>
        <w:t xml:space="preserve">[66]  </w:t>
      </w:r>
      <w:r>
        <w:rPr>
          <w:rFonts w:ascii="Arial" w:cs="Arial" w:eastAsia="Arial" w:hAnsi="Arial"/>
          <w:color w:val="222222"/>
          <w:sz w:val="17"/>
          <w:szCs w:val="17"/>
        </w:rPr>
        <w:t xml:space="preserve">CN121483109B. Shadow play auxiliary teaching method and system based on virtual gestures. Chinese patent.</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qf2pfrc4hd561jw_g1w6p">
        <w:r>
          <w:rPr>
            <w:rFonts w:ascii="Arial" w:cs="Arial" w:eastAsia="Arial" w:hAnsi="Arial"/>
            <w:color w:val="1F4E79"/>
            <w:sz w:val="15"/>
            <w:szCs w:val="15"/>
            <w:u w:val="single"/>
          </w:rPr>
          <w:t xml:space="preserve">https://eureka.patsnap.com/patent/CN121483109B</w:t>
        </w:r>
      </w:hyperlink>
    </w:p>
    <w:p>
      <w:pPr>
        <w:spacing w:after="70" w:line="252"/>
        <w:ind w:left="520" w:hanging="520"/>
      </w:pPr>
      <w:r>
        <w:rPr>
          <w:rFonts w:ascii="Arial" w:cs="Arial" w:eastAsia="Arial" w:hAnsi="Arial"/>
          <w:b/>
          <w:bCs/>
          <w:color w:val="1F4E79"/>
          <w:sz w:val="17"/>
          <w:szCs w:val="17"/>
        </w:rPr>
        <w:t xml:space="preserve">[67]  </w:t>
      </w:r>
      <w:r>
        <w:rPr>
          <w:rFonts w:ascii="Arial" w:cs="Arial" w:eastAsia="Arial" w:hAnsi="Arial"/>
          <w:color w:val="222222"/>
          <w:sz w:val="17"/>
          <w:szCs w:val="17"/>
        </w:rPr>
        <w:t xml:space="preserve">Mallick, T., Das, P. P., &amp; Majumdar, A. K. (2019). Posture and sequence recognition for Bharatanatyam dance performances using machine learning approach. arXiv:1909.11023 (IIT Kharagpur).</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tk6zg_xknfdtkhjrdhs5z">
        <w:r>
          <w:rPr>
            <w:rFonts w:ascii="Arial" w:cs="Arial" w:eastAsia="Arial" w:hAnsi="Arial"/>
            <w:color w:val="1F4E79"/>
            <w:sz w:val="15"/>
            <w:szCs w:val="15"/>
            <w:u w:val="single"/>
          </w:rPr>
          <w:t xml:space="preserve">https://arxiv.org/abs/1909.11023</w:t>
        </w:r>
      </w:hyperlink>
    </w:p>
    <w:p>
      <w:pPr>
        <w:spacing w:after="70" w:line="252"/>
        <w:ind w:left="520" w:hanging="520"/>
      </w:pPr>
      <w:r>
        <w:rPr>
          <w:rFonts w:ascii="Arial" w:cs="Arial" w:eastAsia="Arial" w:hAnsi="Arial"/>
          <w:b/>
          <w:bCs/>
          <w:color w:val="1F4E79"/>
          <w:sz w:val="17"/>
          <w:szCs w:val="17"/>
        </w:rPr>
        <w:t xml:space="preserve">[68]  </w:t>
      </w:r>
      <w:r>
        <w:rPr>
          <w:rFonts w:ascii="Arial" w:cs="Arial" w:eastAsia="Arial" w:hAnsi="Arial"/>
          <w:color w:val="222222"/>
          <w:sz w:val="17"/>
          <w:szCs w:val="17"/>
        </w:rPr>
        <w:t xml:space="preserve">Live History India, "The unique craft of Rajasthan's puppeteers"; Herald Goa, "Dying string puppetry"; Sahapedia, "Tholu Bommalata: Telugu shadow puppet theatre". Journalistic and encyclopaedic sources on the Nat Bhatt community and decline.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izpufxfhiicyxwu19fiu6">
        <w:r>
          <w:rPr>
            <w:rFonts w:ascii="Arial" w:cs="Arial" w:eastAsia="Arial" w:hAnsi="Arial"/>
            <w:color w:val="1F4E79"/>
            <w:sz w:val="15"/>
            <w:szCs w:val="15"/>
            <w:u w:val="single"/>
          </w:rPr>
          <w:t xml:space="preserve">https://livehistoryindia.com/story/living-culture/the-unique-craft-of-rajasthans-puppeteers</w:t>
        </w:r>
      </w:hyperlink>
    </w:p>
    <w:p>
      <w:pPr>
        <w:spacing w:after="70" w:line="252"/>
        <w:ind w:left="520" w:hanging="520"/>
      </w:pPr>
      <w:r>
        <w:rPr>
          <w:rFonts w:ascii="Arial" w:cs="Arial" w:eastAsia="Arial" w:hAnsi="Arial"/>
          <w:b/>
          <w:bCs/>
          <w:color w:val="1F4E79"/>
          <w:sz w:val="17"/>
          <w:szCs w:val="17"/>
        </w:rPr>
        <w:t xml:space="preserve">[69]  </w:t>
      </w:r>
      <w:r>
        <w:rPr>
          <w:rFonts w:ascii="Arial" w:cs="Arial" w:eastAsia="Arial" w:hAnsi="Arial"/>
          <w:color w:val="222222"/>
          <w:sz w:val="17"/>
          <w:szCs w:val="17"/>
        </w:rPr>
        <w:t xml:space="preserve">Japan, Law for the Protection of Cultural Properties (1950): holders of Important Intangible Cultural Properties ("Living National Treasures"), with stipends and funded apprenticeships; UNESCO Living Human Treasures programme. Secondary source.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7-tk9zzv-fsrh0igilnd_">
        <w:r>
          <w:rPr>
            <w:rFonts w:ascii="Arial" w:cs="Arial" w:eastAsia="Arial" w:hAnsi="Arial"/>
            <w:color w:val="1F4E79"/>
            <w:sz w:val="15"/>
            <w:szCs w:val="15"/>
            <w:u w:val="single"/>
          </w:rPr>
          <w:t xml:space="preserve">https://en.wikipedia.org/wiki/Living_National_Treasure_(Japan)</w:t>
        </w:r>
      </w:hyperlink>
    </w:p>
    <w:p>
      <w:pPr>
        <w:pStyle w:val="Heading3"/>
        <w:keepNext/>
      </w:pPr>
      <w:r>
        <w:rPr>
          <w:rFonts w:ascii="Arial" w:cs="Arial" w:eastAsia="Arial" w:hAnsi="Arial"/>
        </w:rPr>
        <w:t xml:space="preserve">G. Heritage policy, Indian programmes and data</w:t>
      </w:r>
    </w:p>
    <w:p>
      <w:pPr>
        <w:spacing w:after="70" w:line="252"/>
        <w:ind w:left="520" w:hanging="520"/>
      </w:pPr>
      <w:r>
        <w:rPr>
          <w:rFonts w:ascii="Arial" w:cs="Arial" w:eastAsia="Arial" w:hAnsi="Arial"/>
          <w:b/>
          <w:bCs/>
          <w:color w:val="1F4E79"/>
          <w:sz w:val="17"/>
          <w:szCs w:val="17"/>
        </w:rPr>
        <w:t xml:space="preserve">[70]  </w:t>
      </w:r>
      <w:r>
        <w:rPr>
          <w:rFonts w:ascii="Arial" w:cs="Arial" w:eastAsia="Arial" w:hAnsi="Arial"/>
          <w:color w:val="222222"/>
          <w:sz w:val="17"/>
          <w:szCs w:val="17"/>
        </w:rPr>
        <w:t xml:space="preserve">UNESCO (2003). Convention for the Safeguarding of the Intangible Cultural Heritage.</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[71]  </w:t>
      </w:r>
      <w:r>
        <w:rPr>
          <w:rFonts w:ascii="Arial" w:cs="Arial" w:eastAsia="Arial" w:hAnsi="Arial"/>
          <w:color w:val="222222"/>
          <w:sz w:val="17"/>
          <w:szCs w:val="17"/>
        </w:rPr>
        <w:t xml:space="preserve">UNESCO (2015). Ethical Principles for Safeguarding Intangible Cultural Heritage.</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[72]  </w:t>
      </w:r>
      <w:r>
        <w:rPr>
          <w:rFonts w:ascii="Arial" w:cs="Arial" w:eastAsia="Arial" w:hAnsi="Arial"/>
          <w:color w:val="222222"/>
          <w:sz w:val="17"/>
          <w:szCs w:val="17"/>
        </w:rPr>
        <w:t xml:space="preserve">UNESCO 20th session of the Intergovernmental Committee for the Safeguarding of the Intangible Cultural Heritage, Red Fort, New Delhi, 8–13 December 2025: Deepavali inscribed as India's 16th element (press reports).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wrjwaq6pozk1lr6jrhslo">
        <w:r>
          <w:rPr>
            <w:rFonts w:ascii="Arial" w:cs="Arial" w:eastAsia="Arial" w:hAnsi="Arial"/>
            <w:color w:val="1F4E79"/>
            <w:sz w:val="15"/>
            <w:szCs w:val="15"/>
            <w:u w:val="single"/>
          </w:rPr>
          <w:t xml:space="preserve">https://www.drishtiias.com/state-pcs-current-affairs/unesco-adds-deepavali-to-intangible-cultural-heritage-list/print_manually</w:t>
        </w:r>
      </w:hyperlink>
    </w:p>
    <w:p>
      <w:pPr>
        <w:spacing w:after="70" w:line="252"/>
        <w:ind w:left="520" w:hanging="520"/>
      </w:pPr>
      <w:r>
        <w:rPr>
          <w:rFonts w:ascii="Arial" w:cs="Arial" w:eastAsia="Arial" w:hAnsi="Arial"/>
          <w:b/>
          <w:bCs/>
          <w:color w:val="1F4E79"/>
          <w:sz w:val="17"/>
          <w:szCs w:val="17"/>
        </w:rPr>
        <w:t xml:space="preserve">[73]  </w:t>
      </w:r>
      <w:r>
        <w:rPr>
          <w:rFonts w:ascii="Arial" w:cs="Arial" w:eastAsia="Arial" w:hAnsi="Arial"/>
          <w:color w:val="222222"/>
          <w:sz w:val="17"/>
          <w:szCs w:val="17"/>
        </w:rPr>
        <w:t xml:space="preserve">Ministry of Culture. Scheme for Safeguarding the Intangible Cultural Heritage and Diverse Cultural Traditions of India; Sangeet Natak Akademi is the nodal agency (since 2013) and keeps the National ICH Inventory.</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pyeegiwwgpd9lulx6rkyu">
        <w:r>
          <w:rPr>
            <w:rFonts w:ascii="Arial" w:cs="Arial" w:eastAsia="Arial" w:hAnsi="Arial"/>
            <w:color w:val="1F4E79"/>
            <w:sz w:val="15"/>
            <w:szCs w:val="15"/>
            <w:u w:val="single"/>
          </w:rPr>
          <w:t xml:space="preserve">https://www.indiaculture.gov.in/node/265</w:t>
        </w:r>
      </w:hyperlink>
    </w:p>
    <w:p>
      <w:pPr>
        <w:spacing w:after="70" w:line="252"/>
        <w:ind w:left="520" w:hanging="520"/>
      </w:pPr>
      <w:r>
        <w:rPr>
          <w:rFonts w:ascii="Arial" w:cs="Arial" w:eastAsia="Arial" w:hAnsi="Arial"/>
          <w:b/>
          <w:bCs/>
          <w:color w:val="1F4E79"/>
          <w:sz w:val="17"/>
          <w:szCs w:val="17"/>
        </w:rPr>
        <w:t xml:space="preserve">[74]  </w:t>
      </w:r>
      <w:r>
        <w:rPr>
          <w:rFonts w:ascii="Arial" w:cs="Arial" w:eastAsia="Arial" w:hAnsi="Arial"/>
          <w:color w:val="222222"/>
          <w:sz w:val="17"/>
          <w:szCs w:val="17"/>
        </w:rPr>
        <w:t xml:space="preserve">Ministry of Culture. Guru-Shishya Parampara scheme run by seven Zonal Cultural Centres (Prayagraj, Patiala, Nagpur, Udaipur, Kolkata, Dimapur, Thanjavur). Honoraria cited in Rajya Sabha answers: guru ₹7,500/month, one accompanist ₹3,750/month, four shishyas ₹1,500/month each, for one year.</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aj2xbqsbxbh5yryfwvoes">
        <w:r>
          <w:rPr>
            <w:rFonts w:ascii="Arial" w:cs="Arial" w:eastAsia="Arial" w:hAnsi="Arial"/>
            <w:color w:val="1F4E79"/>
            <w:sz w:val="15"/>
            <w:szCs w:val="15"/>
            <w:u w:val="single"/>
          </w:rPr>
          <w:t xml:space="preserve">https://rsdebate.nic.in/bitstream/123456789/734815/1/PQ_258_22122022_U1778_p148_p170.pdf</w:t>
        </w:r>
      </w:hyperlink>
    </w:p>
    <w:p>
      <w:pPr>
        <w:spacing w:after="70" w:line="252"/>
        <w:ind w:left="520" w:hanging="520"/>
      </w:pPr>
      <w:r>
        <w:rPr>
          <w:rFonts w:ascii="Arial" w:cs="Arial" w:eastAsia="Arial" w:hAnsi="Arial"/>
          <w:b/>
          <w:bCs/>
          <w:color w:val="1F4E79"/>
          <w:sz w:val="17"/>
          <w:szCs w:val="17"/>
        </w:rPr>
        <w:t xml:space="preserve">[75]  </w:t>
      </w:r>
      <w:r>
        <w:rPr>
          <w:rFonts w:ascii="Arial" w:cs="Arial" w:eastAsia="Arial" w:hAnsi="Arial"/>
          <w:color w:val="222222"/>
          <w:sz w:val="17"/>
          <w:szCs w:val="17"/>
        </w:rPr>
        <w:t xml:space="preserve">PIB (September 2025). PM Vishwakarma: about 30 lakh artisans registered in two years; 18 trades including potter, sculptor, doll and toy maker; ₹500/day training stipend; ₹15,000 toolkit incentive; training in guru–shishya mode.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kqg-xfp5ekka5dlia1fmx">
        <w:r>
          <w:rPr>
            <w:rFonts w:ascii="Arial" w:cs="Arial" w:eastAsia="Arial" w:hAnsi="Arial"/>
            <w:color w:val="1F4E79"/>
            <w:sz w:val="15"/>
            <w:szCs w:val="15"/>
            <w:u w:val="single"/>
          </w:rPr>
          <w:t xml:space="preserve">https://static.pib.gov.in/WriteReadData/specificdocs/documents/2025/sep/doc2025916638501.pdf</w:t>
        </w:r>
      </w:hyperlink>
    </w:p>
    <w:p>
      <w:pPr>
        <w:spacing w:after="70" w:line="252"/>
        <w:ind w:left="520" w:hanging="520"/>
      </w:pPr>
      <w:r>
        <w:rPr>
          <w:rFonts w:ascii="Arial" w:cs="Arial" w:eastAsia="Arial" w:hAnsi="Arial"/>
          <w:b/>
          <w:bCs/>
          <w:color w:val="1F4E79"/>
          <w:sz w:val="17"/>
          <w:szCs w:val="17"/>
        </w:rPr>
        <w:t xml:space="preserve">[76]  </w:t>
      </w:r>
      <w:r>
        <w:rPr>
          <w:rFonts w:ascii="Arial" w:cs="Arial" w:eastAsia="Arial" w:hAnsi="Arial"/>
          <w:color w:val="222222"/>
          <w:sz w:val="17"/>
          <w:szCs w:val="17"/>
        </w:rPr>
        <w:t xml:space="preserve">KVIC Kumhar Sashaktikaran Yojana (launched 2018): more than 18,000 electric potter wheels distributed, benefiting about 80,000 people; production up 3–4 times (summary of KVIC data).</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ji4psyf8-g3pk-cmzewfo">
        <w:r>
          <w:rPr>
            <w:rFonts w:ascii="Arial" w:cs="Arial" w:eastAsia="Arial" w:hAnsi="Arial"/>
            <w:color w:val="1F4E79"/>
            <w:sz w:val="15"/>
            <w:szCs w:val="15"/>
            <w:u w:val="single"/>
          </w:rPr>
          <w:t xml:space="preserve">https://www.drishtiias.com/daily-news-analysis/kumhar-sashaktikaran-yojana</w:t>
        </w:r>
      </w:hyperlink>
    </w:p>
    <w:p>
      <w:pPr>
        <w:spacing w:after="70" w:line="252"/>
        <w:ind w:left="520" w:hanging="520"/>
      </w:pPr>
      <w:r>
        <w:rPr>
          <w:rFonts w:ascii="Arial" w:cs="Arial" w:eastAsia="Arial" w:hAnsi="Arial"/>
          <w:b/>
          <w:bCs/>
          <w:color w:val="1F4E79"/>
          <w:sz w:val="17"/>
          <w:szCs w:val="17"/>
        </w:rPr>
        <w:t xml:space="preserve">[77]  </w:t>
      </w:r>
      <w:r>
        <w:rPr>
          <w:rFonts w:ascii="Arial" w:cs="Arial" w:eastAsia="Arial" w:hAnsi="Arial"/>
          <w:color w:val="222222"/>
          <w:sz w:val="17"/>
          <w:szCs w:val="17"/>
        </w:rPr>
        <w:t xml:space="preserve">Indian Knowledge Systems (IKS) Division, Ministry of Education, hosted at AICTE (established 2020).</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bx7itltcw7yaoikqo1vg1">
        <w:r>
          <w:rPr>
            <w:rFonts w:ascii="Arial" w:cs="Arial" w:eastAsia="Arial" w:hAnsi="Arial"/>
            <w:color w:val="1F4E79"/>
            <w:sz w:val="15"/>
            <w:szCs w:val="15"/>
            <w:u w:val="single"/>
          </w:rPr>
          <w:t xml:space="preserve">https://iksindia.org/</w:t>
        </w:r>
      </w:hyperlink>
    </w:p>
    <w:p>
      <w:pPr>
        <w:spacing w:after="70" w:line="252"/>
        <w:ind w:left="520" w:hanging="520"/>
      </w:pPr>
      <w:r>
        <w:rPr>
          <w:rFonts w:ascii="Arial" w:cs="Arial" w:eastAsia="Arial" w:hAnsi="Arial"/>
          <w:b/>
          <w:bCs/>
          <w:color w:val="1F4E79"/>
          <w:sz w:val="17"/>
          <w:szCs w:val="17"/>
        </w:rPr>
        <w:t xml:space="preserve">[78]  </w:t>
      </w:r>
      <w:r>
        <w:rPr>
          <w:rFonts w:ascii="Arial" w:cs="Arial" w:eastAsia="Arial" w:hAnsi="Arial"/>
          <w:color w:val="222222"/>
          <w:sz w:val="17"/>
          <w:szCs w:val="17"/>
        </w:rPr>
        <w:t xml:space="preserve">Ministry of Education (2020). National Education Policy 2020: para 4.27 on Indian knowledge and cultural traditions; engagement of outstanding local artists and craftspersons as master instructors.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q-7jlgar9fmv_z7r81s89">
        <w:r>
          <w:rPr>
            <w:rFonts w:ascii="Arial" w:cs="Arial" w:eastAsia="Arial" w:hAnsi="Arial"/>
            <w:color w:val="1F4E79"/>
            <w:sz w:val="15"/>
            <w:szCs w:val="15"/>
            <w:u w:val="single"/>
          </w:rPr>
          <w:t xml:space="preserve">https://www.education.gov.in/sites/upload_files/mhrd/files/NEP_Final_English_0.pdf</w:t>
        </w:r>
      </w:hyperlink>
    </w:p>
    <w:p>
      <w:pPr>
        <w:spacing w:after="70" w:line="252"/>
        <w:ind w:left="520" w:hanging="520"/>
      </w:pPr>
      <w:r>
        <w:rPr>
          <w:rFonts w:ascii="Arial" w:cs="Arial" w:eastAsia="Arial" w:hAnsi="Arial"/>
          <w:b/>
          <w:bCs/>
          <w:color w:val="1F4E79"/>
          <w:sz w:val="17"/>
          <w:szCs w:val="17"/>
        </w:rPr>
        <w:t xml:space="preserve">[79]  </w:t>
      </w:r>
      <w:r>
        <w:rPr>
          <w:rFonts w:ascii="Arial" w:cs="Arial" w:eastAsia="Arial" w:hAnsi="Arial"/>
          <w:color w:val="222222"/>
          <w:sz w:val="17"/>
          <w:szCs w:val="17"/>
        </w:rPr>
        <w:t xml:space="preserve">UGC (2025). Guidelines for empanelment of Artists/Artisans-in-Residence in higher education institutions (as circulated by universities, March 2025).</w:t>
      </w:r>
      <w:r>
        <w:rPr>
          <w:rFonts w:ascii="Arial" w:cs="Arial" w:eastAsia="Arial" w:hAnsi="Arial"/>
          <w:b/>
          <w:bCs/>
          <w:color w:val="B8901A"/>
          <w:sz w:val="17"/>
          <w:szCs w:val="17"/>
        </w:rPr>
        <w:t xml:space="preserve">  Status: P.</w:t>
      </w:r>
    </w:p>
    <w:p>
      <w:pPr>
        <w:spacing w:after="70" w:line="252"/>
        <w:ind w:left="520" w:hanging="520"/>
      </w:pPr>
      <w:r>
        <w:rPr>
          <w:rFonts w:ascii="Arial" w:cs="Arial" w:eastAsia="Arial" w:hAnsi="Arial"/>
          <w:b/>
          <w:bCs/>
          <w:color w:val="1F4E79"/>
          <w:sz w:val="17"/>
          <w:szCs w:val="17"/>
        </w:rPr>
        <w:t xml:space="preserve">[80]  </w:t>
      </w:r>
      <w:r>
        <w:rPr>
          <w:rFonts w:ascii="Arial" w:cs="Arial" w:eastAsia="Arial" w:hAnsi="Arial"/>
          <w:color w:val="222222"/>
          <w:sz w:val="17"/>
          <w:szCs w:val="17"/>
        </w:rPr>
        <w:t xml:space="preserve">PIB (2022). Traditional Knowledge Digital Library: 4,18,885 formulations transcribed; 265 patent applications withdrawn, set aside or amended on TKDL evidence as of 25 March 2022 (later updates cite 323).</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5yhzly9ndkkqv0radiyf0">
        <w:r>
          <w:rPr>
            <w:rFonts w:ascii="Arial" w:cs="Arial" w:eastAsia="Arial" w:hAnsi="Arial"/>
            <w:color w:val="1F4E79"/>
            <w:sz w:val="15"/>
            <w:szCs w:val="15"/>
            <w:u w:val="single"/>
          </w:rPr>
          <w:t xml:space="preserve">https://static.pib.gov.in/WriteReadData/specificdocs/documents/2022/sep/doc20229199001.pdf</w:t>
        </w:r>
      </w:hyperlink>
    </w:p>
    <w:p>
      <w:pPr>
        <w:spacing w:after="70" w:line="252"/>
        <w:ind w:left="520" w:hanging="520"/>
      </w:pPr>
      <w:r>
        <w:rPr>
          <w:rFonts w:ascii="Arial" w:cs="Arial" w:eastAsia="Arial" w:hAnsi="Arial"/>
          <w:b/>
          <w:bCs/>
          <w:color w:val="1F4E79"/>
          <w:sz w:val="17"/>
          <w:szCs w:val="17"/>
        </w:rPr>
        <w:t xml:space="preserve">[81]  </w:t>
      </w:r>
      <w:r>
        <w:rPr>
          <w:rFonts w:ascii="Arial" w:cs="Arial" w:eastAsia="Arial" w:hAnsi="Arial"/>
          <w:color w:val="222222"/>
          <w:sz w:val="17"/>
          <w:szCs w:val="17"/>
        </w:rPr>
        <w:t xml:space="preserve">PIB (December 2025). Handloom and handicraft sector: about 64.66 lakh artisans; handicraft exports ₹33,122.79 crore in 2024–25.</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kzwbohfwtlfvkx8usauyb">
        <w:r>
          <w:rPr>
            <w:rFonts w:ascii="Arial" w:cs="Arial" w:eastAsia="Arial" w:hAnsi="Arial"/>
            <w:color w:val="1F4E79"/>
            <w:sz w:val="15"/>
            <w:szCs w:val="15"/>
            <w:u w:val="single"/>
          </w:rPr>
          <w:t xml:space="preserve">https://static.pib.gov.in/WriteReadData/specificdocs/documents/2025/dec/doc2025129724401.pdf</w:t>
        </w:r>
      </w:hyperlink>
    </w:p>
    <w:p>
      <w:pPr>
        <w:spacing w:after="70" w:line="252"/>
        <w:ind w:left="520" w:hanging="520"/>
      </w:pPr>
      <w:r>
        <w:rPr>
          <w:rFonts w:ascii="Arial" w:cs="Arial" w:eastAsia="Arial" w:hAnsi="Arial"/>
          <w:b/>
          <w:bCs/>
          <w:color w:val="1F4E79"/>
          <w:sz w:val="17"/>
          <w:szCs w:val="17"/>
        </w:rPr>
        <w:t xml:space="preserve">[82]  </w:t>
      </w:r>
      <w:r>
        <w:rPr>
          <w:rFonts w:ascii="Arial" w:cs="Arial" w:eastAsia="Arial" w:hAnsi="Arial"/>
          <w:color w:val="222222"/>
          <w:sz w:val="17"/>
          <w:szCs w:val="17"/>
        </w:rPr>
        <w:t xml:space="preserve">Akhil Bharatiya Gandharva Mahavidyalaya Mandal: more than one lakh examinees every year, about 800 centres, two exam seasons. Secondary source plus official site.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ulhta7wc_4sl4phd9okle">
        <w:r>
          <w:rPr>
            <w:rFonts w:ascii="Arial" w:cs="Arial" w:eastAsia="Arial" w:hAnsi="Arial"/>
            <w:color w:val="1F4E79"/>
            <w:sz w:val="15"/>
            <w:szCs w:val="15"/>
            <w:u w:val="single"/>
          </w:rPr>
          <w:t xml:space="preserve">https://en.wikipedia.org/wiki/Akhil_Bharatiya_Gandharva_Mahavidyalaya_Mandal</w:t>
        </w:r>
      </w:hyperlink>
    </w:p>
    <w:p>
      <w:pPr>
        <w:spacing w:after="70" w:line="252"/>
        <w:ind w:left="520" w:hanging="520"/>
      </w:pPr>
      <w:r>
        <w:rPr>
          <w:rFonts w:ascii="Arial" w:cs="Arial" w:eastAsia="Arial" w:hAnsi="Arial"/>
          <w:b/>
          <w:bCs/>
          <w:color w:val="1F4E79"/>
          <w:sz w:val="17"/>
          <w:szCs w:val="17"/>
        </w:rPr>
        <w:t xml:space="preserve">[83]  </w:t>
      </w:r>
      <w:r>
        <w:rPr>
          <w:rFonts w:ascii="Arial" w:cs="Arial" w:eastAsia="Arial" w:hAnsi="Arial"/>
          <w:color w:val="222222"/>
          <w:sz w:val="17"/>
          <w:szCs w:val="17"/>
        </w:rPr>
        <w:t xml:space="preserve">Census of India 2011: 2.68 crore persons with disabilities; 50.71 lakh persons with hearing disability.</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pgfsddvljey1askf-kg7h">
        <w:r>
          <w:rPr>
            <w:rFonts w:ascii="Arial" w:cs="Arial" w:eastAsia="Arial" w:hAnsi="Arial"/>
            <w:color w:val="1F4E79"/>
            <w:sz w:val="15"/>
            <w:szCs w:val="15"/>
            <w:u w:val="single"/>
          </w:rPr>
          <w:t xml:space="preserve">https://aikosh.indiaai.gov.in/home/datasets/details/population_of_persons_with_disabilities_census_2011.html</w:t>
        </w:r>
      </w:hyperlink>
    </w:p>
    <w:p>
      <w:pPr>
        <w:spacing w:after="70" w:line="252"/>
        <w:ind w:left="520" w:hanging="520"/>
      </w:pPr>
      <w:r>
        <w:rPr>
          <w:rFonts w:ascii="Arial" w:cs="Arial" w:eastAsia="Arial" w:hAnsi="Arial"/>
          <w:b/>
          <w:bCs/>
          <w:color w:val="1F4E79"/>
          <w:sz w:val="17"/>
          <w:szCs w:val="17"/>
        </w:rPr>
        <w:t xml:space="preserve">[84]  </w:t>
      </w:r>
      <w:r>
        <w:rPr>
          <w:rFonts w:ascii="Arial" w:cs="Arial" w:eastAsia="Arial" w:hAnsi="Arial"/>
          <w:color w:val="222222"/>
          <w:sz w:val="17"/>
          <w:szCs w:val="17"/>
        </w:rPr>
        <w:t xml:space="preserve">Ustad Zakir Hussain (1951–2024), tabla maestro, died 15 December 2024 in San Francisco.</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ni-l53jynlmgpnvpk11uq">
        <w:r>
          <w:rPr>
            <w:rFonts w:ascii="Arial" w:cs="Arial" w:eastAsia="Arial" w:hAnsi="Arial"/>
            <w:color w:val="1F4E79"/>
            <w:sz w:val="15"/>
            <w:szCs w:val="15"/>
            <w:u w:val="single"/>
          </w:rPr>
          <w:t xml:space="preserve">https://en.wikipedia.org/wiki/Zakir_Hussain_(musician)</w:t>
        </w:r>
      </w:hyperlink>
    </w:p>
    <w:p>
      <w:pPr>
        <w:spacing w:after="70" w:line="252"/>
        <w:ind w:left="520" w:hanging="520"/>
      </w:pPr>
      <w:r>
        <w:rPr>
          <w:rFonts w:ascii="Arial" w:cs="Arial" w:eastAsia="Arial" w:hAnsi="Arial"/>
          <w:b/>
          <w:bCs/>
          <w:color w:val="1F4E79"/>
          <w:sz w:val="17"/>
          <w:szCs w:val="17"/>
        </w:rPr>
        <w:t xml:space="preserve">[85]  </w:t>
      </w:r>
      <w:r>
        <w:rPr>
          <w:rFonts w:ascii="Arial" w:cs="Arial" w:eastAsia="Arial" w:hAnsi="Arial"/>
          <w:color w:val="222222"/>
          <w:sz w:val="17"/>
          <w:szCs w:val="17"/>
        </w:rPr>
        <w:t xml:space="preserve">SIH evaluation parameters as reported by institutes (novelty, complexity, clarity, methodology, feasibility, practicality, sustainability, scale of impact, user experience, future potential) and a weighted internal-hackathon rubric (novelty 15%, feasibility 20%, complexity 15%, sustainability/scalability 15%, user experience 10%, impact 20%). Secondary; confirm with your SPOC.</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ftth2_tw14bvxqrtddsc5">
        <w:r>
          <w:rPr>
            <w:rFonts w:ascii="Arial" w:cs="Arial" w:eastAsia="Arial" w:hAnsi="Arial"/>
            <w:color w:val="1F4E79"/>
            <w:sz w:val="15"/>
            <w:szCs w:val="15"/>
            <w:u w:val="single"/>
          </w:rPr>
          <w:t xml:space="preserve">https://msit.in/media/2023/10/07/sih_report1.pdf</w:t>
        </w:r>
      </w:hyperlink>
    </w:p>
    <w:p>
      <w:pPr>
        <w:spacing w:after="70" w:line="252"/>
        <w:ind w:left="520" w:hanging="520"/>
      </w:pPr>
      <w:r>
        <w:rPr>
          <w:rFonts w:ascii="Arial" w:cs="Arial" w:eastAsia="Arial" w:hAnsi="Arial"/>
          <w:b/>
          <w:bCs/>
          <w:color w:val="1F4E79"/>
          <w:sz w:val="17"/>
          <w:szCs w:val="17"/>
        </w:rPr>
        <w:t xml:space="preserve">[86]  </w:t>
      </w:r>
      <w:r>
        <w:rPr>
          <w:rFonts w:ascii="Arial" w:cs="Arial" w:eastAsia="Arial" w:hAnsi="Arial"/>
          <w:color w:val="222222"/>
          <w:sz w:val="17"/>
          <w:szCs w:val="17"/>
        </w:rPr>
        <w:t xml:space="preserve">Khurja pottery: GI item 178; about 800–1,000 units; decade-long decline and ODOP-led revival (press and encyclopaedic sources).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lbuqlxwc9b4kdzm2x3k9c">
        <w:r>
          <w:rPr>
            <w:rFonts w:ascii="Arial" w:cs="Arial" w:eastAsia="Arial" w:hAnsi="Arial"/>
            <w:color w:val="1F4E79"/>
            <w:sz w:val="15"/>
            <w:szCs w:val="15"/>
            <w:u w:val="single"/>
          </w:rPr>
          <w:t xml:space="preserve">https://en.wikipedia.org/wiki/Khurja_pottery</w:t>
        </w:r>
      </w:hyperlink>
    </w:p>
    <w:p>
      <w:pPr>
        <w:spacing w:after="70" w:line="252"/>
        <w:ind w:left="520" w:hanging="520"/>
      </w:pPr>
      <w:r>
        <w:rPr>
          <w:rFonts w:ascii="Arial" w:cs="Arial" w:eastAsia="Arial" w:hAnsi="Arial"/>
          <w:b/>
          <w:bCs/>
          <w:color w:val="1F4E79"/>
          <w:sz w:val="17"/>
          <w:szCs w:val="17"/>
        </w:rPr>
        <w:t xml:space="preserve">[87]  </w:t>
      </w:r>
      <w:r>
        <w:rPr>
          <w:rFonts w:ascii="Arial" w:cs="Arial" w:eastAsia="Arial" w:hAnsi="Arial"/>
          <w:color w:val="222222"/>
          <w:sz w:val="17"/>
          <w:szCs w:val="17"/>
        </w:rPr>
        <w:t xml:space="preserve">Chiratae Ventures, investor note on Artium Academy: more than 15 million Indian households learning music (industry estimate, not audited).</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aknfhc0yejdzljjk361yc">
        <w:r>
          <w:rPr>
            <w:rFonts w:ascii="Arial" w:cs="Arial" w:eastAsia="Arial" w:hAnsi="Arial"/>
            <w:color w:val="1F4E79"/>
            <w:sz w:val="15"/>
            <w:szCs w:val="15"/>
            <w:u w:val="single"/>
          </w:rPr>
          <w:t xml:space="preserve">https://www.chiratae.com/from-passion-to-music-education-why-we-backed-artium-academy/</w:t>
        </w:r>
      </w:hyperlink>
    </w:p>
    <w:p>
      <w:pPr>
        <w:spacing w:after="70" w:line="252"/>
        <w:ind w:left="520" w:hanging="520"/>
      </w:pPr>
      <w:r>
        <w:rPr>
          <w:rFonts w:ascii="Arial" w:cs="Arial" w:eastAsia="Arial" w:hAnsi="Arial"/>
          <w:b/>
          <w:bCs/>
          <w:color w:val="1F4E79"/>
          <w:sz w:val="17"/>
          <w:szCs w:val="17"/>
        </w:rPr>
        <w:t xml:space="preserve">[88]  </w:t>
      </w:r>
      <w:r>
        <w:rPr>
          <w:rFonts w:ascii="Arial" w:cs="Arial" w:eastAsia="Arial" w:hAnsi="Arial"/>
          <w:color w:val="222222"/>
          <w:sz w:val="17"/>
          <w:szCs w:val="17"/>
        </w:rPr>
        <w:t xml:space="preserve">Online Indian classical music platforms, e.g. Darbar Academy (live classes incl. tabla) and myGurukul (masterclasses).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kcdiq7tble1kenmyrjeeb">
        <w:r>
          <w:rPr>
            <w:rFonts w:ascii="Arial" w:cs="Arial" w:eastAsia="Arial" w:hAnsi="Arial"/>
            <w:color w:val="1F4E79"/>
            <w:sz w:val="15"/>
            <w:szCs w:val="15"/>
            <w:u w:val="single"/>
          </w:rPr>
          <w:t xml:space="preserve">https://academy.darbar.org/about</w:t>
        </w:r>
      </w:hyperlink>
    </w:p>
    <w:p>
      <w:pPr>
        <w:pStyle w:val="Heading3"/>
        <w:keepNext/>
      </w:pPr>
      <w:r>
        <w:rPr>
          <w:rFonts w:ascii="Arial" w:cs="Arial" w:eastAsia="Arial" w:hAnsi="Arial"/>
        </w:rPr>
        <w:t xml:space="preserve">H. Trust, cryptography and law</w:t>
      </w:r>
    </w:p>
    <w:p>
      <w:pPr>
        <w:spacing w:after="70" w:line="252"/>
        <w:ind w:left="520" w:hanging="520"/>
      </w:pPr>
      <w:r>
        <w:rPr>
          <w:rFonts w:ascii="Arial" w:cs="Arial" w:eastAsia="Arial" w:hAnsi="Arial"/>
          <w:b/>
          <w:bCs/>
          <w:color w:val="1F4E79"/>
          <w:sz w:val="17"/>
          <w:szCs w:val="17"/>
        </w:rPr>
        <w:t xml:space="preserve">[89]  </w:t>
      </w:r>
      <w:r>
        <w:rPr>
          <w:rFonts w:ascii="Arial" w:cs="Arial" w:eastAsia="Arial" w:hAnsi="Arial"/>
          <w:color w:val="222222"/>
          <w:sz w:val="17"/>
          <w:szCs w:val="17"/>
        </w:rPr>
        <w:t xml:space="preserve">Bernstein, D. J., Duif, N., Lange, T., Schwabe, P., &amp; Yang, B.-Y. (2012). High-speed high-security signatures. Journal of Cryptographic Engineering, 2(2), 77–89.</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[90]  </w:t>
      </w:r>
      <w:r>
        <w:rPr>
          <w:rFonts w:ascii="Arial" w:cs="Arial" w:eastAsia="Arial" w:hAnsi="Arial"/>
          <w:color w:val="222222"/>
          <w:sz w:val="17"/>
          <w:szCs w:val="17"/>
        </w:rPr>
        <w:t xml:space="preserve">Josefsson, S., &amp; Liusvaara, I. (2017). Edwards-Curve Digital Signature Algorithm (EdDSA). RFC 8032.</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[91]  </w:t>
      </w:r>
      <w:r>
        <w:rPr>
          <w:rFonts w:ascii="Arial" w:cs="Arial" w:eastAsia="Arial" w:hAnsi="Arial"/>
          <w:color w:val="222222"/>
          <w:sz w:val="17"/>
          <w:szCs w:val="17"/>
        </w:rPr>
        <w:t xml:space="preserve">Bormann, C., &amp; Hoffman, P. (2020). Concise Binary Object Representation (CBOR). RFC 8949 (section 4.2: deterministic encoding).</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[92]  </w:t>
      </w:r>
      <w:r>
        <w:rPr>
          <w:rFonts w:ascii="Arial" w:cs="Arial" w:eastAsia="Arial" w:hAnsi="Arial"/>
          <w:color w:val="222222"/>
          <w:sz w:val="17"/>
          <w:szCs w:val="17"/>
        </w:rPr>
        <w:t xml:space="preserve">Schaad, J. (2022). CBOR Object Signing and Encryption (COSE): Structures and Process. RFC 9052 (algorithms in RFC 9053).</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v7lk2hqfrdevg-cmswm98">
        <w:r>
          <w:rPr>
            <w:rFonts w:ascii="Arial" w:cs="Arial" w:eastAsia="Arial" w:hAnsi="Arial"/>
            <w:color w:val="1F4E79"/>
            <w:sz w:val="15"/>
            <w:szCs w:val="15"/>
            <w:u w:val="single"/>
          </w:rPr>
          <w:t xml:space="preserve">https://www.rfc-editor.org/rfc/rfc9052.html</w:t>
        </w:r>
      </w:hyperlink>
    </w:p>
    <w:p>
      <w:pPr>
        <w:spacing w:after="70" w:line="252"/>
        <w:ind w:left="520" w:hanging="520"/>
      </w:pPr>
      <w:r>
        <w:rPr>
          <w:rFonts w:ascii="Arial" w:cs="Arial" w:eastAsia="Arial" w:hAnsi="Arial"/>
          <w:b/>
          <w:bCs/>
          <w:color w:val="1F4E79"/>
          <w:sz w:val="17"/>
          <w:szCs w:val="17"/>
        </w:rPr>
        <w:t xml:space="preserve">[93]  </w:t>
      </w:r>
      <w:r>
        <w:rPr>
          <w:rFonts w:ascii="Arial" w:cs="Arial" w:eastAsia="Arial" w:hAnsi="Arial"/>
          <w:color w:val="222222"/>
          <w:sz w:val="17"/>
          <w:szCs w:val="17"/>
        </w:rPr>
        <w:t xml:space="preserve">Coalition for Content Provenance and Authenticity. Content Credentials: C2PA Technical Specification 2.2 (signed manifests with hash bindings; backed by Adobe, Microsoft, Sony and others).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cshkjqb3m3ueqc0t9_wey">
        <w:r>
          <w:rPr>
            <w:rFonts w:ascii="Arial" w:cs="Arial" w:eastAsia="Arial" w:hAnsi="Arial"/>
            <w:color w:val="1F4E79"/>
            <w:sz w:val="15"/>
            <w:szCs w:val="15"/>
            <w:u w:val="single"/>
          </w:rPr>
          <w:t xml:space="preserve">https://spec.c2pa.org/specifications/specifications/2.2/specs/C2PA_Specification</w:t>
        </w:r>
      </w:hyperlink>
    </w:p>
    <w:p>
      <w:pPr>
        <w:spacing w:after="70" w:line="252"/>
        <w:ind w:left="520" w:hanging="520"/>
      </w:pPr>
      <w:r>
        <w:rPr>
          <w:rFonts w:ascii="Arial" w:cs="Arial" w:eastAsia="Arial" w:hAnsi="Arial"/>
          <w:b/>
          <w:bCs/>
          <w:color w:val="1F4E79"/>
          <w:sz w:val="17"/>
          <w:szCs w:val="17"/>
        </w:rPr>
        <w:t xml:space="preserve">[94]  </w:t>
      </w:r>
      <w:r>
        <w:rPr>
          <w:rFonts w:ascii="Arial" w:cs="Arial" w:eastAsia="Arial" w:hAnsi="Arial"/>
          <w:color w:val="222222"/>
          <w:sz w:val="17"/>
          <w:szCs w:val="17"/>
        </w:rPr>
        <w:t xml:space="preserve">W3C (2025). Verifiable Credentials Data Model v2.0. W3C Recommendation, 15 May 2025.</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bs6hvc1opatoszbhnp9hy">
        <w:r>
          <w:rPr>
            <w:rFonts w:ascii="Arial" w:cs="Arial" w:eastAsia="Arial" w:hAnsi="Arial"/>
            <w:color w:val="1F4E79"/>
            <w:sz w:val="15"/>
            <w:szCs w:val="15"/>
            <w:u w:val="single"/>
          </w:rPr>
          <w:t xml:space="preserve">https://www.w3.org/TR/2025/REC-vc-data-model-2.0-20250515/</w:t>
        </w:r>
      </w:hyperlink>
    </w:p>
    <w:p>
      <w:pPr>
        <w:spacing w:after="70" w:line="252"/>
        <w:ind w:left="520" w:hanging="520"/>
      </w:pPr>
      <w:r>
        <w:rPr>
          <w:rFonts w:ascii="Arial" w:cs="Arial" w:eastAsia="Arial" w:hAnsi="Arial"/>
          <w:b/>
          <w:bCs/>
          <w:color w:val="1F4E79"/>
          <w:sz w:val="17"/>
          <w:szCs w:val="17"/>
        </w:rPr>
        <w:t xml:space="preserve">[95]  </w:t>
      </w:r>
      <w:r>
        <w:rPr>
          <w:rFonts w:ascii="Arial" w:cs="Arial" w:eastAsia="Arial" w:hAnsi="Arial"/>
          <w:color w:val="222222"/>
          <w:sz w:val="17"/>
          <w:szCs w:val="17"/>
        </w:rPr>
        <w:t xml:space="preserve">Digital Personal Data Protection Act, 2023; DPDP Rules, 2025, notified 13 November 2025 (consent-manager rule effective after one year; most obligations after 18 months).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gpkrbsrlvavj_ox6dmfzy">
        <w:r>
          <w:rPr>
            <w:rFonts w:ascii="Arial" w:cs="Arial" w:eastAsia="Arial" w:hAnsi="Arial"/>
            <w:color w:val="1F4E79"/>
            <w:sz w:val="15"/>
            <w:szCs w:val="15"/>
            <w:u w:val="single"/>
          </w:rPr>
          <w:t xml:space="preserve">https://lawrbit.com/article/digital-personal-data-protection-rules-2025</w:t>
        </w:r>
      </w:hyperlink>
    </w:p>
    <w:p>
      <w:pPr>
        <w:spacing w:after="70" w:line="252"/>
        <w:ind w:left="520" w:hanging="520"/>
      </w:pPr>
      <w:r>
        <w:rPr>
          <w:rFonts w:ascii="Arial" w:cs="Arial" w:eastAsia="Arial" w:hAnsi="Arial"/>
          <w:b/>
          <w:bCs/>
          <w:color w:val="1F4E79"/>
          <w:sz w:val="17"/>
          <w:szCs w:val="17"/>
        </w:rPr>
        <w:t xml:space="preserve">[96]  </w:t>
      </w:r>
      <w:r>
        <w:rPr>
          <w:rFonts w:ascii="Arial" w:cs="Arial" w:eastAsia="Arial" w:hAnsi="Arial"/>
          <w:color w:val="222222"/>
          <w:sz w:val="17"/>
          <w:szCs w:val="17"/>
        </w:rPr>
        <w:t xml:space="preserve">Copyright Act, 1957 (India), performers' rights, sections 38, 38A, 38B. Read the current official text and take legal advice.</w:t>
      </w:r>
      <w:r>
        <w:rPr>
          <w:rFonts w:ascii="Arial" w:cs="Arial" w:eastAsia="Arial" w:hAnsi="Arial"/>
          <w:b/>
          <w:bCs/>
          <w:color w:val="5E5E5E"/>
          <w:sz w:val="17"/>
          <w:szCs w:val="17"/>
        </w:rPr>
        <w:t xml:space="preserve">  Status: S.</w:t>
      </w:r>
    </w:p>
    <w:p>
      <w:pPr>
        <w:pStyle w:val="Heading3"/>
        <w:keepNext/>
      </w:pPr>
      <w:r>
        <w:rPr>
          <w:rFonts w:ascii="Arial" w:cs="Arial" w:eastAsia="Arial" w:hAnsi="Arial"/>
        </w:rPr>
        <w:t xml:space="preserve">I. Hardware, platforms and market</w:t>
      </w:r>
    </w:p>
    <w:p>
      <w:pPr>
        <w:spacing w:after="70" w:line="252"/>
        <w:ind w:left="520" w:hanging="520"/>
      </w:pPr>
      <w:r>
        <w:rPr>
          <w:rFonts w:ascii="Arial" w:cs="Arial" w:eastAsia="Arial" w:hAnsi="Arial"/>
          <w:b/>
          <w:bCs/>
          <w:color w:val="1F4E79"/>
          <w:sz w:val="17"/>
          <w:szCs w:val="17"/>
        </w:rPr>
        <w:t xml:space="preserve">[97]  </w:t>
      </w:r>
      <w:r>
        <w:rPr>
          <w:rFonts w:ascii="Arial" w:cs="Arial" w:eastAsia="Arial" w:hAnsi="Arial"/>
          <w:color w:val="222222"/>
          <w:sz w:val="17"/>
          <w:szCs w:val="17"/>
        </w:rPr>
        <w:t xml:space="preserve">Texas Instruments. DRV2605L haptic driver for ERM and LRA: smart-loop closed-loop drive with LRA auto-resonance, automatic overdrive and braking, real-time playback over I²C, licensed effect library.</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3ymsozhroxt8rta7vvkez">
        <w:r>
          <w:rPr>
            <w:rFonts w:ascii="Arial" w:cs="Arial" w:eastAsia="Arial" w:hAnsi="Arial"/>
            <w:color w:val="1F4E79"/>
            <w:sz w:val="15"/>
            <w:szCs w:val="15"/>
            <w:u w:val="single"/>
          </w:rPr>
          <w:t xml:space="preserve">https://www.ti.com/product/DRV2605L</w:t>
        </w:r>
      </w:hyperlink>
    </w:p>
    <w:p>
      <w:pPr>
        <w:spacing w:after="70" w:line="252"/>
        <w:ind w:left="520" w:hanging="520"/>
      </w:pPr>
      <w:r>
        <w:rPr>
          <w:rFonts w:ascii="Arial" w:cs="Arial" w:eastAsia="Arial" w:hAnsi="Arial"/>
          <w:b/>
          <w:bCs/>
          <w:color w:val="1F4E79"/>
          <w:sz w:val="17"/>
          <w:szCs w:val="17"/>
        </w:rPr>
        <w:t xml:space="preserve">[98]  </w:t>
      </w:r>
      <w:r>
        <w:rPr>
          <w:rFonts w:ascii="Arial" w:cs="Arial" w:eastAsia="Arial" w:hAnsi="Arial"/>
          <w:color w:val="222222"/>
          <w:sz w:val="17"/>
          <w:szCs w:val="17"/>
        </w:rPr>
        <w:t xml:space="preserve">ESP-NOW versus Wi-Fi on ESP32 edge devices: round-trip latency about 2.4 ms and up to two orders of magnitude less jitter. Proc. 55 JAIIO (SADIO), 2026.</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p2eioqkkwkw0yhob0ijai">
        <w:r>
          <w:rPr>
            <w:rFonts w:ascii="Arial" w:cs="Arial" w:eastAsia="Arial" w:hAnsi="Arial"/>
            <w:color w:val="1F4E79"/>
            <w:sz w:val="15"/>
            <w:szCs w:val="15"/>
            <w:u w:val="single"/>
          </w:rPr>
          <w:t xml:space="preserve">https://55jaiio.sadio.org.ar/wp-content/uploads/2026/07/273.pdf</w:t>
        </w:r>
      </w:hyperlink>
    </w:p>
    <w:p>
      <w:pPr>
        <w:spacing w:after="70" w:line="252"/>
        <w:ind w:left="520" w:hanging="520"/>
      </w:pPr>
      <w:r>
        <w:rPr>
          <w:rFonts w:ascii="Arial" w:cs="Arial" w:eastAsia="Arial" w:hAnsi="Arial"/>
          <w:b/>
          <w:bCs/>
          <w:color w:val="1F4E79"/>
          <w:sz w:val="17"/>
          <w:szCs w:val="17"/>
        </w:rPr>
        <w:t xml:space="preserve">[99]  </w:t>
      </w:r>
      <w:r>
        <w:rPr>
          <w:rFonts w:ascii="Arial" w:cs="Arial" w:eastAsia="Arial" w:hAnsi="Arial"/>
          <w:color w:val="222222"/>
          <w:sz w:val="17"/>
          <w:szCs w:val="17"/>
        </w:rPr>
        <w:t xml:space="preserve">Can I Use: Web Bluetooth. Supported in Chrome (56+) and Edge (79+), incl. Android; not supported in Safari (macOS/iOS) or Firefox.</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lcu4tjnlpnlh5gvajacq5">
        <w:r>
          <w:rPr>
            <w:rFonts w:ascii="Arial" w:cs="Arial" w:eastAsia="Arial" w:hAnsi="Arial"/>
            <w:color w:val="1F4E79"/>
            <w:sz w:val="15"/>
            <w:szCs w:val="15"/>
            <w:u w:val="single"/>
          </w:rPr>
          <w:t xml:space="preserve">https://caniuse.com/web-bluetooth</w:t>
        </w:r>
      </w:hyperlink>
    </w:p>
    <w:p>
      <w:pPr>
        <w:spacing w:after="70" w:line="252"/>
        <w:ind w:left="520" w:hanging="520"/>
      </w:pPr>
      <w:r>
        <w:rPr>
          <w:rFonts w:ascii="Arial" w:cs="Arial" w:eastAsia="Arial" w:hAnsi="Arial"/>
          <w:b/>
          <w:bCs/>
          <w:color w:val="1F4E79"/>
          <w:sz w:val="17"/>
          <w:szCs w:val="17"/>
        </w:rPr>
        <w:t xml:space="preserve">[100]  </w:t>
      </w:r>
      <w:r>
        <w:rPr>
          <w:rFonts w:ascii="Arial" w:cs="Arial" w:eastAsia="Arial" w:hAnsi="Arial"/>
          <w:color w:val="222222"/>
          <w:sz w:val="17"/>
          <w:szCs w:val="17"/>
        </w:rPr>
        <w:t xml:space="preserve">Dementyev, A., et al. (2021). VHP: Vibrotactile Haptics Platform for on-body applications. Google Research; open-source board driving 12 haptic channels.</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abe3olf0aqq7-uqunntyd">
        <w:r>
          <w:rPr>
            <w:rFonts w:ascii="Arial" w:cs="Arial" w:eastAsia="Arial" w:hAnsi="Arial"/>
            <w:color w:val="1F4E79"/>
            <w:sz w:val="15"/>
            <w:szCs w:val="15"/>
            <w:u w:val="single"/>
          </w:rPr>
          <w:t xml:space="preserve">https://research.google/pubs/pub50803/</w:t>
        </w:r>
      </w:hyperlink>
    </w:p>
    <w:p>
      <w:pPr>
        <w:spacing w:after="70" w:line="252"/>
        <w:ind w:left="520" w:hanging="520"/>
      </w:pPr>
      <w:r>
        <w:rPr>
          <w:rFonts w:ascii="Arial" w:cs="Arial" w:eastAsia="Arial" w:hAnsi="Arial"/>
          <w:b/>
          <w:bCs/>
          <w:color w:val="1F4E79"/>
          <w:sz w:val="17"/>
          <w:szCs w:val="17"/>
        </w:rPr>
        <w:t xml:space="preserve">[101]  </w:t>
      </w:r>
      <w:r>
        <w:rPr>
          <w:rFonts w:ascii="Arial" w:cs="Arial" w:eastAsia="Arial" w:hAnsi="Arial"/>
          <w:color w:val="222222"/>
          <w:sz w:val="17"/>
          <w:szCs w:val="17"/>
        </w:rPr>
        <w:t xml:space="preserve">Rokhmanova, N., et al. (2025). ARIADNE: a portable open-source platform for vibrotactile motion guidance. Max Planck Institute for Intelligent Systems.</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xxf8ws0udlmu5nxfg1nja">
        <w:r>
          <w:rPr>
            <w:rFonts w:ascii="Arial" w:cs="Arial" w:eastAsia="Arial" w:hAnsi="Arial"/>
            <w:color w:val="1F4E79"/>
            <w:sz w:val="15"/>
            <w:szCs w:val="15"/>
            <w:u w:val="single"/>
          </w:rPr>
          <w:t xml:space="preserve">https://is.mpg.de/publications/rokhmanova25-d-ariadne</w:t>
        </w:r>
      </w:hyperlink>
    </w:p>
    <w:p>
      <w:pPr>
        <w:spacing w:after="70" w:line="252"/>
        <w:ind w:left="520" w:hanging="520"/>
      </w:pPr>
      <w:r>
        <w:rPr>
          <w:rFonts w:ascii="Arial" w:cs="Arial" w:eastAsia="Arial" w:hAnsi="Arial"/>
          <w:b/>
          <w:bCs/>
          <w:color w:val="1F4E79"/>
          <w:sz w:val="17"/>
          <w:szCs w:val="17"/>
        </w:rPr>
        <w:t xml:space="preserve">[102]  </w:t>
      </w:r>
      <w:r>
        <w:rPr>
          <w:rFonts w:ascii="Arial" w:cs="Arial" w:eastAsia="Arial" w:hAnsi="Arial"/>
          <w:color w:val="222222"/>
          <w:sz w:val="17"/>
          <w:szCs w:val="17"/>
        </w:rPr>
        <w:t xml:space="preserve">Haptic technology market estimates: about US$3.8 billion (2024) rising to US$6.3 billion (2031) (Meticulous Research); US$4.3 billion in 2024 (GM Insights). Estimates vary with market definition.</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jtrwua46rxxlldkcxulim">
        <w:r>
          <w:rPr>
            <w:rFonts w:ascii="Arial" w:cs="Arial" w:eastAsia="Arial" w:hAnsi="Arial"/>
            <w:color w:val="1F4E79"/>
            <w:sz w:val="15"/>
            <w:szCs w:val="15"/>
            <w:u w:val="single"/>
          </w:rPr>
          <w:t xml:space="preserve">https://www.meticulousresearch.com/product/haptic-technology-market-6073</w:t>
        </w:r>
      </w:hyperlink>
    </w:p>
    <w:p>
      <w:pPr>
        <w:pStyle w:val="Heading3"/>
        <w:keepNext/>
      </w:pPr>
      <w:r>
        <w:rPr>
          <w:rFonts w:ascii="Arial" w:cs="Arial" w:eastAsia="Arial" w:hAnsi="Arial"/>
        </w:rPr>
        <w:t xml:space="preserve">K. Style, micro-timing and performer identification (added in v2)</w:t>
      </w:r>
    </w:p>
    <w:p>
      <w:pPr>
        <w:spacing w:after="70" w:line="252"/>
        <w:ind w:left="520" w:hanging="520"/>
      </w:pPr>
      <w:r>
        <w:rPr>
          <w:rFonts w:ascii="Arial" w:cs="Arial" w:eastAsia="Arial" w:hAnsi="Arial"/>
          <w:b/>
          <w:bCs/>
          <w:color w:val="1F4E79"/>
          <w:sz w:val="17"/>
          <w:szCs w:val="17"/>
        </w:rPr>
        <w:t xml:space="preserve">[103]  </w:t>
      </w:r>
      <w:r>
        <w:rPr>
          <w:rFonts w:ascii="Arial" w:cs="Arial" w:eastAsia="Arial" w:hAnsi="Arial"/>
          <w:color w:val="222222"/>
          <w:sz w:val="17"/>
          <w:szCs w:val="17"/>
        </w:rPr>
        <w:t xml:space="preserve">Srinivasamurthy, A., Holzapfel, A., Ganguli, K. K., &amp; Serra, X. (2017). Aspects of tempo and rhythmic elaboration in Hindustani music: a corpus study. Frontiers in Digital Humanities, 4, 20. Large-corpus analysis of intra-cycle tempo patterns and percussion accent (stress) patterns at different positions of the tal cycle.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kglg2favzzfp8jt2hicak">
        <w:r>
          <w:rPr>
            <w:rFonts w:ascii="Arial" w:cs="Arial" w:eastAsia="Arial" w:hAnsi="Arial"/>
            <w:color w:val="1F4E79"/>
            <w:sz w:val="15"/>
            <w:szCs w:val="15"/>
            <w:u w:val="single"/>
          </w:rPr>
          <w:t xml:space="preserve">https://compmusic.upf.edu/corpus-analysis-hindustani</w:t>
        </w:r>
      </w:hyperlink>
    </w:p>
    <w:p>
      <w:pPr>
        <w:spacing w:after="70" w:line="252"/>
        <w:ind w:left="520" w:hanging="520"/>
      </w:pPr>
      <w:r>
        <w:rPr>
          <w:rFonts w:ascii="Arial" w:cs="Arial" w:eastAsia="Arial" w:hAnsi="Arial"/>
          <w:b/>
          <w:bCs/>
          <w:color w:val="1F4E79"/>
          <w:sz w:val="17"/>
          <w:szCs w:val="17"/>
        </w:rPr>
        <w:t xml:space="preserve">[104]  </w:t>
      </w:r>
      <w:r>
        <w:rPr>
          <w:rFonts w:ascii="Arial" w:cs="Arial" w:eastAsia="Arial" w:hAnsi="Arial"/>
          <w:color w:val="222222"/>
          <w:sz w:val="17"/>
          <w:szCs w:val="17"/>
        </w:rPr>
        <w:t xml:space="preserve">Gowriprasad, R., Venkatesh, V., Murthy, H. A., Aravind, R., &amp; Murty, K. S. R. (2021). Tabla gharana recognition from audio music recordings of tabla solo performances. Proc. ISMIR 2021. Gharana recognised from audio using pattern search and CNN-LSTM models; dataset of over 38 hours of tabla solos.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1jdskmz9m0nog_xs71ccw">
        <w:r>
          <w:rPr>
            <w:rFonts w:ascii="Arial" w:cs="Arial" w:eastAsia="Arial" w:hAnsi="Arial"/>
            <w:color w:val="1F4E79"/>
            <w:sz w:val="15"/>
            <w:szCs w:val="15"/>
            <w:u w:val="single"/>
          </w:rPr>
          <w:t xml:space="preserve">https://publications.iith.ac.in/publication/tabla-gharana-recognition-from-tabla-solo-recordings</w:t>
        </w:r>
      </w:hyperlink>
    </w:p>
    <w:p>
      <w:pPr>
        <w:spacing w:after="70" w:line="252"/>
        <w:ind w:left="520" w:hanging="520"/>
      </w:pPr>
      <w:r>
        <w:rPr>
          <w:rFonts w:ascii="Arial" w:cs="Arial" w:eastAsia="Arial" w:hAnsi="Arial"/>
          <w:b/>
          <w:bCs/>
          <w:color w:val="1F4E79"/>
          <w:sz w:val="17"/>
          <w:szCs w:val="17"/>
        </w:rPr>
        <w:t xml:space="preserve">[105]  </w:t>
      </w:r>
      <w:r>
        <w:rPr>
          <w:rFonts w:ascii="Arial" w:cs="Arial" w:eastAsia="Arial" w:hAnsi="Arial"/>
          <w:color w:val="222222"/>
          <w:sz w:val="17"/>
          <w:szCs w:val="17"/>
        </w:rPr>
        <w:t xml:space="preserve">Stamatatos, E., &amp; Widmer, G. (2005). Automatic identification of music performers with learning ensembles. Artificial Intelligence, 165(1), 37–56.</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[106]  </w:t>
      </w:r>
      <w:r>
        <w:rPr>
          <w:rFonts w:ascii="Arial" w:cs="Arial" w:eastAsia="Arial" w:hAnsi="Arial"/>
          <w:color w:val="222222"/>
          <w:sz w:val="17"/>
          <w:szCs w:val="17"/>
        </w:rPr>
        <w:t xml:space="preserve">Repp, B. H. (1992). Diversity and commonality in music performance: an analysis of timing microstructure in Schumann's 'Träumerei'. Journal of the Acoustical Society of America, 92, 2546–2568. 28 recorded performances: shared timing principles plus individual timing signatures.</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[107]  </w:t>
      </w:r>
      <w:r>
        <w:rPr>
          <w:rFonts w:ascii="Arial" w:cs="Arial" w:eastAsia="Arial" w:hAnsi="Arial"/>
          <w:color w:val="222222"/>
          <w:sz w:val="17"/>
          <w:szCs w:val="17"/>
        </w:rPr>
        <w:t xml:space="preserve">Carter, D. S., &amp; von Appen, R. (2025). Finding a fingerprint: microtiming and tempo variability in five renowned rock drummers. Revue musicale OICRM, 12(2). 79 recordings; each drummer showed a distinctive timing profile (e.g. delayed vs early backbeats).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v2ucxxf62cgbauvco8of4">
        <w:r>
          <w:rPr>
            <w:rFonts w:ascii="Arial" w:cs="Arial" w:eastAsia="Arial" w:hAnsi="Arial"/>
            <w:color w:val="1F4E79"/>
            <w:sz w:val="15"/>
            <w:szCs w:val="15"/>
            <w:u w:val="single"/>
          </w:rPr>
          <w:t xml:space="preserve">https://revuemusicaleoicrm.org/vol12-n2/microtiming-tempo-variability-rock-drummers/</w:t>
        </w:r>
      </w:hyperlink>
    </w:p>
    <w:p>
      <w:pPr>
        <w:spacing w:after="70" w:line="252"/>
        <w:ind w:left="520" w:hanging="520"/>
      </w:pPr>
      <w:r>
        <w:rPr>
          <w:rFonts w:ascii="Arial" w:cs="Arial" w:eastAsia="Arial" w:hAnsi="Arial"/>
          <w:b/>
          <w:bCs/>
          <w:color w:val="1F4E79"/>
          <w:sz w:val="17"/>
          <w:szCs w:val="17"/>
        </w:rPr>
        <w:t xml:space="preserve">[108]  </w:t>
      </w:r>
      <w:r>
        <w:rPr>
          <w:rFonts w:ascii="Arial" w:cs="Arial" w:eastAsia="Arial" w:hAnsi="Arial"/>
          <w:color w:val="222222"/>
          <w:sz w:val="17"/>
          <w:szCs w:val="17"/>
        </w:rPr>
        <w:t xml:space="preserve">'Drummistic fingerprints': unique drummer identification from performance data with k-nearest neighbours and gradient-boosted ensembles. Atlantic Technological University research output.</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f-_c-jvitgtq2-e5u_bnx">
        <w:r>
          <w:rPr>
            <w:rFonts w:ascii="Arial" w:cs="Arial" w:eastAsia="Arial" w:hAnsi="Arial"/>
            <w:color w:val="1F4E79"/>
            <w:sz w:val="15"/>
            <w:szCs w:val="15"/>
            <w:u w:val="single"/>
          </w:rPr>
          <w:t xml:space="preserve">https://pure.atu.ie/en/publications/drummistic-fingerprints-unique-drummer-identification-via-the-app-3/</w:t>
        </w:r>
      </w:hyperlink>
    </w:p>
    <w:p>
      <w:pPr>
        <w:spacing w:after="70" w:line="252"/>
        <w:ind w:left="520" w:hanging="520"/>
      </w:pPr>
      <w:r>
        <w:rPr>
          <w:rFonts w:ascii="Arial" w:cs="Arial" w:eastAsia="Arial" w:hAnsi="Arial"/>
          <w:b/>
          <w:bCs/>
          <w:color w:val="1F4E79"/>
          <w:sz w:val="17"/>
          <w:szCs w:val="17"/>
        </w:rPr>
        <w:t xml:space="preserve">[109]  </w:t>
      </w:r>
      <w:r>
        <w:rPr>
          <w:rFonts w:ascii="Arial" w:cs="Arial" w:eastAsia="Arial" w:hAnsi="Arial"/>
          <w:color w:val="222222"/>
          <w:sz w:val="17"/>
          <w:szCs w:val="17"/>
        </w:rPr>
        <w:t xml:space="preserve">Frühauf, J., Kopiez, R., &amp; Platz, F. (2013). Music on the timing grid: the influence of microtiming on the perceived groove quality of a simple drum pattern performance. Musicae Scientiae. N = 93 listeners rated shifts of ±15 and ±25 ms; quality ratings changed with the deviation.</w:t>
      </w:r>
      <w:r>
        <w:rPr>
          <w:rFonts w:ascii="Arial" w:cs="Arial" w:eastAsia="Arial" w:hAnsi="Arial"/>
          <w:b/>
          <w:bCs/>
          <w:color w:val="B8901A"/>
          <w:sz w:val="17"/>
          <w:szCs w:val="17"/>
        </w:rPr>
        <w:t xml:space="preserve">  Status: P.</w:t>
      </w:r>
    </w:p>
    <w:p>
      <w:pPr>
        <w:spacing w:after="70" w:line="252"/>
        <w:ind w:left="520" w:hanging="520"/>
      </w:pPr>
      <w:r>
        <w:rPr>
          <w:rFonts w:ascii="Arial" w:cs="Arial" w:eastAsia="Arial" w:hAnsi="Arial"/>
          <w:b/>
          <w:bCs/>
          <w:color w:val="1F4E79"/>
          <w:sz w:val="17"/>
          <w:szCs w:val="17"/>
        </w:rPr>
        <w:t xml:space="preserve">[110]  </w:t>
      </w:r>
      <w:r>
        <w:rPr>
          <w:rFonts w:ascii="Arial" w:cs="Arial" w:eastAsia="Arial" w:hAnsi="Arial"/>
          <w:color w:val="222222"/>
          <w:sz w:val="17"/>
          <w:szCs w:val="17"/>
        </w:rPr>
        <w:t xml:space="preserve">Friberg, A., &amp; Sundberg, J. (1995). Time discrimination in a monotonic, isochronous sequence. Journal of the Acoustical Society of America. Auditory JND for a displaced tone about 10 ms for intervals below ~240 ms, about 5% of the interval above.</w:t>
      </w:r>
      <w:r>
        <w:rPr>
          <w:rFonts w:ascii="Arial" w:cs="Arial" w:eastAsia="Arial" w:hAnsi="Arial"/>
          <w:b/>
          <w:bCs/>
          <w:color w:val="B8901A"/>
          <w:sz w:val="17"/>
          <w:szCs w:val="17"/>
        </w:rPr>
        <w:t xml:space="preserve">  Status: P.</w:t>
      </w:r>
    </w:p>
    <w:p>
      <w:pPr>
        <w:spacing w:after="70" w:line="252"/>
        <w:ind w:left="520" w:hanging="520"/>
      </w:pPr>
      <w:r>
        <w:rPr>
          <w:rFonts w:ascii="Arial" w:cs="Arial" w:eastAsia="Arial" w:hAnsi="Arial"/>
          <w:b/>
          <w:bCs/>
          <w:color w:val="1F4E79"/>
          <w:sz w:val="17"/>
          <w:szCs w:val="17"/>
        </w:rPr>
        <w:t xml:space="preserve">[111]  </w:t>
      </w:r>
      <w:r>
        <w:rPr>
          <w:rFonts w:ascii="Arial" w:cs="Arial" w:eastAsia="Arial" w:hAnsi="Arial"/>
          <w:color w:val="222222"/>
          <w:sz w:val="17"/>
          <w:szCs w:val="17"/>
        </w:rPr>
        <w:t xml:space="preserve">Bhake, Y., &amp; Rao, P. (2025). Expressive timing in Hindustani vocal music. arXiv:2503.21142 (IIT Bombay). Onset deviations from the tabla beat measured as a fraction of the beat interval.</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x1iuvojltecupcnkjxeh0">
        <w:r>
          <w:rPr>
            <w:rFonts w:ascii="Arial" w:cs="Arial" w:eastAsia="Arial" w:hAnsi="Arial"/>
            <w:color w:val="1F4E79"/>
            <w:sz w:val="15"/>
            <w:szCs w:val="15"/>
            <w:u w:val="single"/>
          </w:rPr>
          <w:t xml:space="preserve">https://arxiv.org/abs/2503.21142</w:t>
        </w:r>
      </w:hyperlink>
    </w:p>
    <w:p>
      <w:pPr>
        <w:pStyle w:val="Heading3"/>
        <w:keepNext/>
      </w:pPr>
      <w:r>
        <w:rPr>
          <w:rFonts w:ascii="Arial" w:cs="Arial" w:eastAsia="Arial" w:hAnsi="Arial"/>
        </w:rPr>
        <w:t xml:space="preserve">L. Touch during movement and tactile timing (added in v2)</w:t>
      </w:r>
    </w:p>
    <w:p>
      <w:pPr>
        <w:spacing w:after="70" w:line="252"/>
        <w:ind w:left="520" w:hanging="520"/>
      </w:pPr>
      <w:r>
        <w:rPr>
          <w:rFonts w:ascii="Arial" w:cs="Arial" w:eastAsia="Arial" w:hAnsi="Arial"/>
          <w:b/>
          <w:bCs/>
          <w:color w:val="1F4E79"/>
          <w:sz w:val="17"/>
          <w:szCs w:val="17"/>
        </w:rPr>
        <w:t xml:space="preserve">[112]  </w:t>
      </w:r>
      <w:r>
        <w:rPr>
          <w:rFonts w:ascii="Arial" w:cs="Arial" w:eastAsia="Arial" w:hAnsi="Arial"/>
          <w:color w:val="222222"/>
          <w:sz w:val="17"/>
          <w:szCs w:val="17"/>
        </w:rPr>
        <w:t xml:space="preserve">Juravle, G., Binsted, G., &amp; Spence, C. (2017). Tactile suppression in goal-directed movement. Psychonomic Bulletin &amp; Review, 24(4), 1060–1076. DOI 10.3758/s13423-016-1203-6. Tactile sensitivity drops shortly before and during movement.</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[113]  </w:t>
      </w:r>
      <w:r>
        <w:rPr>
          <w:rFonts w:ascii="Arial" w:cs="Arial" w:eastAsia="Arial" w:hAnsi="Arial"/>
          <w:color w:val="222222"/>
          <w:sz w:val="17"/>
          <w:szCs w:val="17"/>
        </w:rPr>
        <w:t xml:space="preserve">Williams, S. R., Shenasa, J., &amp; Chapman, C. E. (1998). Time course and magnitude of movement-related gating of tactile detection in humans. Journal of Neurophysiology. Detection on the moving digit dropped most around EMG onset, 25–45 ms before movement onset; the drop was largest for weak stimuli and smaller for strong ones.</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[114]  </w:t>
      </w:r>
      <w:r>
        <w:rPr>
          <w:rFonts w:ascii="Arial" w:cs="Arial" w:eastAsia="Arial" w:hAnsi="Arial"/>
          <w:color w:val="222222"/>
          <w:sz w:val="17"/>
          <w:szCs w:val="17"/>
        </w:rPr>
        <w:t xml:space="preserve">Lauzon, A. P., Russo, F. A., &amp; Harris, L. R. (2020). The influence of rhythm on detection of auditory and vibrotactile asynchrony. Experimental Brain Research. Vibrotactile asynchrony thresholds typically 10–30 ms (sometimes far higher), worse than auditory; a rhythmic context helped audio but not touch.</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chajtupok0sjh7bnga-ps">
        <w:r>
          <w:rPr>
            <w:rFonts w:ascii="Arial" w:cs="Arial" w:eastAsia="Arial" w:hAnsi="Arial"/>
            <w:color w:val="1F4E79"/>
            <w:sz w:val="15"/>
            <w:szCs w:val="15"/>
            <w:u w:val="single"/>
          </w:rPr>
          <w:t xml:space="preserve">https://www.ncbi.nlm.nih.gov/pmc/articles/PMC7181424/</w:t>
        </w:r>
      </w:hyperlink>
    </w:p>
    <w:p>
      <w:pPr>
        <w:pStyle w:val="Heading3"/>
        <w:keepNext/>
      </w:pPr>
      <w:r>
        <w:rPr>
          <w:rFonts w:ascii="Arial" w:cs="Arial" w:eastAsia="Arial" w:hAnsi="Arial"/>
        </w:rPr>
        <w:t xml:space="preserve">M. Cultural data governance, identity and archives (added in v2)</w:t>
      </w:r>
    </w:p>
    <w:p>
      <w:pPr>
        <w:spacing w:after="70" w:line="252"/>
        <w:ind w:left="520" w:hanging="520"/>
      </w:pPr>
      <w:r>
        <w:rPr>
          <w:rFonts w:ascii="Arial" w:cs="Arial" w:eastAsia="Arial" w:hAnsi="Arial"/>
          <w:b/>
          <w:bCs/>
          <w:color w:val="1F4E79"/>
          <w:sz w:val="17"/>
          <w:szCs w:val="17"/>
        </w:rPr>
        <w:t xml:space="preserve">[115]  </w:t>
      </w:r>
      <w:r>
        <w:rPr>
          <w:rFonts w:ascii="Arial" w:cs="Arial" w:eastAsia="Arial" w:hAnsi="Arial"/>
          <w:color w:val="222222"/>
          <w:sz w:val="17"/>
          <w:szCs w:val="17"/>
        </w:rPr>
        <w:t xml:space="preserve">Carroll, S. R., Garba, I., Figueroa-Rodríguez, O. L., Holbrook, J., Lovett, R., et al. (2020). The CARE Principles for Indigenous Data Governance (Collective benefit, Authority to control, Responsibility, Ethics). Data Science Journal, 19, 43. DOI 10.5334/dsj-2020-043.</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[116]  </w:t>
      </w:r>
      <w:r>
        <w:rPr>
          <w:rFonts w:ascii="Arial" w:cs="Arial" w:eastAsia="Arial" w:hAnsi="Arial"/>
          <w:color w:val="222222"/>
          <w:sz w:val="17"/>
          <w:szCs w:val="17"/>
        </w:rPr>
        <w:t xml:space="preserve">Wilkinson, M. D., et al. (2016). The FAIR Guiding Principles for scientific data management and stewardship. Scientific Data, 3, 160018.</w:t>
      </w:r>
      <w:r>
        <w:rPr>
          <w:rFonts w:ascii="Arial" w:cs="Arial" w:eastAsia="Arial" w:hAnsi="Arial"/>
          <w:b/>
          <w:bCs/>
          <w:color w:val="2E6B3A"/>
          <w:sz w:val="17"/>
          <w:szCs w:val="17"/>
        </w:rPr>
        <w:t xml:space="preserve">  Status: V.</w:t>
      </w:r>
    </w:p>
    <w:p>
      <w:pPr>
        <w:spacing w:after="70" w:line="252"/>
        <w:ind w:left="520" w:hanging="520"/>
      </w:pPr>
      <w:r>
        <w:rPr>
          <w:rFonts w:ascii="Arial" w:cs="Arial" w:eastAsia="Arial" w:hAnsi="Arial"/>
          <w:b/>
          <w:bCs/>
          <w:color w:val="1F4E79"/>
          <w:sz w:val="17"/>
          <w:szCs w:val="17"/>
        </w:rPr>
        <w:t xml:space="preserve">[117]  </w:t>
      </w:r>
      <w:r>
        <w:rPr>
          <w:rFonts w:ascii="Arial" w:cs="Arial" w:eastAsia="Arial" w:hAnsi="Arial"/>
          <w:color w:val="222222"/>
          <w:sz w:val="17"/>
          <w:szCs w:val="17"/>
        </w:rPr>
        <w:t xml:space="preserve">Local Contexts (founded 2010 by J. Anderson and K. Christen). Traditional Knowledge (TK) and Biocultural (BC) Labels and Notices: machine-readable markers of provenance, attribution and community conditions of use.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oixqlvso6rdaq9pnegm4i">
        <w:r>
          <w:rPr>
            <w:rFonts w:ascii="Arial" w:cs="Arial" w:eastAsia="Arial" w:hAnsi="Arial"/>
            <w:color w:val="1F4E79"/>
            <w:sz w:val="15"/>
            <w:szCs w:val="15"/>
            <w:u w:val="single"/>
          </w:rPr>
          <w:t xml:space="preserve">https://localcontexts.org/</w:t>
        </w:r>
      </w:hyperlink>
    </w:p>
    <w:p>
      <w:pPr>
        <w:spacing w:after="70" w:line="252"/>
        <w:ind w:left="520" w:hanging="520"/>
      </w:pPr>
      <w:r>
        <w:rPr>
          <w:rFonts w:ascii="Arial" w:cs="Arial" w:eastAsia="Arial" w:hAnsi="Arial"/>
          <w:b/>
          <w:bCs/>
          <w:color w:val="1F4E79"/>
          <w:sz w:val="17"/>
          <w:szCs w:val="17"/>
        </w:rPr>
        <w:t xml:space="preserve">[118]  </w:t>
      </w:r>
      <w:r>
        <w:rPr>
          <w:rFonts w:ascii="Arial" w:cs="Arial" w:eastAsia="Arial" w:hAnsi="Arial"/>
          <w:color w:val="222222"/>
          <w:sz w:val="17"/>
          <w:szCs w:val="17"/>
        </w:rPr>
        <w:t xml:space="preserve">WIPO Intergovernmental Committee on IP and Genetic Resources, Traditional Knowledge and Folklore: the GRATK Treaty was adopted in May 2024; the 2026–2027 mandate continues work on traditional knowledge and traditional cultural expressions.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pwmmwnmmiawilwlwxgsqi">
        <w:r>
          <w:rPr>
            <w:rFonts w:ascii="Arial" w:cs="Arial" w:eastAsia="Arial" w:hAnsi="Arial"/>
            <w:color w:val="1F4E79"/>
            <w:sz w:val="15"/>
            <w:szCs w:val="15"/>
            <w:u w:val="single"/>
          </w:rPr>
          <w:t xml:space="preserve">https://www.wipo.int/tk/en/igc/</w:t>
        </w:r>
      </w:hyperlink>
    </w:p>
    <w:p>
      <w:pPr>
        <w:spacing w:after="70" w:line="252"/>
        <w:ind w:left="520" w:hanging="520"/>
      </w:pPr>
      <w:r>
        <w:rPr>
          <w:rFonts w:ascii="Arial" w:cs="Arial" w:eastAsia="Arial" w:hAnsi="Arial"/>
          <w:b/>
          <w:bCs/>
          <w:color w:val="1F4E79"/>
          <w:sz w:val="17"/>
          <w:szCs w:val="17"/>
        </w:rPr>
        <w:t xml:space="preserve">[119]  </w:t>
      </w:r>
      <w:r>
        <w:rPr>
          <w:rFonts w:ascii="Arial" w:cs="Arial" w:eastAsia="Arial" w:hAnsi="Arial"/>
          <w:color w:val="222222"/>
          <w:sz w:val="17"/>
          <w:szCs w:val="17"/>
        </w:rPr>
        <w:t xml:space="preserve">W3C (2026). Web Authentication: An API for accessing Public Key Credentials, Level 3. W3C Recommendation, 25 August 2026. FIDO Alliance: over one billion people have activated a passkey; over 15 billion accounts support passkeys.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xmwjegvupoh5bx_t5t5gl">
        <w:r>
          <w:rPr>
            <w:rFonts w:ascii="Arial" w:cs="Arial" w:eastAsia="Arial" w:hAnsi="Arial"/>
            <w:color w:val="1F4E79"/>
            <w:sz w:val="15"/>
            <w:szCs w:val="15"/>
            <w:u w:val="single"/>
          </w:rPr>
          <w:t xml:space="preserve">https://fidoalliance.org/webauthn-level-3-is-now-a-w3c-recommendation/</w:t>
        </w:r>
      </w:hyperlink>
    </w:p>
    <w:p>
      <w:pPr>
        <w:spacing w:after="70" w:line="252"/>
        <w:ind w:left="520" w:hanging="520"/>
      </w:pPr>
      <w:r>
        <w:rPr>
          <w:rFonts w:ascii="Arial" w:cs="Arial" w:eastAsia="Arial" w:hAnsi="Arial"/>
          <w:b/>
          <w:bCs/>
          <w:color w:val="1F4E79"/>
          <w:sz w:val="17"/>
          <w:szCs w:val="17"/>
        </w:rPr>
        <w:t xml:space="preserve">[120]  </w:t>
      </w:r>
      <w:r>
        <w:rPr>
          <w:rFonts w:ascii="Arial" w:cs="Arial" w:eastAsia="Arial" w:hAnsi="Arial"/>
          <w:color w:val="222222"/>
          <w:sz w:val="17"/>
          <w:szCs w:val="17"/>
        </w:rPr>
        <w:t xml:space="preserve">National Cultural Audiovisual Archives (NCAA), hosted by IGNCA since 2014: over 3,00,000 hours of audiovisual material identified in about 300 institutions, over 23,000 hours digitised; first trusted digital repository certified to ISO 16363.</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215x9hefuf8gdx25mcbn">
        <w:r>
          <w:rPr>
            <w:rFonts w:ascii="Arial" w:cs="Arial" w:eastAsia="Arial" w:hAnsi="Arial"/>
            <w:color w:val="1F4E79"/>
            <w:sz w:val="15"/>
            <w:szCs w:val="15"/>
            <w:u w:val="single"/>
          </w:rPr>
          <w:t xml:space="preserve">https://ncaa.gov.in/repository/common/about</w:t>
        </w:r>
      </w:hyperlink>
    </w:p>
    <w:p>
      <w:pPr>
        <w:pStyle w:val="Heading3"/>
        <w:keepNext/>
      </w:pPr>
      <w:r>
        <w:rPr>
          <w:rFonts w:ascii="Arial" w:cs="Arial" w:eastAsia="Arial" w:hAnsi="Arial"/>
        </w:rPr>
        <w:t xml:space="preserve">N. Engineering, cost and access (added in v2)</w:t>
      </w:r>
    </w:p>
    <w:p>
      <w:pPr>
        <w:spacing w:after="70" w:line="252"/>
        <w:ind w:left="520" w:hanging="520"/>
      </w:pPr>
      <w:r>
        <w:rPr>
          <w:rFonts w:ascii="Arial" w:cs="Arial" w:eastAsia="Arial" w:hAnsi="Arial"/>
          <w:b/>
          <w:bCs/>
          <w:color w:val="1F4E79"/>
          <w:sz w:val="17"/>
          <w:szCs w:val="17"/>
        </w:rPr>
        <w:t xml:space="preserve">[121]  </w:t>
      </w:r>
      <w:r>
        <w:rPr>
          <w:rFonts w:ascii="Arial" w:cs="Arial" w:eastAsia="Arial" w:hAnsi="Arial"/>
          <w:color w:val="222222"/>
          <w:sz w:val="17"/>
          <w:szCs w:val="17"/>
        </w:rPr>
        <w:t xml:space="preserve">TensorFlow Lite Micro keyword spotting on ESP32-S3: a 1-second audio window processed in about 30–100 ms on the device (practitioner benchmark guides; vector instructions and 240 MHz dual core).</w:t>
      </w:r>
      <w:r>
        <w:rPr>
          <w:rFonts w:ascii="Arial" w:cs="Arial" w:eastAsia="Arial" w:hAnsi="Arial"/>
          <w:b/>
          <w:bCs/>
          <w:color w:val="B8901A"/>
          <w:sz w:val="17"/>
          <w:szCs w:val="17"/>
        </w:rPr>
        <w:t xml:space="preserve">  Status: P.</w:t>
      </w:r>
      <w:r>
        <w:rPr>
          <w:rFonts w:ascii="Arial" w:cs="Arial" w:eastAsia="Arial" w:hAnsi="Arial"/>
          <w:sz w:val="17"/>
          <w:szCs w:val="17"/>
        </w:rPr>
        <w:t xml:space="preserve">  </w:t>
      </w:r>
      <w:hyperlink w:history="1" r:id="rIdby1axcr3g1nwbt2hwk9-p">
        <w:r>
          <w:rPr>
            <w:rFonts w:ascii="Arial" w:cs="Arial" w:eastAsia="Arial" w:hAnsi="Arial"/>
            <w:color w:val="1F4E79"/>
            <w:sz w:val="15"/>
            <w:szCs w:val="15"/>
            <w:u w:val="single"/>
          </w:rPr>
          <w:t xml:space="preserve">https://zbotic.in/esp32-edge-ai-run-tensorflow-lite-micro-on-microcontroller/</w:t>
        </w:r>
      </w:hyperlink>
    </w:p>
    <w:p>
      <w:pPr>
        <w:spacing w:after="70" w:line="252"/>
        <w:ind w:left="520" w:hanging="520"/>
      </w:pPr>
      <w:r>
        <w:rPr>
          <w:rFonts w:ascii="Arial" w:cs="Arial" w:eastAsia="Arial" w:hAnsi="Arial"/>
          <w:b/>
          <w:bCs/>
          <w:color w:val="1F4E79"/>
          <w:sz w:val="17"/>
          <w:szCs w:val="17"/>
        </w:rPr>
        <w:t xml:space="preserve">[122]  </w:t>
      </w:r>
      <w:r>
        <w:rPr>
          <w:rFonts w:ascii="Arial" w:cs="Arial" w:eastAsia="Arial" w:hAnsi="Arial"/>
          <w:color w:val="222222"/>
          <w:sz w:val="17"/>
          <w:szCs w:val="17"/>
        </w:rPr>
        <w:t xml:space="preserve">Maróti, M., Kusy, B., Simon, G., &amp; Lédeczi, Á. (2004). The flooding time synchronization protocol. Proc. ACM SenSys 2004, 39–49. MAC-layer timestamps plus linear-regression skew compensation: 1.4 µs average error on MICA2 motes.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eidnipugbcuumytqvwweb">
        <w:r>
          <w:rPr>
            <w:rFonts w:ascii="Arial" w:cs="Arial" w:eastAsia="Arial" w:hAnsi="Arial"/>
            <w:color w:val="1F4E79"/>
            <w:sz w:val="15"/>
            <w:szCs w:val="15"/>
            <w:u w:val="single"/>
          </w:rPr>
          <w:t xml:space="preserve">https://archive.isis.vanderbilt.edu/node/3600</w:t>
        </w:r>
      </w:hyperlink>
    </w:p>
    <w:p>
      <w:pPr>
        <w:spacing w:after="70" w:line="252"/>
        <w:ind w:left="520" w:hanging="520"/>
      </w:pPr>
      <w:r>
        <w:rPr>
          <w:rFonts w:ascii="Arial" w:cs="Arial" w:eastAsia="Arial" w:hAnsi="Arial"/>
          <w:b/>
          <w:bCs/>
          <w:color w:val="1F4E79"/>
          <w:sz w:val="17"/>
          <w:szCs w:val="17"/>
        </w:rPr>
        <w:t xml:space="preserve">[123]  </w:t>
      </w:r>
      <w:r>
        <w:rPr>
          <w:rFonts w:ascii="Arial" w:cs="Arial" w:eastAsia="Arial" w:hAnsi="Arial"/>
          <w:color w:val="222222"/>
          <w:sz w:val="17"/>
          <w:szCs w:val="17"/>
        </w:rPr>
        <w:t xml:space="preserve">Component reference prices, October 2026: DRV2605LDGSR from US$0.72 (LCSC volume reference); ESP32-C3-MINI-1-N4 from US$1.01; BMI270 IMU from US$1.26; 8 mm 235 Hz coin LRA US$5.15 at 1–9 units (Precision Microdrives). Volume prices vary.</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wrv_d2aq6sqqskbqi2y0r">
        <w:r>
          <w:rPr>
            <w:rFonts w:ascii="Arial" w:cs="Arial" w:eastAsia="Arial" w:hAnsi="Arial"/>
            <w:color w:val="1F4E79"/>
            <w:sz w:val="15"/>
            <w:szCs w:val="15"/>
            <w:u w:val="single"/>
          </w:rPr>
          <w:t xml:space="preserve">https://www.lcsc.com/product-image/C527464.html</w:t>
        </w:r>
      </w:hyperlink>
    </w:p>
    <w:p>
      <w:pPr>
        <w:spacing w:after="70" w:line="252"/>
        <w:ind w:left="520" w:hanging="520"/>
      </w:pPr>
      <w:r>
        <w:rPr>
          <w:rFonts w:ascii="Arial" w:cs="Arial" w:eastAsia="Arial" w:hAnsi="Arial"/>
          <w:b/>
          <w:bCs/>
          <w:color w:val="1F4E79"/>
          <w:sz w:val="17"/>
          <w:szCs w:val="17"/>
        </w:rPr>
        <w:t xml:space="preserve">[124]  </w:t>
      </w:r>
      <w:r>
        <w:rPr>
          <w:rFonts w:ascii="Arial" w:cs="Arial" w:eastAsia="Arial" w:hAnsi="Arial"/>
          <w:color w:val="222222"/>
          <w:sz w:val="17"/>
          <w:szCs w:val="17"/>
        </w:rPr>
        <w:t xml:space="preserve">Keda Music (Kuljit Bhamra). Tabla Touch electronic tabla: Pro £1,458; Studio and Solo £500.</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ymnbqzp8tqrxb68sqvxhu">
        <w:r>
          <w:rPr>
            <w:rFonts w:ascii="Arial" w:cs="Arial" w:eastAsia="Arial" w:hAnsi="Arial"/>
            <w:color w:val="1F4E79"/>
            <w:sz w:val="15"/>
            <w:szCs w:val="15"/>
            <w:u w:val="single"/>
          </w:rPr>
          <w:t xml:space="preserve">https://musictech.com/news/gear/keda-music-launch-tabla-touch-the-worlds-first-electronic-tabla/</w:t>
        </w:r>
      </w:hyperlink>
    </w:p>
    <w:p>
      <w:pPr>
        <w:spacing w:after="70" w:line="252"/>
        <w:ind w:left="520" w:hanging="520"/>
      </w:pPr>
      <w:r>
        <w:rPr>
          <w:rFonts w:ascii="Arial" w:cs="Arial" w:eastAsia="Arial" w:hAnsi="Arial"/>
          <w:b/>
          <w:bCs/>
          <w:color w:val="1F4E79"/>
          <w:sz w:val="17"/>
          <w:szCs w:val="17"/>
        </w:rPr>
        <w:t xml:space="preserve">[125]  </w:t>
      </w:r>
      <w:r>
        <w:rPr>
          <w:rFonts w:ascii="Arial" w:cs="Arial" w:eastAsia="Arial" w:hAnsi="Arial"/>
          <w:color w:val="222222"/>
          <w:sz w:val="17"/>
          <w:szCs w:val="17"/>
        </w:rPr>
        <w:t xml:space="preserve">Retail tabla prices in India: budget sets from about ₹1,700; typical student sets about ₹8,000–10,500 (online price trackers).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zffstp6c4ecw1l-af2w4a">
        <w:r>
          <w:rPr>
            <w:rFonts w:ascii="Arial" w:cs="Arial" w:eastAsia="Arial" w:hAnsi="Arial"/>
            <w:color w:val="1F4E79"/>
            <w:sz w:val="15"/>
            <w:szCs w:val="15"/>
            <w:u w:val="single"/>
          </w:rPr>
          <w:t xml:space="preserve">https://price-history.in/product/sheesham-wood-tb-0081-hand-made-anH0xqG5</w:t>
        </w:r>
      </w:hyperlink>
    </w:p>
    <w:p>
      <w:pPr>
        <w:pStyle w:val="Heading3"/>
        <w:keepNext/>
      </w:pPr>
      <w:r>
        <w:rPr>
          <w:rFonts w:ascii="Arial" w:cs="Arial" w:eastAsia="Arial" w:hAnsi="Arial"/>
        </w:rPr>
        <w:t xml:space="preserve">O. Prior art and channels found in v2</w:t>
      </w:r>
    </w:p>
    <w:p>
      <w:pPr>
        <w:spacing w:after="70" w:line="252"/>
        <w:ind w:left="520" w:hanging="520"/>
      </w:pPr>
      <w:r>
        <w:rPr>
          <w:rFonts w:ascii="Arial" w:cs="Arial" w:eastAsia="Arial" w:hAnsi="Arial"/>
          <w:b/>
          <w:bCs/>
          <w:color w:val="1F4E79"/>
          <w:sz w:val="17"/>
          <w:szCs w:val="17"/>
        </w:rPr>
        <w:t xml:space="preserve">[126]  </w:t>
      </w:r>
      <w:r>
        <w:rPr>
          <w:rFonts w:ascii="Arial" w:cs="Arial" w:eastAsia="Arial" w:hAnsi="Arial"/>
          <w:color w:val="222222"/>
          <w:sz w:val="17"/>
          <w:szCs w:val="17"/>
        </w:rPr>
        <w:t xml:space="preserve">Poster: A multi-modal autonomous tutoring system for Indian percussion. ACM HotMobile 2026, Atlanta. Proposed fusion of camera, audio, motion and force/pressure sensing; preliminary work on mridangam, discussion of tabla.</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yuqjyw2oij3ari74y4omm">
        <w:r>
          <w:rPr>
            <w:rFonts w:ascii="Arial" w:cs="Arial" w:eastAsia="Arial" w:hAnsi="Arial"/>
            <w:color w:val="1F4E79"/>
            <w:sz w:val="15"/>
            <w:szCs w:val="15"/>
            <w:u w:val="single"/>
          </w:rPr>
          <w:t xml:space="preserve">https://researchconnect.stonybrook.edu/en/publications/poster-a-multi-modal-autonomous-tutoring-system-for-indian-percus/</w:t>
        </w:r>
      </w:hyperlink>
    </w:p>
    <w:p>
      <w:pPr>
        <w:spacing w:after="70" w:line="252"/>
        <w:ind w:left="520" w:hanging="520"/>
      </w:pPr>
      <w:r>
        <w:rPr>
          <w:rFonts w:ascii="Arial" w:cs="Arial" w:eastAsia="Arial" w:hAnsi="Arial"/>
          <w:b/>
          <w:bCs/>
          <w:color w:val="1F4E79"/>
          <w:sz w:val="17"/>
          <w:szCs w:val="17"/>
        </w:rPr>
        <w:t xml:space="preserve">[127]  </w:t>
      </w:r>
      <w:r>
        <w:rPr>
          <w:rFonts w:ascii="Arial" w:cs="Arial" w:eastAsia="Arial" w:hAnsi="Arial"/>
          <w:color w:val="222222"/>
          <w:sz w:val="17"/>
          <w:szCs w:val="17"/>
        </w:rPr>
        <w:t xml:space="preserve">Harvard ArtLab (2023). Interfaces to enhance learning and experience of dance performance: Dr. Shriya Srinivasan's haptics work and a Bharatanatyam footwork performance.</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2gdfxo1bosvth_d1q2vnv">
        <w:r>
          <w:rPr>
            <w:rFonts w:ascii="Arial" w:cs="Arial" w:eastAsia="Arial" w:hAnsi="Arial"/>
            <w:color w:val="1F4E79"/>
            <w:sz w:val="15"/>
            <w:szCs w:val="15"/>
            <w:u w:val="single"/>
          </w:rPr>
          <w:t xml:space="preserve">https://artlab.harvard.edu/interfaces-to-enhance-learning-and-experience-dance-performance-with-dr-shriya-srinivasan</w:t>
        </w:r>
      </w:hyperlink>
    </w:p>
    <w:p>
      <w:pPr>
        <w:spacing w:after="70" w:line="252"/>
        <w:ind w:left="520" w:hanging="520"/>
      </w:pPr>
      <w:r>
        <w:rPr>
          <w:rFonts w:ascii="Arial" w:cs="Arial" w:eastAsia="Arial" w:hAnsi="Arial"/>
          <w:b/>
          <w:bCs/>
          <w:color w:val="1F4E79"/>
          <w:sz w:val="17"/>
          <w:szCs w:val="17"/>
        </w:rPr>
        <w:t xml:space="preserve">[128]  </w:t>
      </w:r>
      <w:r>
        <w:rPr>
          <w:rFonts w:ascii="Arial" w:cs="Arial" w:eastAsia="Arial" w:hAnsi="Arial"/>
          <w:color w:val="222222"/>
          <w:sz w:val="17"/>
          <w:szCs w:val="17"/>
        </w:rPr>
        <w:t xml:space="preserve">CBSE. Hindustani Music Percussion Instruments, subject code 036 (tabla and pakhawaj), secondary and senior secondary curriculum.</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wxynk-kpaypetrmhkihnh">
        <w:r>
          <w:rPr>
            <w:rFonts w:ascii="Arial" w:cs="Arial" w:eastAsia="Arial" w:hAnsi="Arial"/>
            <w:color w:val="1F4E79"/>
            <w:sz w:val="15"/>
            <w:szCs w:val="15"/>
            <w:u w:val="single"/>
          </w:rPr>
          <w:t xml:space="preserve">https://www.cbseacademic.nic.in/web_material/CurriculumMain24/Sec/Hindustani_Music_Percussion_Sec_2023-24.pdf</w:t>
        </w:r>
      </w:hyperlink>
    </w:p>
    <w:p>
      <w:pPr>
        <w:spacing w:after="70" w:line="252"/>
        <w:ind w:left="520" w:hanging="520"/>
      </w:pPr>
      <w:r>
        <w:rPr>
          <w:rFonts w:ascii="Arial" w:cs="Arial" w:eastAsia="Arial" w:hAnsi="Arial"/>
          <w:b/>
          <w:bCs/>
          <w:color w:val="1F4E79"/>
          <w:sz w:val="17"/>
          <w:szCs w:val="17"/>
        </w:rPr>
        <w:t xml:space="preserve">[129]  </w:t>
      </w:r>
      <w:r>
        <w:rPr>
          <w:rFonts w:ascii="Arial" w:cs="Arial" w:eastAsia="Arial" w:hAnsi="Arial"/>
          <w:color w:val="222222"/>
          <w:sz w:val="17"/>
          <w:szCs w:val="17"/>
        </w:rPr>
        <w:t xml:space="preserve">NCERT Kala Utsav: ten art forms including Instrumental Music – Percussive; about 700 national-level participants from 36 States/UTs, KVS and NVS.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xlwibi6vzudqbem8gvzsv">
        <w:r>
          <w:rPr>
            <w:rFonts w:ascii="Arial" w:cs="Arial" w:eastAsia="Arial" w:hAnsi="Arial"/>
            <w:color w:val="1F4E79"/>
            <w:sz w:val="15"/>
            <w:szCs w:val="15"/>
            <w:u w:val="single"/>
          </w:rPr>
          <w:t xml:space="preserve">https://kalautsav.ncert.gov.in/pdf/2024/Kala_Utsav_2025_Guidelines.pdf</w:t>
        </w:r>
      </w:hyperlink>
    </w:p>
    <w:p>
      <w:pPr>
        <w:spacing w:after="70" w:line="252"/>
        <w:ind w:left="520" w:hanging="520"/>
      </w:pPr>
      <w:r>
        <w:rPr>
          <w:rFonts w:ascii="Arial" w:cs="Arial" w:eastAsia="Arial" w:hAnsi="Arial"/>
          <w:b/>
          <w:bCs/>
          <w:color w:val="1F4E79"/>
          <w:sz w:val="17"/>
          <w:szCs w:val="17"/>
        </w:rPr>
        <w:t xml:space="preserve">[130]  </w:t>
      </w:r>
      <w:r>
        <w:rPr>
          <w:rFonts w:ascii="Arial" w:cs="Arial" w:eastAsia="Arial" w:hAnsi="Arial"/>
          <w:color w:val="222222"/>
          <w:sz w:val="17"/>
          <w:szCs w:val="17"/>
        </w:rPr>
        <w:t xml:space="preserve">NEP 2020 para 4.26 and the PSSCIVE guidelines for 10 bagless days (2024): students in Grades 6–8 intern with local vocational experts such as carpenters, gardeners, potters and artists.</w:t>
      </w:r>
      <w:r>
        <w:rPr>
          <w:rFonts w:ascii="Arial" w:cs="Arial" w:eastAsia="Arial" w:hAnsi="Arial"/>
          <w:b/>
          <w:bCs/>
          <w:color w:val="2E6B3A"/>
          <w:sz w:val="17"/>
          <w:szCs w:val="17"/>
        </w:rPr>
        <w:t xml:space="preserve">  Status: V.</w:t>
      </w:r>
      <w:r>
        <w:rPr>
          <w:rFonts w:ascii="Arial" w:cs="Arial" w:eastAsia="Arial" w:hAnsi="Arial"/>
          <w:sz w:val="17"/>
          <w:szCs w:val="17"/>
        </w:rPr>
        <w:t xml:space="preserve">  </w:t>
      </w:r>
      <w:hyperlink w:history="1" r:id="rIdbmvsashiyo6y3xaczxdam">
        <w:r>
          <w:rPr>
            <w:rFonts w:ascii="Arial" w:cs="Arial" w:eastAsia="Arial" w:hAnsi="Arial"/>
            <w:color w:val="1F4E79"/>
            <w:sz w:val="15"/>
            <w:szCs w:val="15"/>
            <w:u w:val="single"/>
          </w:rPr>
          <w:t xml:space="preserve">https://psscive.ac.in/storage/uploads/documents/1722421697_Implementation%20of%2010%20Bagless%20Days%20in%20School.pdf</w:t>
        </w:r>
      </w:hyperlink>
    </w:p>
    <w:p>
      <w:pPr>
        <w:pStyle w:val="Heading3"/>
        <w:keepNext/>
      </w:pPr>
      <w:r>
        <w:rPr>
          <w:rFonts w:ascii="Arial" w:cs="Arial" w:eastAsia="Arial" w:hAnsi="Arial"/>
        </w:rPr>
        <w:t xml:space="preserve">J. Research methods</w:t>
      </w:r>
    </w:p>
    <w:p>
      <w:pPr>
        <w:spacing w:after="70" w:line="252"/>
        <w:ind w:left="520" w:hanging="520"/>
      </w:pPr>
      <w:r>
        <w:rPr>
          <w:rFonts w:ascii="Arial" w:cs="Arial" w:eastAsia="Arial" w:hAnsi="Arial"/>
          <w:b/>
          <w:bCs/>
          <w:color w:val="1F4E79"/>
          <w:sz w:val="17"/>
          <w:szCs w:val="17"/>
        </w:rPr>
        <w:t xml:space="preserve">[131]  </w:t>
      </w:r>
      <w:r>
        <w:rPr>
          <w:rFonts w:ascii="Arial" w:cs="Arial" w:eastAsia="Arial" w:hAnsi="Arial"/>
          <w:color w:val="222222"/>
          <w:sz w:val="17"/>
          <w:szCs w:val="17"/>
        </w:rPr>
        <w:t xml:space="preserve">Brooke, J. (1996). SUS: a "quick and dirty" usability scale. In Usability Evaluation in Industry. Taylor &amp; Francis.</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[132]  </w:t>
      </w:r>
      <w:r>
        <w:rPr>
          <w:rFonts w:ascii="Arial" w:cs="Arial" w:eastAsia="Arial" w:hAnsi="Arial"/>
          <w:color w:val="222222"/>
          <w:sz w:val="17"/>
          <w:szCs w:val="17"/>
        </w:rPr>
        <w:t xml:space="preserve">Hart, S. G., &amp; Staveland, L. E. (1988). Development of NASA-TLX. In Human Mental Workload. North-Holland.</w:t>
      </w:r>
      <w:r>
        <w:rPr>
          <w:rFonts w:ascii="Arial" w:cs="Arial" w:eastAsia="Arial" w:hAnsi="Arial"/>
          <w:b/>
          <w:bCs/>
          <w:color w:val="5E5E5E"/>
          <w:sz w:val="17"/>
          <w:szCs w:val="17"/>
        </w:rPr>
        <w:t xml:space="preserve">  Status: S.</w:t>
      </w:r>
    </w:p>
    <w:p>
      <w:pPr>
        <w:spacing w:after="70" w:line="252"/>
        <w:ind w:left="520" w:hanging="520"/>
      </w:pPr>
      <w:r>
        <w:rPr>
          <w:rFonts w:ascii="Arial" w:cs="Arial" w:eastAsia="Arial" w:hAnsi="Arial"/>
          <w:b/>
          <w:bCs/>
          <w:color w:val="1F4E79"/>
          <w:sz w:val="17"/>
          <w:szCs w:val="17"/>
        </w:rPr>
        <w:t xml:space="preserve">[133]  </w:t>
      </w:r>
      <w:r>
        <w:rPr>
          <w:rFonts w:ascii="Arial" w:cs="Arial" w:eastAsia="Arial" w:hAnsi="Arial"/>
          <w:color w:val="222222"/>
          <w:sz w:val="17"/>
          <w:szCs w:val="17"/>
        </w:rPr>
        <w:t xml:space="preserve">Cohen, J. (1988). Statistical Power Analysis for the Behavioral Sciences (2nd ed.). Erlbaum.</w:t>
      </w:r>
      <w:r>
        <w:rPr>
          <w:rFonts w:ascii="Arial" w:cs="Arial" w:eastAsia="Arial" w:hAnsi="Arial"/>
          <w:b/>
          <w:bCs/>
          <w:color w:val="5E5E5E"/>
          <w:sz w:val="17"/>
          <w:szCs w:val="17"/>
        </w:rPr>
        <w:t xml:space="preserve">  Status: S.</w:t>
      </w:r>
    </w:p>
    <w:p>
      <w:pPr>
        <w:pStyle w:val="Heading1"/>
        <w:keepNext/>
        <w:pageBreakBefore/>
        <w:spacing w:after="200" w:before="0"/>
      </w:pPr>
      <w:r>
        <w:rPr>
          <w:rFonts w:ascii="Arial" w:cs="Arial" w:eastAsia="Arial" w:hAnsi="Arial"/>
        </w:rPr>
        <w:t xml:space="preserve">Appendix A. Parameter sheet (starting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68"/>
        <w:gridCol w:w="3224"/>
        <w:gridCol w:w="1934"/>
      </w:tblGrid>
      <w:tr>
        <w:trPr>
          <w:cantSplit/>
          <w:tblHeader/>
        </w:trPr>
        <w:tc>
          <w:tcPr>
            <w:tcW w:type="dxa" w:w="3868"/>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Parameter</w:t>
            </w:r>
          </w:p>
        </w:tc>
        <w:tc>
          <w:tcPr>
            <w:tcW w:type="dxa" w:w="322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Value</w:t>
            </w:r>
          </w:p>
        </w:tc>
        <w:tc>
          <w:tcPr>
            <w:tcW w:type="dxa" w:w="1934"/>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Section</w:t>
            </w:r>
          </w:p>
        </w:tc>
      </w:tr>
      <w:tr>
        <w:trPr>
          <w:cantSplit/>
        </w:trPr>
        <w:tc>
          <w:tcPr>
            <w:tcW w:type="dxa" w:w="3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Piezo sampling</w:t>
            </w:r>
          </w:p>
        </w:tc>
        <w:tc>
          <w:tcPr>
            <w:tcW w:type="dxa" w:w="32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4 kHz</w:t>
            </w:r>
          </w:p>
        </w:tc>
        <w:tc>
          <w:tcPr>
            <w:tcW w:type="dxa" w:w="193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5.10</w:t>
            </w:r>
          </w:p>
        </w:tc>
      </w:tr>
      <w:tr>
        <w:trPr>
          <w:cantSplit/>
        </w:trPr>
        <w:tc>
          <w:tcPr>
            <w:tcW w:type="dxa" w:w="38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Onset threshold k; refractory; cross-talk window</w:t>
            </w:r>
          </w:p>
        </w:tc>
        <w:tc>
          <w:tcPr>
            <w:tcW w:type="dxa" w:w="32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6–8; 40 ms; 10 ms</w:t>
            </w:r>
          </w:p>
        </w:tc>
        <w:tc>
          <w:tcPr>
            <w:tcW w:type="dxa" w:w="193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5.10</w:t>
            </w:r>
          </w:p>
        </w:tc>
      </w:tr>
      <w:tr>
        <w:trPr>
          <w:cantSplit/>
        </w:trPr>
        <w:tc>
          <w:tcPr>
            <w:tcW w:type="dxa" w:w="3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σ_t by tier</w:t>
            </w:r>
          </w:p>
        </w:tc>
        <w:tc>
          <w:tcPr>
            <w:tcW w:type="dxa" w:w="32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35 / 20 / 12 ms</w:t>
            </w:r>
          </w:p>
        </w:tc>
        <w:tc>
          <w:tcPr>
            <w:tcW w:type="dxa" w:w="193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5.3</w:t>
            </w:r>
          </w:p>
        </w:tc>
      </w:tr>
      <w:tr>
        <w:trPr>
          <w:cantSplit/>
        </w:trPr>
        <w:tc>
          <w:tcPr>
            <w:tcW w:type="dxa" w:w="38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σ_A; score weights</w:t>
            </w:r>
          </w:p>
        </w:tc>
        <w:tc>
          <w:tcPr>
            <w:tcW w:type="dxa" w:w="32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4 dB; 0.5 / 0.25 / 0.25</w:t>
            </w:r>
          </w:p>
        </w:tc>
        <w:tc>
          <w:tcPr>
            <w:tcW w:type="dxa" w:w="193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5.6</w:t>
            </w:r>
          </w:p>
        </w:tc>
      </w:tr>
      <w:tr>
        <w:trPr>
          <w:cantSplit/>
        </w:trPr>
        <w:tc>
          <w:tcPr>
            <w:tcW w:type="dxa" w:w="3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Cue intensity</w:t>
            </w:r>
          </w:p>
        </w:tc>
        <w:tc>
          <w:tcPr>
            <w:tcW w:type="dxa" w:w="32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3× resting threshold</w:t>
            </w:r>
          </w:p>
        </w:tc>
        <w:tc>
          <w:tcPr>
            <w:tcW w:type="dxa" w:w="193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5.4</w:t>
            </w:r>
          </w:p>
        </w:tc>
      </w:tr>
      <w:tr>
        <w:trPr>
          <w:cantSplit/>
        </w:trPr>
        <w:tc>
          <w:tcPr>
            <w:tcW w:type="dxa" w:w="38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Cue end before lift</w:t>
            </w:r>
          </w:p>
        </w:tc>
        <w:tc>
          <w:tcPr>
            <w:tcW w:type="dxa" w:w="32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45 ms + margin (≈ 60 ms)</w:t>
            </w:r>
          </w:p>
        </w:tc>
        <w:tc>
          <w:tcPr>
            <w:tcW w:type="dxa" w:w="193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5.4</w:t>
            </w:r>
          </w:p>
        </w:tc>
      </w:tr>
      <w:tr>
        <w:trPr>
          <w:cantSplit/>
        </w:trPr>
        <w:tc>
          <w:tcPr>
            <w:tcW w:type="dxa" w:w="3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Probes</w:t>
            </w:r>
          </w:p>
        </w:tc>
        <w:tc>
          <w:tcPr>
            <w:tcW w:type="dxa" w:w="32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Session start + 1 per 4 guided cycles</w:t>
            </w:r>
          </w:p>
        </w:tc>
        <w:tc>
          <w:tcPr>
            <w:tcW w:type="dxa" w:w="193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5.7</w:t>
            </w:r>
          </w:p>
        </w:tc>
      </w:tr>
      <w:tr>
        <w:trPr>
          <w:cantSplit/>
        </w:trPr>
        <w:tc>
          <w:tcPr>
            <w:tcW w:type="dxa" w:w="38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Skill smoothing α; mastery</w:t>
            </w:r>
          </w:p>
        </w:tc>
        <w:tc>
          <w:tcPr>
            <w:tcW w:type="dxa" w:w="32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0.5; 0.85</w:t>
            </w:r>
          </w:p>
        </w:tc>
        <w:tc>
          <w:tcPr>
            <w:tcW w:type="dxa" w:w="193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5.7</w:t>
            </w:r>
          </w:p>
        </w:tc>
      </w:tr>
      <w:tr>
        <w:trPr>
          <w:cantSplit/>
        </w:trPr>
        <w:tc>
          <w:tcPr>
            <w:tcW w:type="dxa" w:w="3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Max change in g; assist trigger</w:t>
            </w:r>
          </w:p>
        </w:tc>
        <w:tc>
          <w:tcPr>
            <w:tcW w:type="dxa" w:w="32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0.2; 2 cycles &lt; 0.5</w:t>
            </w:r>
          </w:p>
        </w:tc>
        <w:tc>
          <w:tcPr>
            <w:tcW w:type="dxa" w:w="193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5.7</w:t>
            </w:r>
          </w:p>
        </w:tc>
      </w:tr>
      <w:tr>
        <w:trPr>
          <w:cantSplit/>
        </w:trPr>
        <w:tc>
          <w:tcPr>
            <w:tcW w:type="dxa" w:w="38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Mode switch to error-only cues</w:t>
            </w:r>
          </w:p>
        </w:tc>
        <w:tc>
          <w:tcPr>
            <w:tcW w:type="dxa" w:w="32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ŝ ≥ 0.7</w:t>
            </w:r>
          </w:p>
        </w:tc>
        <w:tc>
          <w:tcPr>
            <w:tcW w:type="dxa" w:w="193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5.7</w:t>
            </w:r>
          </w:p>
        </w:tc>
      </w:tr>
      <w:tr>
        <w:trPr>
          <w:cantSplit/>
        </w:trPr>
        <w:tc>
          <w:tcPr>
            <w:tcW w:type="dxa" w:w="3868"/>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Fingerprint recording</w:t>
            </w:r>
          </w:p>
        </w:tc>
        <w:tc>
          <w:tcPr>
            <w:tcW w:type="dxa" w:w="322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 20 cycles per master at 80/min</w:t>
            </w:r>
          </w:p>
        </w:tc>
        <w:tc>
          <w:tcPr>
            <w:tcW w:type="dxa" w:w="1934"/>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4.3</w:t>
            </w:r>
          </w:p>
        </w:tc>
      </w:tr>
      <w:tr>
        <w:trPr>
          <w:cantSplit/>
        </w:trPr>
        <w:tc>
          <w:tcPr>
            <w:tcW w:type="dxa" w:w="3868"/>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Supported laya (MVP)</w:t>
            </w:r>
          </w:p>
        </w:tc>
        <w:tc>
          <w:tcPr>
            <w:tcW w:type="dxa" w:w="322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Inter-stroke interval ≥ 400 ms</w:t>
            </w:r>
          </w:p>
        </w:tc>
        <w:tc>
          <w:tcPr>
            <w:tcW w:type="dxa" w:w="1934"/>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color w:val="222222"/>
                <w:sz w:val="16"/>
                <w:szCs w:val="16"/>
              </w:rPr>
              <w:t xml:space="preserve">5.5</w:t>
            </w:r>
          </w:p>
        </w:tc>
      </w:tr>
    </w:tbl>
    <w:p>
      <w:pPr>
        <w:spacing w:after="80"/>
      </w:pPr>
    </w:p>
    <w:p>
      <w:pPr>
        <w:pStyle w:val="Heading1"/>
        <w:keepNext/>
        <w:spacing w:after="200" w:before="480"/>
      </w:pPr>
      <w:r>
        <w:rPr>
          <w:rFonts w:ascii="Arial" w:cs="Arial" w:eastAsia="Arial" w:hAnsi="Arial"/>
        </w:rPr>
        <w:t xml:space="preserve">Appendix B. Pseudo-code</w:t>
      </w:r>
    </w:p>
    <w:p>
      <w:pPr>
        <w:pStyle w:val="Heading3"/>
        <w:keepNext/>
      </w:pPr>
      <w:r>
        <w:rPr>
          <w:rFonts w:ascii="Arial" w:cs="Arial" w:eastAsia="Arial" w:hAnsi="Arial"/>
        </w:rPr>
        <w:t xml:space="preserve">Movement-aware cue scheduling (per stroke i)</w:t>
      </w:r>
    </w:p>
    <w:p>
      <w:pPr>
        <w:shd w:fill="F2F2F2" w:color="auto" w:val="clear"/>
        <w:spacing w:after="0" w:line="240"/>
        <w:ind w:left="120" w:right="120"/>
      </w:pPr>
      <w:r>
        <w:rPr>
          <w:rFonts w:ascii="Courier New" w:cs="Courier New" w:eastAsia="Courier New" w:hAnsi="Courier New"/>
          <w:color w:val="222222"/>
          <w:sz w:val="16"/>
          <w:szCs w:val="16"/>
        </w:rPr>
        <w:t xml:space="preserve">t_prep   = median lift-to-strike time of this student (wrist IMU, last 20 strokes)</w:t>
      </w:r>
    </w:p>
    <w:p>
      <w:pPr>
        <w:shd w:fill="F2F2F2" w:color="auto" w:val="clear"/>
        <w:spacing w:after="0" w:line="240"/>
        <w:ind w:left="120" w:right="120"/>
      </w:pPr>
      <w:r>
        <w:rPr>
          <w:rFonts w:ascii="Courier New" w:cs="Courier New" w:eastAsia="Courier New" w:hAnsi="Courier New"/>
          <w:color w:val="222222"/>
          <w:sz w:val="16"/>
          <w:szCs w:val="16"/>
        </w:rPr>
        <w:t xml:space="preserve">d_tacton = duration_for(family_i)          # 30–80 ms</w:t>
      </w:r>
    </w:p>
    <w:p>
      <w:pPr>
        <w:shd w:fill="F2F2F2" w:color="auto" w:val="clear"/>
        <w:spacing w:after="0" w:line="240"/>
        <w:ind w:left="120" w:right="120"/>
      </w:pPr>
      <w:r>
        <w:rPr>
          <w:rFonts w:ascii="Courier New" w:cs="Courier New" w:eastAsia="Courier New" w:hAnsi="Courier New"/>
          <w:color w:val="222222"/>
          <w:sz w:val="16"/>
          <w:szCs w:val="16"/>
        </w:rPr>
        <w:t xml:space="preserve">c_i      = E_i - t_prep - 45 - margin - d_tacton - latency_actuator[site]</w:t>
      </w:r>
    </w:p>
    <w:p>
      <w:pPr>
        <w:shd w:fill="F2F2F2" w:color="auto" w:val="clear"/>
        <w:spacing w:after="0" w:line="240"/>
        <w:ind w:left="120" w:right="120"/>
      </w:pPr>
      <w:r>
        <w:rPr>
          <w:rFonts w:ascii="Courier New" w:cs="Courier New" w:eastAsia="Courier New" w:hAnsi="Courier New"/>
          <w:color w:val="222222"/>
          <w:sz w:val="16"/>
          <w:szCs w:val="16"/>
        </w:rPr>
        <w:t xml:space="preserve">level    = max(3 * threshold[site], accent_to_level(acc_guru_i))</w:t>
      </w:r>
    </w:p>
    <w:p>
      <w:pPr>
        <w:shd w:fill="F2F2F2" w:color="auto" w:val="clear"/>
        <w:spacing w:after="140" w:line="240"/>
        <w:ind w:left="120" w:right="120"/>
      </w:pPr>
      <w:r>
        <w:rPr>
          <w:rFonts w:ascii="Courier New" w:cs="Courier New" w:eastAsia="Courier New" w:hAnsi="Courier New"/>
          <w:color w:val="222222"/>
          <w:sz w:val="16"/>
          <w:szCs w:val="16"/>
        </w:rPr>
        <w:t xml:space="preserve">schedule(timer_at = c_i, site = site_for(hand_i, family_i), level, d_tacton)</w:t>
      </w:r>
    </w:p>
    <w:p>
      <w:pPr>
        <w:pStyle w:val="Heading3"/>
        <w:keepNext/>
      </w:pPr>
      <w:r>
        <w:rPr>
          <w:rFonts w:ascii="Arial" w:cs="Arial" w:eastAsia="Arial" w:hAnsi="Arial"/>
        </w:rPr>
        <w:t xml:space="preserve">Fade Engine 2.1</w:t>
      </w:r>
    </w:p>
    <w:p>
      <w:pPr>
        <w:shd w:fill="F2F2F2" w:color="auto" w:val="clear"/>
        <w:spacing w:after="0" w:line="240"/>
        <w:ind w:left="120" w:right="120"/>
      </w:pPr>
      <w:r>
        <w:rPr>
          <w:rFonts w:ascii="Courier New" w:cs="Courier New" w:eastAsia="Courier New" w:hAnsi="Courier New"/>
          <w:color w:val="222222"/>
          <w:sz w:val="16"/>
          <w:szCs w:val="16"/>
        </w:rPr>
        <w:t xml:space="preserve">at session start:        S = probe();  update(S)</w:t>
      </w:r>
    </w:p>
    <w:p>
      <w:pPr>
        <w:shd w:fill="F2F2F2" w:color="auto" w:val="clear"/>
        <w:spacing w:after="0" w:line="240"/>
        <w:ind w:left="120" w:right="120"/>
      </w:pPr>
      <w:r>
        <w:rPr>
          <w:rFonts w:ascii="Courier New" w:cs="Courier New" w:eastAsia="Courier New" w:hAnsi="Courier New"/>
          <w:color w:val="222222"/>
          <w:sz w:val="16"/>
          <w:szCs w:val="16"/>
        </w:rPr>
        <w:t xml:space="preserve">every 4 guided cycles:   S = probe();  update(S)</w:t>
      </w:r>
    </w:p>
    <w:p>
      <w:pPr>
        <w:shd w:fill="F2F2F2" w:color="auto" w:val="clear"/>
        <w:spacing w:after="0" w:line="240"/>
        <w:ind w:left="120" w:right="120"/>
      </w:pPr>
      <w:r>
        <w:rPr>
          <w:rFonts w:ascii="Courier New" w:cs="Courier New" w:eastAsia="Courier New" w:hAnsi="Courier New"/>
          <w:color w:val="222222"/>
          <w:sz w:val="16"/>
          <w:szCs w:val="16"/>
        </w:rPr>
        <w:t xml:space="preserve">update(S):  s_hat = S if first else 0.5*s_hat + 0.5*S</w:t>
      </w:r>
    </w:p>
    <w:p>
      <w:pPr>
        <w:shd w:fill="F2F2F2" w:color="auto" w:val="clear"/>
        <w:spacing w:after="0" w:line="240"/>
        <w:ind w:left="120" w:right="120"/>
      </w:pPr>
      <w:r>
        <w:rPr>
          <w:rFonts w:ascii="Courier New" w:cs="Courier New" w:eastAsia="Courier New" w:hAnsi="Courier New"/>
          <w:color w:val="222222"/>
          <w:sz w:val="16"/>
          <w:szCs w:val="16"/>
        </w:rPr>
        <w:t xml:space="preserve">            g = clip(clip(1 - s_hat/0.85, 0, 1), g - 0.2, g + 0.2);  if g &lt; 0.05: g = 0</w:t>
      </w:r>
    </w:p>
    <w:p>
      <w:pPr>
        <w:shd w:fill="F2F2F2" w:color="auto" w:val="clear"/>
        <w:spacing w:after="0" w:line="240"/>
        <w:ind w:left="120" w:right="120"/>
      </w:pPr>
      <w:r>
        <w:rPr>
          <w:rFonts w:ascii="Courier New" w:cs="Courier New" w:eastAsia="Courier New" w:hAnsi="Courier New"/>
          <w:color w:val="222222"/>
          <w:sz w:val="16"/>
          <w:szCs w:val="16"/>
        </w:rPr>
        <w:t xml:space="preserve">            mode = 'error_only' if s_hat &gt;= 0.7 else 'guidance'</w:t>
      </w:r>
    </w:p>
    <w:p>
      <w:pPr>
        <w:shd w:fill="F2F2F2" w:color="auto" w:val="clear"/>
        <w:spacing w:after="0" w:line="240"/>
        <w:ind w:left="120" w:right="120"/>
      </w:pPr>
      <w:r>
        <w:rPr>
          <w:rFonts w:ascii="Courier New" w:cs="Courier New" w:eastAsia="Courier New" w:hAnsi="Courier New"/>
          <w:color w:val="222222"/>
          <w:sz w:val="16"/>
          <w:szCs w:val="16"/>
        </w:rPr>
        <w:t xml:space="preserve">after a guided cycle:    if g &gt; 0 and last two scores &lt; 0.5: g = min(1, g + 0.2)</w:t>
      </w:r>
    </w:p>
    <w:p>
      <w:pPr>
        <w:shd w:fill="F2F2F2" w:color="auto" w:val="clear"/>
        <w:spacing w:after="140" w:line="240"/>
        <w:ind w:left="120" w:right="120"/>
      </w:pPr>
      <w:r>
        <w:rPr>
          <w:rFonts w:ascii="Courier New" w:cs="Courier New" w:eastAsia="Courier New" w:hAnsi="Courier New"/>
          <w:color w:val="222222"/>
          <w:sz w:val="16"/>
          <w:szCs w:val="16"/>
        </w:rPr>
        <w:t xml:space="preserve">cue stroke i if Bernoulli(g) or |e'_t,i(previous)| &gt; 2*sigma_t</w:t>
      </w:r>
    </w:p>
    <w:p>
      <w:pPr>
        <w:pStyle w:val="Heading3"/>
        <w:keepNext/>
      </w:pPr>
      <w:r>
        <w:rPr>
          <w:rFonts w:ascii="Arial" w:cs="Arial" w:eastAsia="Arial" w:hAnsi="Arial"/>
        </w:rPr>
        <w:t xml:space="preserve">Fingerprint (per cycle)</w:t>
      </w:r>
    </w:p>
    <w:p>
      <w:pPr>
        <w:shd w:fill="F2F2F2" w:color="auto" w:val="clear"/>
        <w:spacing w:after="0" w:line="240"/>
        <w:ind w:left="120" w:right="120"/>
      </w:pPr>
      <w:r>
        <w:rPr>
          <w:rFonts w:ascii="Courier New" w:cs="Courier New" w:eastAsia="Courier New" w:hAnsi="Courier New"/>
          <w:color w:val="222222"/>
          <w:sz w:val="16"/>
          <w:szCs w:val="16"/>
        </w:rPr>
        <w:t xml:space="preserve">T, t0  = least_squares_fit(onsets ~ matra_index)</w:t>
      </w:r>
    </w:p>
    <w:p>
      <w:pPr>
        <w:shd w:fill="F2F2F2" w:color="auto" w:val="clear"/>
        <w:spacing w:after="0" w:line="240"/>
        <w:ind w:left="120" w:right="120"/>
      </w:pPr>
      <w:r>
        <w:rPr>
          <w:rFonts w:ascii="Courier New" w:cs="Courier New" w:eastAsia="Courier New" w:hAnsi="Courier New"/>
          <w:color w:val="222222"/>
          <w:sz w:val="16"/>
          <w:szCs w:val="16"/>
        </w:rPr>
        <w:t xml:space="preserve">d      = onsets - (t0 + T*matra_index)            # micro-timing residuals (ms)</w:t>
      </w:r>
    </w:p>
    <w:p>
      <w:pPr>
        <w:shd w:fill="F2F2F2" w:color="auto" w:val="clear"/>
        <w:spacing w:after="0" w:line="240"/>
        <w:ind w:left="120" w:right="120"/>
      </w:pPr>
      <w:r>
        <w:rPr>
          <w:rFonts w:ascii="Courier New" w:cs="Courier New" w:eastAsia="Courier New" w:hAnsi="Courier New"/>
          <w:color w:val="222222"/>
          <w:sz w:val="16"/>
          <w:szCs w:val="16"/>
        </w:rPr>
        <w:t xml:space="preserve">acc    = 20*log10(amp / median(amp))              # accent contour (dB)</w:t>
      </w:r>
    </w:p>
    <w:p>
      <w:pPr>
        <w:shd w:fill="F2F2F2" w:color="auto" w:val="clear"/>
        <w:spacing w:after="0" w:line="240"/>
        <w:ind w:left="120" w:right="120"/>
      </w:pPr>
      <w:r>
        <w:rPr>
          <w:rFonts w:ascii="Courier New" w:cs="Courier New" w:eastAsia="Courier New" w:hAnsi="Courier New"/>
          <w:color w:val="222222"/>
          <w:sz w:val="16"/>
          <w:szCs w:val="16"/>
        </w:rPr>
        <w:t xml:space="preserve">x      = concat(d, acc)                          # one vector per cycle</w:t>
      </w:r>
    </w:p>
    <w:p>
      <w:pPr>
        <w:shd w:fill="F2F2F2" w:color="auto" w:val="clear"/>
        <w:spacing w:after="0" w:line="240"/>
        <w:ind w:left="120" w:right="120"/>
      </w:pPr>
      <w:r>
        <w:rPr>
          <w:rFonts w:ascii="Courier New" w:cs="Courier New" w:eastAsia="Courier New" w:hAnsi="Courier New"/>
          <w:color w:val="222222"/>
          <w:sz w:val="16"/>
          <w:szCs w:val="16"/>
        </w:rPr>
        <w:t xml:space="preserve">accuracy = leave_one_cycle_out(nearest_centroid, zscore(X), master_labels)</w:t>
      </w:r>
    </w:p>
    <w:p>
      <w:pPr>
        <w:shd w:fill="F2F2F2" w:color="auto" w:val="clear"/>
        <w:spacing w:after="140" w:line="240"/>
        <w:ind w:left="120" w:right="120"/>
      </w:pPr>
      <w:r>
        <w:rPr>
          <w:rFonts w:ascii="Courier New" w:cs="Courier New" w:eastAsia="Courier New" w:hAnsi="Courier New"/>
          <w:color w:val="222222"/>
          <w:sz w:val="16"/>
          <w:szCs w:val="16"/>
        </w:rPr>
        <w:t xml:space="preserve">p        = permutation_test(accuracy, 1000)</w:t>
      </w:r>
    </w:p>
    <w:p>
      <w:pPr>
        <w:pStyle w:val="Heading1"/>
        <w:keepNext/>
        <w:spacing w:after="200" w:before="480"/>
      </w:pPr>
      <w:r>
        <w:rPr>
          <w:rFonts w:ascii="Arial" w:cs="Arial" w:eastAsia="Arial" w:hAnsi="Arial"/>
        </w:rPr>
        <w:t xml:space="preserve">Appendix C.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6"/>
        <w:gridCol w:w="6920"/>
      </w:tblGrid>
      <w:tr>
        <w:trPr>
          <w:cantSplit/>
          <w:tblHeader/>
        </w:trPr>
        <w:tc>
          <w:tcPr>
            <w:tcW w:type="dxa" w:w="2106"/>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Term</w:t>
            </w:r>
          </w:p>
        </w:tc>
        <w:tc>
          <w:tcPr>
            <w:tcW w:type="dxa" w:w="6920"/>
            <w:tcBorders>
              <w:top w:val="single" w:color="D9CFC0" w:sz="4"/>
              <w:left w:val="single" w:color="D9CFC0" w:sz="4"/>
              <w:bottom w:val="single" w:color="D9CFC0" w:sz="4"/>
              <w:right w:val="single" w:color="D9CFC0" w:sz="4"/>
            </w:tcBorders>
            <w:shd w:fill="7A1F1F" w:color="auto" w:val="clear"/>
            <w:tcMar>
              <w:top w:type="dxa" w:w="60"/>
              <w:left w:type="dxa" w:w="90"/>
              <w:bottom w:type="dxa" w:w="60"/>
              <w:right w:type="dxa" w:w="90"/>
            </w:tcMar>
            <w:vAlign w:val="top"/>
          </w:tcPr>
          <w:p>
            <w:pPr>
              <w:spacing w:after="30" w:line="250"/>
            </w:pPr>
            <w:r>
              <w:rPr>
                <w:rFonts w:ascii="Arial" w:cs="Arial" w:eastAsia="Arial" w:hAnsi="Arial"/>
                <w:b/>
                <w:bCs/>
                <w:color w:val="FFFFFF"/>
                <w:sz w:val="16"/>
                <w:szCs w:val="16"/>
              </w:rPr>
              <w:t xml:space="preserve">Meaning</w:t>
            </w:r>
          </w:p>
        </w:tc>
      </w:tr>
      <w:tr>
        <w:trPr>
          <w:cantSplit/>
        </w:trPr>
        <w:tc>
          <w:tcPr>
            <w:tcW w:type="dxa" w:w="210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Taal, matra, theka</w:t>
            </w:r>
          </w:p>
        </w:tc>
        <w:tc>
          <w:tcPr>
            <w:tcW w:type="dxa" w:w="692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Rhythmic cycle; one beat; basic stroke pattern of the taal</w:t>
            </w:r>
          </w:p>
        </w:tc>
      </w:tr>
      <w:tr>
        <w:trPr>
          <w:cantSplit/>
        </w:trPr>
        <w:tc>
          <w:tcPr>
            <w:tcW w:type="dxa" w:w="210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Sam, khali, tali</w:t>
            </w:r>
          </w:p>
        </w:tc>
        <w:tc>
          <w:tcPr>
            <w:tcW w:type="dxa" w:w="692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First beat; 'empty' beat; clap beats</w:t>
            </w:r>
          </w:p>
        </w:tc>
      </w:tr>
      <w:tr>
        <w:trPr>
          <w:cantSplit/>
        </w:trPr>
        <w:tc>
          <w:tcPr>
            <w:tcW w:type="dxa" w:w="210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Laya</w:t>
            </w:r>
          </w:p>
        </w:tc>
        <w:tc>
          <w:tcPr>
            <w:tcW w:type="dxa" w:w="692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Tempo</w:t>
            </w:r>
          </w:p>
        </w:tc>
      </w:tr>
      <w:tr>
        <w:trPr>
          <w:cantSplit/>
        </w:trPr>
        <w:tc>
          <w:tcPr>
            <w:tcW w:type="dxa" w:w="210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Bol</w:t>
            </w:r>
          </w:p>
        </w:tc>
        <w:tc>
          <w:tcPr>
            <w:tcW w:type="dxa" w:w="692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Spoken syllable naming a stroke</w:t>
            </w:r>
          </w:p>
        </w:tc>
      </w:tr>
      <w:tr>
        <w:trPr>
          <w:cantSplit/>
        </w:trPr>
        <w:tc>
          <w:tcPr>
            <w:tcW w:type="dxa" w:w="210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Gharana, baaj</w:t>
            </w:r>
          </w:p>
        </w:tc>
        <w:tc>
          <w:tcPr>
            <w:tcW w:type="dxa" w:w="692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Lineage or school; playing style</w:t>
            </w:r>
          </w:p>
        </w:tc>
      </w:tr>
      <w:tr>
        <w:trPr>
          <w:cantSplit/>
        </w:trPr>
        <w:tc>
          <w:tcPr>
            <w:tcW w:type="dxa" w:w="210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Talim, riyaz, paltā</w:t>
            </w:r>
          </w:p>
        </w:tc>
        <w:tc>
          <w:tcPr>
            <w:tcW w:type="dxa" w:w="692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Training; daily practice; structured variation</w:t>
            </w:r>
          </w:p>
        </w:tc>
      </w:tr>
      <w:tr>
        <w:trPr>
          <w:cantSplit/>
        </w:trPr>
        <w:tc>
          <w:tcPr>
            <w:tcW w:type="dxa" w:w="210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Gharana Fingerprint</w:t>
            </w:r>
          </w:p>
        </w:tc>
        <w:tc>
          <w:tcPr>
            <w:tcW w:type="dxa" w:w="692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 master's measurable per-matra timing, accent, stroke and movement profile</w:t>
            </w:r>
          </w:p>
        </w:tc>
      </w:tr>
      <w:tr>
        <w:trPr>
          <w:cantSplit/>
        </w:trPr>
        <w:tc>
          <w:tcPr>
            <w:tcW w:type="dxa" w:w="210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Tacton</w:t>
            </w:r>
          </w:p>
        </w:tc>
        <w:tc>
          <w:tcPr>
            <w:tcW w:type="dxa" w:w="692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Structured tactile message (rhythm, intensity, location)</w:t>
            </w:r>
          </w:p>
        </w:tc>
      </w:tr>
      <w:tr>
        <w:trPr>
          <w:cantSplit/>
        </w:trPr>
        <w:tc>
          <w:tcPr>
            <w:tcW w:type="dxa" w:w="210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Tactile suppression</w:t>
            </w:r>
          </w:p>
        </w:tc>
        <w:tc>
          <w:tcPr>
            <w:tcW w:type="dxa" w:w="692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Reduced touch sensitivity just before and during one's own movement</w:t>
            </w:r>
          </w:p>
        </w:tc>
      </w:tr>
      <w:tr>
        <w:trPr>
          <w:cantSplit/>
        </w:trPr>
        <w:tc>
          <w:tcPr>
            <w:tcW w:type="dxa" w:w="210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Probe cycle</w:t>
            </w:r>
          </w:p>
        </w:tc>
        <w:tc>
          <w:tcPr>
            <w:tcW w:type="dxa" w:w="692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 cycle played with no cues to measure unaided skill</w:t>
            </w:r>
          </w:p>
        </w:tc>
      </w:tr>
      <w:tr>
        <w:trPr>
          <w:cantSplit/>
        </w:trPr>
        <w:tc>
          <w:tcPr>
            <w:tcW w:type="dxa" w:w="210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Passkey</w:t>
            </w:r>
          </w:p>
        </w:tc>
        <w:tc>
          <w:tcPr>
            <w:tcW w:type="dxa" w:w="692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A FIDO2/WebAuthn credential; the private key stays on the user's device, unlocked by fingerprint or PIN</w:t>
            </w:r>
          </w:p>
        </w:tc>
      </w:tr>
      <w:tr>
        <w:trPr>
          <w:cantSplit/>
        </w:trPr>
        <w:tc>
          <w:tcPr>
            <w:tcW w:type="dxa" w:w="210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CARE, FAIR</w:t>
            </w:r>
          </w:p>
        </w:tc>
        <w:tc>
          <w:tcPr>
            <w:tcW w:type="dxa" w:w="692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Principles for Indigenous data governance; for findable, accessible, interoperable, reusable data</w:t>
            </w:r>
          </w:p>
        </w:tc>
      </w:tr>
      <w:tr>
        <w:trPr>
          <w:cantSplit/>
        </w:trPr>
        <w:tc>
          <w:tcPr>
            <w:tcW w:type="dxa" w:w="210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COSE, CBOR</w:t>
            </w:r>
          </w:p>
        </w:tc>
        <w:tc>
          <w:tcPr>
            <w:tcW w:type="dxa" w:w="692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CBOR Object Signing and Encryption; Concise Binary Object Representation</w:t>
            </w:r>
          </w:p>
        </w:tc>
      </w:tr>
      <w:tr>
        <w:trPr>
          <w:cantSplit/>
        </w:trPr>
        <w:tc>
          <w:tcPr>
            <w:tcW w:type="dxa" w:w="2106"/>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LRA, ERM</w:t>
            </w:r>
          </w:p>
        </w:tc>
        <w:tc>
          <w:tcPr>
            <w:tcW w:type="dxa" w:w="6920"/>
            <w:tcBorders>
              <w:top w:val="single" w:color="D9CFC0" w:sz="4"/>
              <w:left w:val="single" w:color="D9CFC0" w:sz="4"/>
              <w:bottom w:val="single" w:color="D9CFC0" w:sz="4"/>
              <w:right w:val="single" w:color="D9CFC0" w:sz="4"/>
            </w:tcBorders>
            <w:shd w:fill="F7F3EC" w:color="auto" w:val="clear"/>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Linear resonant actuator; eccentric rotating-mass motor</w:t>
            </w:r>
          </w:p>
        </w:tc>
      </w:tr>
      <w:tr>
        <w:trPr>
          <w:cantSplit/>
        </w:trPr>
        <w:tc>
          <w:tcPr>
            <w:tcW w:type="dxa" w:w="2106"/>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bCs/>
                <w:color w:val="222222"/>
                <w:sz w:val="16"/>
                <w:szCs w:val="16"/>
              </w:rPr>
              <w:t xml:space="preserve">TRL</w:t>
            </w:r>
          </w:p>
        </w:tc>
        <w:tc>
          <w:tcPr>
            <w:tcW w:type="dxa" w:w="6920"/>
            <w:tcBorders>
              <w:top w:val="single" w:color="D9CFC0" w:sz="4"/>
              <w:left w:val="single" w:color="D9CFC0" w:sz="4"/>
              <w:bottom w:val="single" w:color="D9CFC0" w:sz="4"/>
              <w:right w:val="single" w:color="D9CFC0" w:sz="4"/>
            </w:tcBorders>
            <w:tcMar>
              <w:top w:type="dxa" w:w="60"/>
              <w:left w:type="dxa" w:w="90"/>
              <w:bottom w:type="dxa" w:w="60"/>
              <w:right w:type="dxa" w:w="90"/>
            </w:tcMar>
            <w:vAlign w:val="top"/>
          </w:tcPr>
          <w:p>
            <w:pPr>
              <w:spacing w:after="30" w:line="250"/>
            </w:pPr>
            <w:r>
              <w:rPr>
                <w:rFonts w:ascii="Arial" w:cs="Arial" w:eastAsia="Arial" w:hAnsi="Arial"/>
                <w:b w:val="false"/>
                <w:bCs w:val="false"/>
                <w:color w:val="222222"/>
                <w:sz w:val="16"/>
                <w:szCs w:val="16"/>
              </w:rPr>
              <w:t xml:space="preserve">Technology readiness level (1 = idea, 9 = proven in operation)</w:t>
            </w:r>
          </w:p>
        </w:tc>
      </w:tr>
    </w:tbl>
    <w:p>
      <w:pPr>
        <w:spacing w:after="80"/>
      </w:pPr>
    </w:p>
    <w:sectPr>
      <w:headerReference w:type="default" r:id="rId7"/>
      <w:headerReference w:type="first" r:id="rId8"/>
      <w:footerReference w:type="default" r:id="rId9"/>
      <w:footerReference w:type="first" r:id="rId10"/>
      <w:pgSz w:w="11906" w:h="16838" w:orient="portrait"/>
      <w:pgMar w:top="1300" w:right="1440" w:bottom="12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E5E5E"/>
        <w:sz w:val="15"/>
        <w:szCs w:val="15"/>
      </w:rPr>
      <w:t xml:space="preserve">Page </w:t>
    </w:r>
    <w:r>
      <w:rPr>
        <w:rFonts w:ascii="Arial" w:cs="Arial" w:eastAsia="Arial" w:hAnsi="Arial"/>
        <w:color w:val="5E5E5E"/>
        <w:sz w:val="15"/>
        <w:szCs w:val="15"/>
      </w:rPr>
      <w:fldChar w:fldCharType="begin"/>
      <w:instrText xml:space="preserve">PAGE</w:instrText>
      <w:fldChar w:fldCharType="separate"/>
      <w:fldChar w:fldCharType="end"/>
    </w:r>
    <w:r>
      <w:rPr>
        <w:rFonts w:ascii="Arial" w:cs="Arial" w:eastAsia="Arial" w:hAnsi="Arial"/>
        <w:color w:val="5E5E5E"/>
        <w:sz w:val="15"/>
        <w:szCs w:val="15"/>
      </w:rPr>
      <w:t xml:space="preserve"> of </w:t>
    </w:r>
    <w:r>
      <w:rPr>
        <w:rFonts w:ascii="Arial" w:cs="Arial" w:eastAsia="Arial" w:hAnsi="Arial"/>
        <w:color w:val="5E5E5E"/>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C0" w:sz="4" w:space="4"/>
      </w:pBdr>
      <w:jc w:val="right"/>
    </w:pPr>
    <w:r>
      <w:rPr>
        <w:rFonts w:ascii="Arial" w:cs="Arial" w:eastAsia="Arial" w:hAnsi="Arial"/>
        <w:color w:val="5E5E5E"/>
        <w:sz w:val="15"/>
        <w:szCs w:val="15"/>
      </w:rPr>
      <w:t xml:space="preserve">PARAMPARA 2.0  ·  Final Research Dossier  ·  SIH 2026 PS 26214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901A" w:sz="12" w:space="6"/>
      </w:pBdr>
      <w:spacing w:after="200" w:before="0"/>
      <w:outlineLvl w:val="0"/>
    </w:pPr>
    <w:rPr>
      <w:rFonts w:ascii="Arial" w:cs="Arial" w:eastAsia="Arial" w:hAnsi="Arial"/>
      <w:b/>
      <w:bCs/>
      <w:color w:val="7A1F1F"/>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7A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cxcbbpdlw3n0l8_pmjaub" Type="http://schemas.openxmlformats.org/officeDocument/2006/relationships/hyperlink" Target="https://www.ee.columbia.edu/~grindlay/pubs/Haptics_2008.pdf" TargetMode="External"/><Relationship Id="rIdpu53ly6ay63pv9qde59f6" Type="http://schemas.openxmlformats.org/officeDocument/2006/relationships/hyperlink" Target="https://dspace.mit.edu/handle/1721.1/41562" TargetMode="External"/><Relationship Id="rIdubtu1ux5t6izebfgqfh5x" Type="http://schemas.openxmlformats.org/officeDocument/2006/relationships/hyperlink" Target="https://www.semanticscholar.org/paper/14e629ead9528a9554b249bdc44134a4ac7c22c9" TargetMode="External"/><Relationship Id="rIdl_3tiyw3w-gjklrefky1u" Type="http://schemas.openxmlformats.org/officeDocument/2006/relationships/hyperlink" Target="https://oro.open.ac.uk/18900" TargetMode="External"/><Relationship Id="rIdxg-kfpoikrbaopdo6yhog" Type="http://schemas.openxmlformats.org/officeDocument/2006/relationships/hyperlink" Target="https://oro.open.ac.uk/35072" TargetMode="External"/><Relationship Id="rIddpnrjvalxhop4wanhzvck" Type="http://schemas.openxmlformats.org/officeDocument/2006/relationships/hyperlink" Target="https://oro.open.ac.uk/52571" TargetMode="External"/><Relationship Id="rIdwrgaxunvcl2rw-bmsrzfb" Type="http://schemas.openxmlformats.org/officeDocument/2006/relationships/hyperlink" Target="https://oro.open.ac.uk/25275" TargetMode="External"/><Relationship Id="rId8yppfyibz0fctrqnyqram" Type="http://schemas.openxmlformats.org/officeDocument/2006/relationships/hyperlink" Target="https://oro.open.ac.uk/23378" TargetMode="External"/><Relationship Id="rIdo6xxxocqwk8stu4oivjq4" Type="http://schemas.openxmlformats.org/officeDocument/2006/relationships/hyperlink" Target="https://remotecenter.postech.ac.kr/handle/2014.oak/93484" TargetMode="External"/><Relationship Id="rId1hb8zxhxjb7h7dahcxvsh" Type="http://schemas.openxmlformats.org/officeDocument/2006/relationships/hyperlink" Target="https://morse.gatech.edu/assets/seimpiano.pdf" TargetMode="External"/><Relationship Id="rIdq98ioaleak3zdgmxti8ap" Type="http://schemas.openxmlformats.org/officeDocument/2006/relationships/hyperlink" Target="https://arxiv.org/abs/2406.06720" TargetMode="External"/><Relationship Id="rIdtp9p4pzoa21v8dpjpqhbp" Type="http://schemas.openxmlformats.org/officeDocument/2006/relationships/hyperlink" Target="https://www.frontiersin.org/articles/10.3389/fnins.2017.00507/full" TargetMode="External"/><Relationship Id="rIdrwsldccig81xrpjurmxkn" Type="http://schemas.openxmlformats.org/officeDocument/2006/relationships/hyperlink" Target="https://almeida.informatik.rwth-aachen.de/publications/drobny2010.pdf" TargetMode="External"/><Relationship Id="rIdxriu1hnhesmgaomx57spe" Type="http://schemas.openxmlformats.org/officeDocument/2006/relationships/hyperlink" Target="https://www.globalsources.com/knowledge/world-s-first-wearable-metronome-startup-launchpad/" TargetMode="External"/><Relationship Id="rId11frpwg0akjwmlowb3vfo" Type="http://schemas.openxmlformats.org/officeDocument/2006/relationships/hyperlink" Target="https://api.openalex.org/works/doi:10.1109%2FLRA.2017.2660071" TargetMode="External"/><Relationship Id="rIdav4smy93qjnk9qqx8ql4t" Type="http://schemas.openxmlformats.org/officeDocument/2006/relationships/hyperlink" Target="https://www.scapps.org/jems/index.php/1/article/view/1796" TargetMode="External"/><Relationship Id="rIdy11exwegoedml6ysqhwrh" Type="http://schemas.openxmlformats.org/officeDocument/2006/relationships/hyperlink" Target="https://pmc.ncbi.nlm.nih.gov/articles/PMC2832903/" TargetMode="External"/><Relationship Id="rIdghuhms8uppfnpwzti4i4t" Type="http://schemas.openxmlformats.org/officeDocument/2006/relationships/hyperlink" Target="https://repository.ias.ac.in/52555" TargetMode="External"/><Relationship Id="rId9iffk4-dm8cl4ykmfipge" Type="http://schemas.openxmlformats.org/officeDocument/2006/relationships/hyperlink" Target="https://nime.org/proc/nime2002_kapur/" TargetMode="External"/><Relationship Id="rIdg5mj4-5vve6znk9kcobqu" Type="http://schemas.openxmlformats.org/officeDocument/2006/relationships/hyperlink" Target="https://dspace.mit.edu/handle/1721.1/41750" TargetMode="External"/><Relationship Id="rIdpk1u9m-kifzk3jpsgrnui" Type="http://schemas.openxmlformats.org/officeDocument/2006/relationships/hyperlink" Target="https://zenodo.org/records/4813212" TargetMode="External"/><Relationship Id="rId7ndpgzlg8xvrf7ials7tf" Type="http://schemas.openxmlformats.org/officeDocument/2006/relationships/hyperlink" Target="https://archives.ismir.net/ismir2021/paper/000001.pdf" TargetMode="External"/><Relationship Id="rIduacuzxv1-d1uigriiatm8" Type="http://schemas.openxmlformats.org/officeDocument/2006/relationships/hyperlink" Target="https://doi.org/10.5334/tismir.150" TargetMode="External"/><Relationship Id="rIddzzk5awb6zivc9g_letmi" Type="http://schemas.openxmlformats.org/officeDocument/2006/relationships/hyperlink" Target="https://nime.org/proc/nime2026_101/" TargetMode="External"/><Relationship Id="rId2egb4uonhasx_9pd5go3x" Type="http://schemas.openxmlformats.org/officeDocument/2006/relationships/hyperlink" Target="https://compmusic.upf.edu" TargetMode="External"/><Relationship Id="rIdap9xqjyzkbgzvhw_lemal" Type="http://schemas.openxmlformats.org/officeDocument/2006/relationships/hyperlink" Target="https://digitabla.com/tabla-tradition/six-gharanas/" TargetMode="External"/><Relationship Id="rIdhmwc9cugfjxgzorhrxy5c" Type="http://schemas.openxmlformats.org/officeDocument/2006/relationships/hyperlink" Target="https://en.wikipedia.org/wiki/SECI_model_of_knowledge_dimensions" TargetMode="External"/><Relationship Id="rIdiu-_yfgm1cp0pmyvb3hfs" Type="http://schemas.openxmlformats.org/officeDocument/2006/relationships/hyperlink" Target="https://www.scitepress.org/Papers/2014/48716/" TargetMode="External"/><Relationship Id="rId7k1xphobqi2tqm4k0-5vg" Type="http://schemas.openxmlformats.org/officeDocument/2006/relationships/hyperlink" Target="https://hal-mines-paristech.archives-ouvertes.fr/hal-00975857" TargetMode="External"/><Relationship Id="rIddyx-rkgvcfsyc5s8os_k0" Type="http://schemas.openxmlformats.org/officeDocument/2006/relationships/hyperlink" Target="https://ideas.repec.org/a/gam/jsusta/v12y2020i4p1461-d321208.html" TargetMode="External"/><Relationship Id="rId7a3eh-bucetlrayyifvrd" Type="http://schemas.openxmlformats.org/officeDocument/2006/relationships/hyperlink" Target="https://people.cs.nycu.edu.tw/~armuro/pubs/chiang-et-al-2018-ieee-computer-graphics.pdf" TargetMode="External"/><Relationship Id="rIduduksfqg-nda2yy6n-l9s" Type="http://schemas.openxmlformats.org/officeDocument/2006/relationships/hyperlink" Target="https://www.ri.cmu.edu/publications/controlling-a-marionette-with-human-motion-capture-data" TargetMode="External"/><Relationship Id="rIdcyq0a7klsfgfn6ahwkgxz" Type="http://schemas.openxmlformats.org/officeDocument/2006/relationships/hyperlink" Target="https://openaccess.cms-conferences.org/publications/book/978-1-964867-68-7/article/978-1-964867-68-7_2" TargetMode="External"/><Relationship Id="rIdqf2pfrc4hd561jw_g1w6p" Type="http://schemas.openxmlformats.org/officeDocument/2006/relationships/hyperlink" Target="https://eureka.patsnap.com/patent/CN121483109B" TargetMode="External"/><Relationship Id="rIdtk6zg_xknfdtkhjrdhs5z" Type="http://schemas.openxmlformats.org/officeDocument/2006/relationships/hyperlink" Target="https://arxiv.org/abs/1909.11023" TargetMode="External"/><Relationship Id="rIdizpufxfhiicyxwu19fiu6" Type="http://schemas.openxmlformats.org/officeDocument/2006/relationships/hyperlink" Target="https://livehistoryindia.com/story/living-culture/the-unique-craft-of-rajasthans-puppeteers" TargetMode="External"/><Relationship Id="rId7-tk9zzv-fsrh0igilnd_" Type="http://schemas.openxmlformats.org/officeDocument/2006/relationships/hyperlink" Target="https://en.wikipedia.org/wiki/Living_National_Treasure_(Japan)" TargetMode="External"/><Relationship Id="rIdwrjwaq6pozk1lr6jrhslo" Type="http://schemas.openxmlformats.org/officeDocument/2006/relationships/hyperlink" Target="https://www.drishtiias.com/state-pcs-current-affairs/unesco-adds-deepavali-to-intangible-cultural-heritage-list/print_manually" TargetMode="External"/><Relationship Id="rIdpyeegiwwgpd9lulx6rkyu" Type="http://schemas.openxmlformats.org/officeDocument/2006/relationships/hyperlink" Target="https://www.indiaculture.gov.in/node/265" TargetMode="External"/><Relationship Id="rIdaj2xbqsbxbh5yryfwvoes" Type="http://schemas.openxmlformats.org/officeDocument/2006/relationships/hyperlink" Target="https://rsdebate.nic.in/bitstream/123456789/734815/1/PQ_258_22122022_U1778_p148_p170.pdf" TargetMode="External"/><Relationship Id="rIdkqg-xfp5ekka5dlia1fmx" Type="http://schemas.openxmlformats.org/officeDocument/2006/relationships/hyperlink" Target="https://static.pib.gov.in/WriteReadData/specificdocs/documents/2025/sep/doc2025916638501.pdf" TargetMode="External"/><Relationship Id="rIdji4psyf8-g3pk-cmzewfo" Type="http://schemas.openxmlformats.org/officeDocument/2006/relationships/hyperlink" Target="https://www.drishtiias.com/daily-news-analysis/kumhar-sashaktikaran-yojana" TargetMode="External"/><Relationship Id="rIdbx7itltcw7yaoikqo1vg1" Type="http://schemas.openxmlformats.org/officeDocument/2006/relationships/hyperlink" Target="https://iksindia.org/" TargetMode="External"/><Relationship Id="rIdq-7jlgar9fmv_z7r81s89" Type="http://schemas.openxmlformats.org/officeDocument/2006/relationships/hyperlink" Target="https://www.education.gov.in/sites/upload_files/mhrd/files/NEP_Final_English_0.pdf" TargetMode="External"/><Relationship Id="rId5yhzly9ndkkqv0radiyf0" Type="http://schemas.openxmlformats.org/officeDocument/2006/relationships/hyperlink" Target="https://static.pib.gov.in/WriteReadData/specificdocs/documents/2022/sep/doc20229199001.pdf" TargetMode="External"/><Relationship Id="rIdkzwbohfwtlfvkx8usauyb" Type="http://schemas.openxmlformats.org/officeDocument/2006/relationships/hyperlink" Target="https://static.pib.gov.in/WriteReadData/specificdocs/documents/2025/dec/doc2025129724401.pdf" TargetMode="External"/><Relationship Id="rIdulhta7wc_4sl4phd9okle" Type="http://schemas.openxmlformats.org/officeDocument/2006/relationships/hyperlink" Target="https://en.wikipedia.org/wiki/Akhil_Bharatiya_Gandharva_Mahavidyalaya_Mandal" TargetMode="External"/><Relationship Id="rIdpgfsddvljey1askf-kg7h" Type="http://schemas.openxmlformats.org/officeDocument/2006/relationships/hyperlink" Target="https://aikosh.indiaai.gov.in/home/datasets/details/population_of_persons_with_disabilities_census_2011.html" TargetMode="External"/><Relationship Id="rIdni-l53jynlmgpnvpk11uq" Type="http://schemas.openxmlformats.org/officeDocument/2006/relationships/hyperlink" Target="https://en.wikipedia.org/wiki/Zakir_Hussain_(musician)" TargetMode="External"/><Relationship Id="rIdftth2_tw14bvxqrtddsc5" Type="http://schemas.openxmlformats.org/officeDocument/2006/relationships/hyperlink" Target="https://msit.in/media/2023/10/07/sih_report1.pdf" TargetMode="External"/><Relationship Id="rIdlbuqlxwc9b4kdzm2x3k9c" Type="http://schemas.openxmlformats.org/officeDocument/2006/relationships/hyperlink" Target="https://en.wikipedia.org/wiki/Khurja_pottery" TargetMode="External"/><Relationship Id="rIdaknfhc0yejdzljjk361yc" Type="http://schemas.openxmlformats.org/officeDocument/2006/relationships/hyperlink" Target="https://www.chiratae.com/from-passion-to-music-education-why-we-backed-artium-academy/" TargetMode="External"/><Relationship Id="rIdkcdiq7tble1kenmyrjeeb" Type="http://schemas.openxmlformats.org/officeDocument/2006/relationships/hyperlink" Target="https://academy.darbar.org/about" TargetMode="External"/><Relationship Id="rIdv7lk2hqfrdevg-cmswm98" Type="http://schemas.openxmlformats.org/officeDocument/2006/relationships/hyperlink" Target="https://www.rfc-editor.org/rfc/rfc9052.html" TargetMode="External"/><Relationship Id="rIdcshkjqb3m3ueqc0t9_wey" Type="http://schemas.openxmlformats.org/officeDocument/2006/relationships/hyperlink" Target="https://spec.c2pa.org/specifications/specifications/2.2/specs/C2PA_Specification" TargetMode="External"/><Relationship Id="rIdbs6hvc1opatoszbhnp9hy" Type="http://schemas.openxmlformats.org/officeDocument/2006/relationships/hyperlink" Target="https://www.w3.org/TR/2025/REC-vc-data-model-2.0-20250515/" TargetMode="External"/><Relationship Id="rIdgpkrbsrlvavj_ox6dmfzy" Type="http://schemas.openxmlformats.org/officeDocument/2006/relationships/hyperlink" Target="https://lawrbit.com/article/digital-personal-data-protection-rules-2025" TargetMode="External"/><Relationship Id="rId3ymsozhroxt8rta7vvkez" Type="http://schemas.openxmlformats.org/officeDocument/2006/relationships/hyperlink" Target="https://www.ti.com/product/DRV2605L" TargetMode="External"/><Relationship Id="rIdp2eioqkkwkw0yhob0ijai" Type="http://schemas.openxmlformats.org/officeDocument/2006/relationships/hyperlink" Target="https://55jaiio.sadio.org.ar/wp-content/uploads/2026/07/273.pdf" TargetMode="External"/><Relationship Id="rIdlcu4tjnlpnlh5gvajacq5" Type="http://schemas.openxmlformats.org/officeDocument/2006/relationships/hyperlink" Target="https://caniuse.com/web-bluetooth" TargetMode="External"/><Relationship Id="rIdabe3olf0aqq7-uqunntyd" Type="http://schemas.openxmlformats.org/officeDocument/2006/relationships/hyperlink" Target="https://research.google/pubs/pub50803/" TargetMode="External"/><Relationship Id="rIdxxf8ws0udlmu5nxfg1nja" Type="http://schemas.openxmlformats.org/officeDocument/2006/relationships/hyperlink" Target="https://is.mpg.de/publications/rokhmanova25-d-ariadne" TargetMode="External"/><Relationship Id="rIdjtrwua46rxxlldkcxulim" Type="http://schemas.openxmlformats.org/officeDocument/2006/relationships/hyperlink" Target="https://www.meticulousresearch.com/product/haptic-technology-market-6073" TargetMode="External"/><Relationship Id="rIdkglg2favzzfp8jt2hicak" Type="http://schemas.openxmlformats.org/officeDocument/2006/relationships/hyperlink" Target="https://compmusic.upf.edu/corpus-analysis-hindustani" TargetMode="External"/><Relationship Id="rId1jdskmz9m0nog_xs71ccw" Type="http://schemas.openxmlformats.org/officeDocument/2006/relationships/hyperlink" Target="https://publications.iith.ac.in/publication/tabla-gharana-recognition-from-tabla-solo-recordings" TargetMode="External"/><Relationship Id="rIdv2ucxxf62cgbauvco8of4" Type="http://schemas.openxmlformats.org/officeDocument/2006/relationships/hyperlink" Target="https://revuemusicaleoicrm.org/vol12-n2/microtiming-tempo-variability-rock-drummers/" TargetMode="External"/><Relationship Id="rIdf-_c-jvitgtq2-e5u_bnx" Type="http://schemas.openxmlformats.org/officeDocument/2006/relationships/hyperlink" Target="https://pure.atu.ie/en/publications/drummistic-fingerprints-unique-drummer-identification-via-the-app-3/" TargetMode="External"/><Relationship Id="rIdx1iuvojltecupcnkjxeh0" Type="http://schemas.openxmlformats.org/officeDocument/2006/relationships/hyperlink" Target="https://arxiv.org/abs/2503.21142" TargetMode="External"/><Relationship Id="rIdchajtupok0sjh7bnga-ps" Type="http://schemas.openxmlformats.org/officeDocument/2006/relationships/hyperlink" Target="https://www.ncbi.nlm.nih.gov/pmc/articles/PMC7181424/" TargetMode="External"/><Relationship Id="rIdoixqlvso6rdaq9pnegm4i" Type="http://schemas.openxmlformats.org/officeDocument/2006/relationships/hyperlink" Target="https://localcontexts.org/" TargetMode="External"/><Relationship Id="rIdpwmmwnmmiawilwlwxgsqi" Type="http://schemas.openxmlformats.org/officeDocument/2006/relationships/hyperlink" Target="https://www.wipo.int/tk/en/igc/" TargetMode="External"/><Relationship Id="rIdxmwjegvupoh5bx_t5t5gl" Type="http://schemas.openxmlformats.org/officeDocument/2006/relationships/hyperlink" Target="https://fidoalliance.org/webauthn-level-3-is-now-a-w3c-recommendation/" TargetMode="External"/><Relationship Id="rId-215x9hefuf8gdx25mcbn" Type="http://schemas.openxmlformats.org/officeDocument/2006/relationships/hyperlink" Target="https://ncaa.gov.in/repository/common/about" TargetMode="External"/><Relationship Id="rIdby1axcr3g1nwbt2hwk9-p" Type="http://schemas.openxmlformats.org/officeDocument/2006/relationships/hyperlink" Target="https://zbotic.in/esp32-edge-ai-run-tensorflow-lite-micro-on-microcontroller/" TargetMode="External"/><Relationship Id="rIdeidnipugbcuumytqvwweb" Type="http://schemas.openxmlformats.org/officeDocument/2006/relationships/hyperlink" Target="https://archive.isis.vanderbilt.edu/node/3600" TargetMode="External"/><Relationship Id="rIdwrv_d2aq6sqqskbqi2y0r" Type="http://schemas.openxmlformats.org/officeDocument/2006/relationships/hyperlink" Target="https://www.lcsc.com/product-image/C527464.html" TargetMode="External"/><Relationship Id="rIdymnbqzp8tqrxb68sqvxhu" Type="http://schemas.openxmlformats.org/officeDocument/2006/relationships/hyperlink" Target="https://musictech.com/news/gear/keda-music-launch-tabla-touch-the-worlds-first-electronic-tabla/" TargetMode="External"/><Relationship Id="rIdzffstp6c4ecw1l-af2w4a" Type="http://schemas.openxmlformats.org/officeDocument/2006/relationships/hyperlink" Target="https://price-history.in/product/sheesham-wood-tb-0081-hand-made-anH0xqG5" TargetMode="External"/><Relationship Id="rIdyuqjyw2oij3ari74y4omm" Type="http://schemas.openxmlformats.org/officeDocument/2006/relationships/hyperlink" Target="https://researchconnect.stonybrook.edu/en/publications/poster-a-multi-modal-autonomous-tutoring-system-for-indian-percus/" TargetMode="External"/><Relationship Id="rId2gdfxo1bosvth_d1q2vnv" Type="http://schemas.openxmlformats.org/officeDocument/2006/relationships/hyperlink" Target="https://artlab.harvard.edu/interfaces-to-enhance-learning-and-experience-dance-performance-with-dr-shriya-srinivasan" TargetMode="External"/><Relationship Id="rIdwxynk-kpaypetrmhkihnh" Type="http://schemas.openxmlformats.org/officeDocument/2006/relationships/hyperlink" Target="https://www.cbseacademic.nic.in/web_material/CurriculumMain24/Sec/Hindustani_Music_Percussion_Sec_2023-24.pdf" TargetMode="External"/><Relationship Id="rIdxlwibi6vzudqbem8gvzsv" Type="http://schemas.openxmlformats.org/officeDocument/2006/relationships/hyperlink" Target="https://kalautsav.ncert.gov.in/pdf/2024/Kala_Utsav_2025_Guidelines.pdf" TargetMode="External"/><Relationship Id="rIdbmvsashiyo6y3xaczxdam" Type="http://schemas.openxmlformats.org/officeDocument/2006/relationships/hyperlink" Target="https://psscive.ac.in/storage/uploads/documents/1722421697_Implementation%20of%2010%20Bagless%20Days%20in%20School.pdf" TargetMode="External"/><Relationship Id="rId11" Type="http://schemas.openxmlformats.org/officeDocument/2006/relationships/image" Target="media/897c2d17cd06b8cebee4b72a927b3dad960faf67.png"/><Relationship Id="rId12" Type="http://schemas.openxmlformats.org/officeDocument/2006/relationships/image" Target="media/b2f8bdd6143c4a8203e77d97da61d763558b8b14.png"/><Relationship Id="rId13" Type="http://schemas.openxmlformats.org/officeDocument/2006/relationships/image" Target="media/ebc88d1221287e8e12839777db357d3f164016ba.png"/><Relationship Id="rId14" Type="http://schemas.openxmlformats.org/officeDocument/2006/relationships/image" Target="media/14b36b36b2a0f0db5ee74e683bc1e968f69016f0.png"/><Relationship Id="rId15" Type="http://schemas.openxmlformats.org/officeDocument/2006/relationships/image" Target="media/1492f11e92e6da04e8297ae101b3d4d7b451dd90.png"/><Relationship Id="rId9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PARAMPARA 2.0: Final Research Dossier</dc:title>
  <dc:creator>Team PARAMPARA</dc:creator>
  <dc:description>Merged, fact-checked research dossier for SIH 2026 PS 26214</dc:description>
  <cp:lastModifiedBy>Un-named</cp:lastModifiedBy>
  <cp:revision>1</cp:revision>
  <dcterms:created xsi:type="dcterms:W3CDTF">2026-10-04T20:20:34.513Z</dcterms:created>
  <dcterms:modified xsi:type="dcterms:W3CDTF">2026-10-04T20:20:34.513Z</dcterms:modified>
</cp:coreProperties>
</file>

<file path=docProps/custom.xml><?xml version="1.0" encoding="utf-8"?>
<Properties xmlns="http://schemas.openxmlformats.org/officeDocument/2006/custom-properties" xmlns:vt="http://schemas.openxmlformats.org/officeDocument/2006/docPropsVTypes"/>
</file>