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p>
    <w:p>
      <w:pPr>
        <w:spacing w:after="200"/>
      </w:pPr>
      <w:r>
        <w:rPr>
          <w:rFonts w:ascii="Arial" w:cs="Arial" w:eastAsia="Arial" w:hAnsi="Arial"/>
          <w:b/>
          <w:bCs/>
          <w:color w:val="B8901A"/>
          <w:spacing w:val="40"/>
          <w:sz w:val="20"/>
          <w:szCs w:val="20"/>
        </w:rPr>
        <w:t xml:space="preserve">SMART INDIA HACKATHON 2026  ·  PS 26214</w:t>
      </w:r>
    </w:p>
    <w:p>
      <w:pPr>
        <w:spacing w:after="60"/>
      </w:pPr>
      <w:r>
        <w:rPr>
          <w:rFonts w:ascii="Arial" w:cs="Arial" w:eastAsia="Arial" w:hAnsi="Arial"/>
          <w:b/>
          <w:bCs/>
          <w:color w:val="7A1F1F"/>
          <w:spacing w:val="60"/>
          <w:sz w:val="88"/>
          <w:szCs w:val="88"/>
        </w:rPr>
        <w:t xml:space="preserve">PARAMPARA</w:t>
      </w:r>
    </w:p>
    <w:p>
      <w:pPr>
        <w:spacing w:after="240"/>
      </w:pPr>
      <w:r>
        <w:rPr>
          <w:rFonts w:ascii="Arial" w:cs="Arial" w:eastAsia="Arial" w:hAnsi="Arial"/>
          <w:color w:val="1F4E79"/>
          <w:sz w:val="40"/>
          <w:szCs w:val="40"/>
        </w:rPr>
        <w:t xml:space="preserve">Feel the Master's Hand</w:t>
      </w:r>
    </w:p>
    <w:p>
      <w:pPr>
        <w:pBdr>
          <w:left w:val="single" w:color="B8901A" w:sz="24" w:space="12"/>
        </w:pBdr>
        <w:spacing w:after="480"/>
        <w:ind w:left="240"/>
      </w:pPr>
      <w:r>
        <w:rPr>
          <w:rFonts w:ascii="Arial" w:cs="Arial" w:eastAsia="Arial" w:hAnsi="Arial"/>
          <w:color w:val="222222"/>
          <w:sz w:val="26"/>
          <w:szCs w:val="26"/>
        </w:rPr>
        <w:t xml:space="preserve">One sensor sleeve, from the fingers to the shoulder. Three living crafts: tabla, handloom and puppetry. We measure how a master moves, prove it is the master's, teach it, and step back until the learner performs alone.</w:t>
      </w:r>
    </w:p>
    <w:p>
      <w:pPr>
        <w:spacing w:after="80"/>
      </w:pPr>
      <w:r>
        <w:rPr>
          <w:rFonts w:ascii="Arial" w:cs="Arial" w:eastAsia="Arial" w:hAnsi="Arial"/>
          <w:b/>
          <w:bCs/>
          <w:color w:val="222222"/>
          <w:sz w:val="24"/>
          <w:szCs w:val="24"/>
        </w:rPr>
        <w:t xml:space="preserve">Final solution document · version 5</w:t>
      </w:r>
    </w:p>
    <w:p>
      <w:pPr>
        <w:spacing w:after="80"/>
      </w:pPr>
      <w:r>
        <w:rPr>
          <w:rFonts w:ascii="Arial" w:cs="Arial" w:eastAsia="Arial" w:hAnsi="Arial"/>
          <w:color w:val="5E5E5E"/>
          <w:sz w:val="20"/>
          <w:szCs w:val="20"/>
        </w:rPr>
        <w:t xml:space="preserve">AICTE · MIC Student Innovation · Heritage &amp; Culture · Hardware</w:t>
      </w:r>
    </w:p>
    <w:p>
      <w:pPr>
        <w:spacing w:after="600"/>
      </w:pPr>
      <w:r>
        <w:rPr>
          <w:rFonts w:ascii="Arial" w:cs="Arial" w:eastAsia="Arial" w:hAnsi="Arial"/>
          <w:color w:val="5E5E5E"/>
          <w:sz w:val="20"/>
          <w:szCs w:val="20"/>
        </w:rPr>
        <w:t xml:space="preserve">4 October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9CFC0" w:sz="4"/>
              <w:left w:val="single" w:color="7A1F1F" w:sz="24"/>
              <w:bottom w:val="single" w:color="D9CFC0" w:sz="4"/>
              <w:right w:val="single" w:color="D9CFC0" w:sz="4"/>
            </w:tcBorders>
            <w:shd w:fill="FBF6EC" w:color="auto" w:val="clear"/>
            <w:tcMar>
              <w:top w:type="dxa" w:w="120"/>
              <w:left w:type="dxa" w:w="200"/>
              <w:bottom w:type="dxa" w:w="100"/>
              <w:right w:type="dxa" w:w="160"/>
            </w:tcMar>
          </w:tcPr>
          <w:p>
            <w:pPr>
              <w:spacing w:after="80"/>
            </w:pPr>
            <w:r>
              <w:rPr>
                <w:rFonts w:ascii="Arial" w:cs="Arial" w:eastAsia="Arial" w:hAnsi="Arial"/>
                <w:b/>
                <w:bCs/>
                <w:color w:val="7A1F1F"/>
                <w:sz w:val="21"/>
                <w:szCs w:val="21"/>
              </w:rPr>
              <w:t xml:space="preserve">In one minute</w:t>
            </w:r>
          </w:p>
          <w:p>
            <w:pPr>
              <w:pStyle w:val="ListParagraph"/>
              <w:numPr>
                <w:ilvl w:val="0"/>
                <w:numId w:val="2"/>
              </w:numPr>
              <w:spacing w:after="50" w:line="262"/>
            </w:pPr>
            <w:r>
              <w:rPr>
                <w:rFonts w:ascii="Arial" w:cs="Arial" w:eastAsia="Arial" w:hAnsi="Arial"/>
                <w:b/>
                <w:bCs/>
                <w:color w:val="222222"/>
                <w:sz w:val="19"/>
                <w:szCs w:val="19"/>
              </w:rPr>
              <w:t xml:space="preserve">One innovation:</w:t>
            </w:r>
            <w:r>
              <w:rPr>
                <w:rFonts w:ascii="Arial" w:cs="Arial" w:eastAsia="Arial" w:hAnsi="Arial"/>
                <w:color w:val="222222"/>
                <w:sz w:val="19"/>
                <w:szCs w:val="19"/>
              </w:rPr>
              <w:t xml:space="preserve"> a master's Skill Fingerprint (how every finger, the wrist, elbow and shoulder move, plus what the tool does), used as a teaching reference.</w:t>
            </w:r>
          </w:p>
          <w:p>
            <w:pPr>
              <w:pStyle w:val="ListParagraph"/>
              <w:numPr>
                <w:ilvl w:val="0"/>
                <w:numId w:val="2"/>
              </w:numPr>
              <w:spacing w:after="50" w:line="262"/>
            </w:pPr>
            <w:r>
              <w:rPr>
                <w:rFonts w:ascii="Arial" w:cs="Arial" w:eastAsia="Arial" w:hAnsi="Arial"/>
                <w:b/>
                <w:bCs/>
                <w:color w:val="222222"/>
                <w:sz w:val="19"/>
                <w:szCs w:val="19"/>
              </w:rPr>
              <w:t xml:space="preserve">Tabla is the flagship;</w:t>
            </w:r>
            <w:r>
              <w:rPr>
                <w:rFonts w:ascii="Arial" w:cs="Arial" w:eastAsia="Arial" w:hAnsi="Arial"/>
                <w:color w:val="222222"/>
                <w:sz w:val="19"/>
                <w:szCs w:val="19"/>
              </w:rPr>
              <w:t xml:space="preserve"> handloom and Kathputli puppetry show the same sleeve and code generalise.</w:t>
            </w:r>
          </w:p>
          <w:p>
            <w:pPr>
              <w:pStyle w:val="ListParagraph"/>
              <w:numPr>
                <w:ilvl w:val="0"/>
                <w:numId w:val="2"/>
              </w:numPr>
              <w:spacing w:after="50" w:line="262"/>
            </w:pPr>
            <w:r>
              <w:rPr>
                <w:rFonts w:ascii="Arial" w:cs="Arial" w:eastAsia="Arial" w:hAnsi="Arial"/>
                <w:b/>
                <w:bCs/>
                <w:color w:val="222222"/>
                <w:sz w:val="19"/>
                <w:szCs w:val="19"/>
              </w:rPr>
              <w:t xml:space="preserve">Exact equipment:</w:t>
            </w:r>
            <w:r>
              <w:rPr>
                <w:rFonts w:ascii="Arial" w:cs="Arial" w:eastAsia="Arial" w:hAnsi="Arial"/>
                <w:color w:val="222222"/>
                <w:sz w:val="19"/>
                <w:szCs w:val="19"/>
              </w:rPr>
              <w:t xml:space="preserve"> CAD-drawn sleeve with datasheet-checked parts, power, data and mass budgets, and eight bench tests.</w:t>
            </w:r>
          </w:p>
          <w:p>
            <w:pPr>
              <w:pStyle w:val="ListParagraph"/>
              <w:numPr>
                <w:ilvl w:val="0"/>
                <w:numId w:val="2"/>
              </w:numPr>
              <w:spacing w:after="50" w:line="262"/>
            </w:pPr>
            <w:r>
              <w:rPr>
                <w:rFonts w:ascii="Arial" w:cs="Arial" w:eastAsia="Arial" w:hAnsi="Arial"/>
                <w:b/>
                <w:bCs/>
                <w:color w:val="222222"/>
                <w:sz w:val="19"/>
                <w:szCs w:val="19"/>
              </w:rPr>
              <w:t xml:space="preserve">Real data today:</w:t>
            </w:r>
            <w:r>
              <w:rPr>
                <w:rFonts w:ascii="Arial" w:cs="Arial" w:eastAsia="Arial" w:hAnsi="Arial"/>
                <w:color w:val="222222"/>
                <w:sz w:val="19"/>
                <w:szCs w:val="19"/>
              </w:rPr>
              <w:t xml:space="preserve"> on 10 professional drummers, our method names the performer on a new session and in a new style at about three times chance.</w:t>
            </w:r>
          </w:p>
          <w:p>
            <w:pPr>
              <w:pStyle w:val="ListParagraph"/>
              <w:numPr>
                <w:ilvl w:val="0"/>
                <w:numId w:val="2"/>
              </w:numPr>
              <w:spacing w:after="50" w:line="262"/>
            </w:pPr>
            <w:r>
              <w:rPr>
                <w:rFonts w:ascii="Arial" w:cs="Arial" w:eastAsia="Arial" w:hAnsi="Arial"/>
                <w:b/>
                <w:bCs/>
                <w:color w:val="222222"/>
                <w:sz w:val="19"/>
                <w:szCs w:val="19"/>
              </w:rPr>
              <w:t xml:space="preserve">Learning counted with the device off,</w:t>
            </w:r>
            <w:r>
              <w:rPr>
                <w:rFonts w:ascii="Arial" w:cs="Arial" w:eastAsia="Arial" w:hAnsi="Arial"/>
                <w:color w:val="222222"/>
                <w:sz w:val="19"/>
                <w:szCs w:val="19"/>
              </w:rPr>
              <w:t xml:space="preserve"> and the master owns the recording.</w:t>
            </w:r>
          </w:p>
        </w:tc>
      </w:tr>
    </w:tbl>
    <w:p>
      <w:pPr>
        <w:spacing w:after="100"/>
      </w:pPr>
    </w:p>
    <w:p>
      <w:r>
        <w:br w:type="page"/>
      </w:r>
    </w:p>
    <w:p>
      <w:pPr>
        <w:pStyle w:val="Heading2"/>
        <w:keepNext/>
      </w:pPr>
      <w:r>
        <w:rPr>
          <w:rFonts w:ascii="Arial" w:cs="Arial" w:eastAsia="Arial" w:hAnsi="Arial"/>
        </w:rPr>
        <w:t xml:space="preserve">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7943"/>
      </w:tblGrid>
      <w:tr>
        <w:trPr>
          <w:cantSplit/>
        </w:trPr>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1</w:t>
            </w:r>
          </w:p>
        </w:tc>
        <w:tc>
          <w:tcPr>
            <w:tcW w:type="dxa" w:w="79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The idea on one page</w:t>
            </w:r>
          </w:p>
        </w:tc>
      </w:tr>
      <w:tr>
        <w:trPr>
          <w:cantSplit/>
        </w:trPr>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2</w:t>
            </w:r>
          </w:p>
        </w:tc>
        <w:tc>
          <w:tcPr>
            <w:tcW w:type="dxa" w:w="794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The problem: three crafts, one gap</w:t>
            </w:r>
          </w:p>
        </w:tc>
      </w:tr>
      <w:tr>
        <w:trPr>
          <w:cantSplit/>
        </w:trPr>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3</w:t>
            </w:r>
          </w:p>
        </w:tc>
        <w:tc>
          <w:tcPr>
            <w:tcW w:type="dxa" w:w="79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The innovation: a master's Skill Fingerprint, fingers to shoulder</w:t>
            </w:r>
          </w:p>
        </w:tc>
      </w:tr>
      <w:tr>
        <w:trPr>
          <w:cantSplit/>
        </w:trPr>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4</w:t>
            </w:r>
          </w:p>
        </w:tc>
        <w:tc>
          <w:tcPr>
            <w:tcW w:type="dxa" w:w="794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The equipment, exactly: drawings, datasheets, budgets and bench tests</w:t>
            </w:r>
          </w:p>
        </w:tc>
      </w:tr>
      <w:tr>
        <w:trPr>
          <w:cantSplit/>
        </w:trPr>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5</w:t>
            </w:r>
          </w:p>
        </w:tc>
        <w:tc>
          <w:tcPr>
            <w:tcW w:type="dxa" w:w="79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How it works: Fingerprint, Teach, Fade, Measure, Own</w:t>
            </w:r>
          </w:p>
        </w:tc>
      </w:tr>
      <w:tr>
        <w:trPr>
          <w:cantSplit/>
        </w:trPr>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6</w:t>
            </w:r>
          </w:p>
        </w:tc>
        <w:tc>
          <w:tcPr>
            <w:tcW w:type="dxa" w:w="794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Evidence today: a real-data test on ten drummers</w:t>
            </w:r>
          </w:p>
        </w:tc>
      </w:tr>
      <w:tr>
        <w:trPr>
          <w:cantSplit/>
        </w:trPr>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7</w:t>
            </w:r>
          </w:p>
        </w:tc>
        <w:tc>
          <w:tcPr>
            <w:tcW w:type="dxa" w:w="79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Validation plan: E0–E5</w:t>
            </w:r>
          </w:p>
        </w:tc>
      </w:tr>
      <w:tr>
        <w:trPr>
          <w:cantSplit/>
        </w:trPr>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8</w:t>
            </w:r>
          </w:p>
        </w:tc>
        <w:tc>
          <w:tcPr>
            <w:tcW w:type="dxa" w:w="794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What we build for SIH</w:t>
            </w:r>
          </w:p>
        </w:tc>
      </w:tr>
      <w:tr>
        <w:trPr>
          <w:cantSplit/>
        </w:trPr>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9</w:t>
            </w:r>
          </w:p>
        </w:tc>
        <w:tc>
          <w:tcPr>
            <w:tcW w:type="dxa" w:w="79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Evidence from published research</w:t>
            </w:r>
          </w:p>
        </w:tc>
      </w:tr>
      <w:tr>
        <w:trPr>
          <w:cantSplit/>
        </w:trPr>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10</w:t>
            </w:r>
          </w:p>
        </w:tc>
        <w:tc>
          <w:tcPr>
            <w:tcW w:type="dxa" w:w="794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Feasibility</w:t>
            </w:r>
          </w:p>
        </w:tc>
      </w:tr>
      <w:tr>
        <w:trPr>
          <w:cantSplit/>
        </w:trPr>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11</w:t>
            </w:r>
          </w:p>
        </w:tc>
        <w:tc>
          <w:tcPr>
            <w:tcW w:type="dxa" w:w="79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Viability: institution-first, craft by craft</w:t>
            </w:r>
          </w:p>
        </w:tc>
      </w:tr>
      <w:tr>
        <w:trPr>
          <w:cantSplit/>
        </w:trPr>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12</w:t>
            </w:r>
          </w:p>
        </w:tc>
        <w:tc>
          <w:tcPr>
            <w:tcW w:type="dxa" w:w="794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Impact</w:t>
            </w:r>
          </w:p>
        </w:tc>
      </w:tr>
      <w:tr>
        <w:trPr>
          <w:cantSplit/>
        </w:trPr>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13</w:t>
            </w:r>
          </w:p>
        </w:tc>
        <w:tc>
          <w:tcPr>
            <w:tcW w:type="dxa" w:w="79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The pitch</w:t>
            </w:r>
          </w:p>
        </w:tc>
      </w:tr>
      <w:tr>
        <w:trPr>
          <w:cantSplit/>
        </w:trPr>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14</w:t>
            </w:r>
          </w:p>
        </w:tc>
        <w:tc>
          <w:tcPr>
            <w:tcW w:type="dxa" w:w="794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Limits we state openly</w:t>
            </w:r>
          </w:p>
        </w:tc>
      </w:tr>
      <w:tr>
        <w:trPr>
          <w:cantSplit/>
        </w:trPr>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15</w:t>
            </w:r>
          </w:p>
        </w:tc>
        <w:tc>
          <w:tcPr>
            <w:tcW w:type="dxa" w:w="79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Roadmap after SIH</w:t>
            </w:r>
          </w:p>
        </w:tc>
      </w:tr>
      <w:tr>
        <w:trPr>
          <w:cantSplit/>
        </w:trPr>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16</w:t>
            </w:r>
          </w:p>
        </w:tc>
        <w:tc>
          <w:tcPr>
            <w:tcW w:type="dxa" w:w="794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References</w:t>
            </w:r>
          </w:p>
        </w:tc>
      </w:tr>
      <w:tr>
        <w:trPr>
          <w:cantSplit/>
        </w:trPr>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A–G</w:t>
            </w:r>
          </w:p>
        </w:tc>
        <w:tc>
          <w:tcPr>
            <w:tcW w:type="dxa" w:w="79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Execution kit: partner kit, E1 protocol, other protocols, demo checklist, simulations, reference check and parameters, CAD and code index</w:t>
            </w:r>
          </w:p>
        </w:tc>
      </w:tr>
    </w:tbl>
    <w:p>
      <w:pPr>
        <w:spacing w:after="80"/>
      </w:pPr>
    </w:p>
    <w:p>
      <w:pPr>
        <w:spacing w:after="120" w:before="0" w:line="276"/>
        <w:jc w:val="left"/>
      </w:pPr>
      <w:r>
        <w:rPr>
          <w:rFonts w:ascii="Arial" w:cs="Arial" w:eastAsia="Arial" w:hAnsi="Arial"/>
          <w:color w:val="5E5E5E"/>
          <w:sz w:val="18"/>
          <w:szCs w:val="18"/>
        </w:rPr>
        <w:t xml:space="preserve">Citations like [12] point to Section 16. Every reference carries a status: </w:t>
      </w:r>
      <w:r>
        <w:rPr>
          <w:rFonts w:ascii="Arial" w:cs="Arial" w:eastAsia="Arial" w:hAnsi="Arial"/>
          <w:b/>
          <w:bCs/>
          <w:color w:val="5E5E5E"/>
          <w:sz w:val="18"/>
          <w:szCs w:val="18"/>
        </w:rPr>
        <w:t xml:space="preserve">V</w:t>
      </w:r>
      <w:r>
        <w:rPr>
          <w:rFonts w:ascii="Arial" w:cs="Arial" w:eastAsia="Arial" w:hAnsi="Arial"/>
          <w:color w:val="5E5E5E"/>
          <w:sz w:val="18"/>
          <w:szCs w:val="18"/>
        </w:rPr>
        <w:t xml:space="preserve"> verified by live web search in October 2026, </w:t>
      </w:r>
      <w:r>
        <w:rPr>
          <w:rFonts w:ascii="Arial" w:cs="Arial" w:eastAsia="Arial" w:hAnsi="Arial"/>
          <w:b/>
          <w:bCs/>
          <w:color w:val="5E5E5E"/>
          <w:sz w:val="18"/>
          <w:szCs w:val="18"/>
        </w:rPr>
        <w:t xml:space="preserve">P</w:t>
      </w:r>
      <w:r>
        <w:rPr>
          <w:rFonts w:ascii="Arial" w:cs="Arial" w:eastAsia="Arial" w:hAnsi="Arial"/>
          <w:color w:val="5E5E5E"/>
          <w:sz w:val="18"/>
          <w:szCs w:val="18"/>
        </w:rPr>
        <w:t xml:space="preserve"> existence verified with some details from memory, </w:t>
      </w:r>
      <w:r>
        <w:rPr>
          <w:rFonts w:ascii="Arial" w:cs="Arial" w:eastAsia="Arial" w:hAnsi="Arial"/>
          <w:b/>
          <w:bCs/>
          <w:color w:val="5E5E5E"/>
          <w:sz w:val="18"/>
          <w:szCs w:val="18"/>
        </w:rPr>
        <w:t xml:space="preserve">S</w:t>
      </w:r>
      <w:r>
        <w:rPr>
          <w:rFonts w:ascii="Arial" w:cs="Arial" w:eastAsia="Arial" w:hAnsi="Arial"/>
          <w:color w:val="5E5E5E"/>
          <w:sz w:val="18"/>
          <w:szCs w:val="18"/>
        </w:rPr>
        <w:t xml:space="preserve"> a standard textbook or classic paper. Numbers we have not yet measured are marked </w:t>
      </w:r>
      <w:r>
        <w:rPr>
          <w:rFonts w:ascii="Arial" w:cs="Arial" w:eastAsia="Arial" w:hAnsi="Arial"/>
          <w:b/>
          <w:bCs/>
          <w:color w:val="5E5E5E"/>
          <w:sz w:val="18"/>
          <w:szCs w:val="18"/>
        </w:rPr>
        <w:t xml:space="preserve">[Target]</w:t>
      </w:r>
      <w:r>
        <w:rPr>
          <w:rFonts w:ascii="Arial" w:cs="Arial" w:eastAsia="Arial" w:hAnsi="Arial"/>
          <w:color w:val="5E5E5E"/>
          <w:sz w:val="18"/>
          <w:szCs w:val="18"/>
        </w:rPr>
        <w:t xml:space="preserve">; engineering estimates are marked </w:t>
      </w:r>
      <w:r>
        <w:rPr>
          <w:rFonts w:ascii="Arial" w:cs="Arial" w:eastAsia="Arial" w:hAnsi="Arial"/>
          <w:b/>
          <w:bCs/>
          <w:color w:val="5E5E5E"/>
          <w:sz w:val="18"/>
          <w:szCs w:val="18"/>
        </w:rPr>
        <w:t xml:space="preserve">[Estimate]</w:t>
      </w:r>
      <w:r>
        <w:rPr>
          <w:rFonts w:ascii="Arial" w:cs="Arial" w:eastAsia="Arial" w:hAnsi="Arial"/>
          <w:color w:val="5E5E5E"/>
          <w:sz w:val="18"/>
          <w:szCs w:val="18"/>
        </w:rPr>
        <w:t xml:space="preserve">. All equipment images are </w:t>
      </w:r>
      <w:r>
        <w:rPr>
          <w:rFonts w:ascii="Arial" w:cs="Arial" w:eastAsia="Arial" w:hAnsi="Arial"/>
          <w:b/>
          <w:bCs/>
          <w:color w:val="5E5E5E"/>
          <w:sz w:val="18"/>
          <w:szCs w:val="18"/>
        </w:rPr>
        <w:t xml:space="preserve">CAD renders of our design, not photographs</w:t>
      </w:r>
      <w:r>
        <w:rPr>
          <w:rFonts w:ascii="Arial" w:cs="Arial" w:eastAsia="Arial" w:hAnsi="Arial"/>
          <w:color w:val="5E5E5E"/>
          <w:sz w:val="18"/>
          <w:szCs w:val="18"/>
        </w:rPr>
        <w:t xml:space="preserve">.</w:t>
      </w:r>
    </w:p>
    <w:p>
      <w:pPr>
        <w:pStyle w:val="Heading1"/>
        <w:keepNext/>
        <w:pageBreakBefore/>
        <w:spacing w:after="200" w:before="0"/>
      </w:pPr>
      <w:r>
        <w:rPr>
          <w:rFonts w:ascii="Arial" w:cs="Arial" w:eastAsia="Arial" w:hAnsi="Arial"/>
        </w:rPr>
        <w:t xml:space="preserve">1. The idea on one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9CFC0" w:sz="4"/>
              <w:left w:val="single" w:color="7A1F1F" w:sz="24"/>
              <w:bottom w:val="single" w:color="D9CFC0" w:sz="4"/>
              <w:right w:val="single" w:color="D9CFC0" w:sz="4"/>
            </w:tcBorders>
            <w:shd w:fill="FBF6EC" w:color="auto" w:val="clear"/>
            <w:tcMar>
              <w:top w:type="dxa" w:w="120"/>
              <w:left w:type="dxa" w:w="200"/>
              <w:bottom w:type="dxa" w:w="100"/>
              <w:right w:type="dxa" w:w="160"/>
            </w:tcMar>
          </w:tcPr>
          <w:p>
            <w:pPr>
              <w:spacing w:after="80"/>
            </w:pPr>
            <w:r>
              <w:rPr>
                <w:rFonts w:ascii="Arial" w:cs="Arial" w:eastAsia="Arial" w:hAnsi="Arial"/>
                <w:b/>
                <w:bCs/>
                <w:color w:val="7A1F1F"/>
                <w:sz w:val="21"/>
                <w:szCs w:val="21"/>
              </w:rPr>
              <w:t xml:space="preserve">The problem</w:t>
            </w:r>
          </w:p>
          <w:p>
            <w:pPr>
              <w:spacing w:after="70" w:line="266"/>
            </w:pPr>
            <w:r>
              <w:rPr>
                <w:rFonts w:ascii="Arial" w:cs="Arial" w:eastAsia="Arial" w:hAnsi="Arial"/>
                <w:color w:val="222222"/>
                <w:sz w:val="19"/>
                <w:szCs w:val="19"/>
              </w:rPr>
              <w:t xml:space="preserve">In tabla, handloom weaving and string puppetry, a master's skill lives in the hands and arms: which finger moves, how the wrist, elbow and shoulder work together, and the rhythm of it all. It passes on only face to face, over years. India's handloom workforce fell from 43.32 lakh to 35.22 lakh between the last two censuses </w:t>
            </w:r>
            <w:r>
              <w:rPr>
                <w:rFonts w:ascii="Arial" w:cs="Arial" w:eastAsia="Arial" w:hAnsi="Arial"/>
                <w:b w:val="false"/>
                <w:bCs w:val="false"/>
                <w:color w:val="1F4E79"/>
                <w:sz w:val="19"/>
                <w:szCs w:val="19"/>
              </w:rPr>
              <w:t xml:space="preserve">[66]</w:t>
            </w:r>
            <w:r>
              <w:rPr>
                <w:rFonts w:ascii="Arial" w:cs="Arial" w:eastAsia="Arial" w:hAnsi="Arial"/>
                <w:color w:val="222222"/>
                <w:sz w:val="19"/>
                <w:szCs w:val="19"/>
              </w:rPr>
              <w:t xml:space="preserve">; Delhi's puppeteer colony was demolished in 2017 </w:t>
            </w:r>
            <w:r>
              <w:rPr>
                <w:rFonts w:ascii="Arial" w:cs="Arial" w:eastAsia="Arial" w:hAnsi="Arial"/>
                <w:b w:val="false"/>
                <w:bCs w:val="false"/>
                <w:color w:val="1F4E79"/>
                <w:sz w:val="19"/>
                <w:szCs w:val="19"/>
              </w:rPr>
              <w:t xml:space="preserve">[73]</w:t>
            </w:r>
            <w:r>
              <w:rPr>
                <w:rFonts w:ascii="Arial" w:cs="Arial" w:eastAsia="Arial" w:hAnsi="Arial"/>
                <w:color w:val="222222"/>
                <w:sz w:val="19"/>
                <w:szCs w:val="19"/>
              </w:rPr>
              <w:t xml:space="preserve">; and archives keep how masters </w:t>
            </w:r>
            <w:r>
              <w:rPr>
                <w:rFonts w:ascii="Arial" w:cs="Arial" w:eastAsia="Arial" w:hAnsi="Arial"/>
                <w:b/>
                <w:bCs/>
                <w:color w:val="222222"/>
                <w:sz w:val="19"/>
                <w:szCs w:val="19"/>
              </w:rPr>
              <w:t xml:space="preserve">sound and look</w:t>
            </w:r>
            <w:r>
              <w:rPr>
                <w:rFonts w:ascii="Arial" w:cs="Arial" w:eastAsia="Arial" w:hAnsi="Arial"/>
                <w:color w:val="222222"/>
                <w:sz w:val="19"/>
                <w:szCs w:val="19"/>
              </w:rPr>
              <w:t xml:space="preserve"> </w:t>
            </w:r>
            <w:r>
              <w:rPr>
                <w:rFonts w:ascii="Arial" w:cs="Arial" w:eastAsia="Arial" w:hAnsi="Arial"/>
                <w:b w:val="false"/>
                <w:bCs w:val="false"/>
                <w:color w:val="1F4E79"/>
                <w:sz w:val="19"/>
                <w:szCs w:val="19"/>
              </w:rPr>
              <w:t xml:space="preserve">[50]</w:t>
            </w:r>
            <w:r>
              <w:rPr>
                <w:rFonts w:ascii="Arial" w:cs="Arial" w:eastAsia="Arial" w:hAnsi="Arial"/>
                <w:color w:val="222222"/>
                <w:sz w:val="19"/>
                <w:szCs w:val="19"/>
              </w:rPr>
              <w:t xml:space="preserve">, not how they </w:t>
            </w:r>
            <w:r>
              <w:rPr>
                <w:rFonts w:ascii="Arial" w:cs="Arial" w:eastAsia="Arial" w:hAnsi="Arial"/>
                <w:b/>
                <w:bCs/>
                <w:color w:val="222222"/>
                <w:sz w:val="19"/>
                <w:szCs w:val="19"/>
              </w:rPr>
              <w:t xml:space="preserve">move</w:t>
            </w:r>
            <w:r>
              <w:rPr>
                <w:rFonts w:ascii="Arial" w:cs="Arial" w:eastAsia="Arial" w:hAnsi="Arial"/>
                <w:color w:val="222222"/>
                <w:sz w:val="19"/>
                <w:szCs w:val="19"/>
              </w:rPr>
              <w:t xml:space="preserve">.</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9CFC0" w:sz="4"/>
              <w:left w:val="single" w:color="1F4E79" w:sz="24"/>
              <w:bottom w:val="single" w:color="D9CFC0" w:sz="4"/>
              <w:right w:val="single" w:color="D9CFC0" w:sz="4"/>
            </w:tcBorders>
            <w:shd w:fill="EEF3F8" w:color="auto" w:val="clear"/>
            <w:tcMar>
              <w:top w:type="dxa" w:w="120"/>
              <w:left w:type="dxa" w:w="200"/>
              <w:bottom w:type="dxa" w:w="100"/>
              <w:right w:type="dxa" w:w="160"/>
            </w:tcMar>
          </w:tcPr>
          <w:p>
            <w:pPr>
              <w:spacing w:after="80"/>
            </w:pPr>
            <w:r>
              <w:rPr>
                <w:rFonts w:ascii="Arial" w:cs="Arial" w:eastAsia="Arial" w:hAnsi="Arial"/>
                <w:b/>
                <w:bCs/>
                <w:color w:val="1F4E79"/>
                <w:sz w:val="21"/>
                <w:szCs w:val="21"/>
              </w:rPr>
              <w:t xml:space="preserve">Our one innovation</w:t>
            </w:r>
          </w:p>
          <w:p>
            <w:pPr>
              <w:spacing w:after="70" w:line="266"/>
            </w:pPr>
            <w:r>
              <w:rPr>
                <w:rFonts w:ascii="Arial" w:cs="Arial" w:eastAsia="Arial" w:hAnsi="Arial"/>
                <w:b/>
                <w:bCs/>
                <w:color w:val="222222"/>
                <w:sz w:val="19"/>
                <w:szCs w:val="19"/>
              </w:rPr>
              <w:t xml:space="preserve">A master's Skill Fingerprint: a measured, consented record of how one master moves (every finger, the wrist, elbow and shoulder) and what their tool does, proven to belong to the master and not to their instrument or the day, and used as a teaching reference.</w:t>
            </w:r>
          </w:p>
          <w:p>
            <w:pPr>
              <w:spacing w:after="70" w:line="266"/>
            </w:pPr>
            <w:r>
              <w:rPr>
                <w:rFonts w:ascii="Arial" w:cs="Arial" w:eastAsia="Arial" w:hAnsi="Arial"/>
                <w:b/>
                <w:bCs/>
                <w:color w:val="222222"/>
                <w:sz w:val="19"/>
                <w:szCs w:val="19"/>
              </w:rPr>
              <w:t xml:space="preserve">Tabla is the flagship</w:t>
            </w:r>
            <w:r>
              <w:rPr>
                <w:rFonts w:ascii="Arial" w:cs="Arial" w:eastAsia="Arial" w:hAnsi="Arial"/>
                <w:color w:val="222222"/>
                <w:sz w:val="19"/>
                <w:szCs w:val="19"/>
              </w:rPr>
              <w:t xml:space="preserve">, validated end to end. Handloom and puppetry are </w:t>
            </w:r>
            <w:r>
              <w:rPr>
                <w:rFonts w:ascii="Arial" w:cs="Arial" w:eastAsia="Arial" w:hAnsi="Arial"/>
                <w:b/>
                <w:bCs/>
                <w:color w:val="222222"/>
                <w:sz w:val="19"/>
                <w:szCs w:val="19"/>
              </w:rPr>
              <w:t xml:space="preserve">generalisation demonstrations</w:t>
            </w:r>
            <w:r>
              <w:rPr>
                <w:rFonts w:ascii="Arial" w:cs="Arial" w:eastAsia="Arial" w:hAnsi="Arial"/>
                <w:color w:val="222222"/>
                <w:sz w:val="19"/>
                <w:szCs w:val="19"/>
              </w:rPr>
              <w:t xml:space="preserve"> of the same sleeve and the same code.</w:t>
            </w:r>
          </w:p>
        </w:tc>
      </w:tr>
    </w:tbl>
    <w:p>
      <w:pPr>
        <w:spacing w:after="100"/>
      </w:pPr>
    </w:p>
    <w:p>
      <w:pPr>
        <w:keepNext/>
        <w:spacing w:after="60" w:before="60"/>
        <w:jc w:val="center"/>
      </w:pPr>
      <w:r>
        <w:drawing>
          <wp:inline distT="0" distB="0" distL="0" distR="0">
            <wp:extent cx="5715000" cy="1990725"/>
            <wp:effectExtent t="0" r="0" b="0" l="0"/>
            <wp:docPr id="1" name="Figure 1. Five steps" descr="Figure 1. Five steps, plus ownership by the master." title="Figure 1. Five steps, plus ownership b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990725"/>
                    </a:xfrm>
                    <a:prstGeom prst="rect">
                      <a:avLst/>
                    </a:prstGeom>
                  </pic:spPr>
                </pic:pic>
              </a:graphicData>
            </a:graphic>
          </wp:inline>
        </w:drawing>
      </w:r>
    </w:p>
    <w:p>
      <w:pPr>
        <w:spacing w:after="180"/>
        <w:jc w:val="center"/>
      </w:pPr>
      <w:r>
        <w:rPr>
          <w:rFonts w:ascii="Arial" w:cs="Arial" w:eastAsia="Arial" w:hAnsi="Arial"/>
          <w:i/>
          <w:iCs/>
          <w:color w:val="5E5E5E"/>
          <w:sz w:val="17"/>
          <w:szCs w:val="17"/>
        </w:rPr>
        <w:t xml:space="preserve">Figure 1. Five steps, plus ownership by the master.</w:t>
      </w:r>
    </w:p>
    <w:p>
      <w:pPr>
        <w:pStyle w:val="Heading3"/>
        <w:keepNext/>
      </w:pPr>
      <w:r>
        <w:rPr>
          <w:rFonts w:ascii="Arial" w:cs="Arial" w:eastAsia="Arial" w:hAnsi="Arial"/>
        </w:rPr>
        <w:t xml:space="preserve">Why three crafts, and why these three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26"/>
        <w:gridCol w:w="2415"/>
        <w:gridCol w:w="2797"/>
        <w:gridCol w:w="2288"/>
      </w:tblGrid>
      <w:tr>
        <w:trPr>
          <w:cantSplit/>
          <w:tblHeader/>
        </w:trPr>
        <w:tc>
          <w:tcPr>
            <w:tcW w:type="dxa" w:w="152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Craft</w:t>
            </w:r>
          </w:p>
        </w:tc>
        <w:tc>
          <w:tcPr>
            <w:tcW w:type="dxa" w:w="241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Kind of skill</w:t>
            </w:r>
          </w:p>
        </w:tc>
        <w:tc>
          <w:tcPr>
            <w:tcW w:type="dxa" w:w="279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the tool sensor measures</w:t>
            </w:r>
          </w:p>
        </w:tc>
        <w:tc>
          <w:tcPr>
            <w:tcW w:type="dxa" w:w="228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The 'cycle' we compare</w:t>
            </w:r>
          </w:p>
        </w:tc>
      </w:tr>
      <w:tr>
        <w:trPr>
          <w:cantSplit/>
        </w:trPr>
        <w:tc>
          <w:tcPr>
            <w:tcW w:type="dxa" w:w="152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Tabla (flagship)</w:t>
            </w:r>
          </w:p>
        </w:tc>
        <w:tc>
          <w:tcPr>
            <w:tcW w:type="dxa" w:w="241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Fast striking rhythm</w:t>
            </w:r>
          </w:p>
        </w:tc>
        <w:tc>
          <w:tcPr>
            <w:tcW w:type="dxa" w:w="279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A piezo on each drum: stroke time and strength</w:t>
            </w:r>
          </w:p>
        </w:tc>
        <w:tc>
          <w:tcPr>
            <w:tcW w:type="dxa" w:w="228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One tal cycle (16 beats of Teentaal)</w:t>
            </w:r>
          </w:p>
        </w:tc>
      </w:tr>
      <w:tr>
        <w:trPr>
          <w:cantSplit/>
        </w:trPr>
        <w:tc>
          <w:tcPr>
            <w:tcW w:type="dxa" w:w="152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Handloom (demo)</w:t>
            </w:r>
          </w:p>
        </w:tc>
        <w:tc>
          <w:tcPr>
            <w:tcW w:type="dxa" w:w="241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Whole-arm coordination and force in a steady rhythm</w:t>
            </w:r>
          </w:p>
        </w:tc>
        <w:tc>
          <w:tcPr>
            <w:tcW w:type="dxa" w:w="279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Beater motion, treadle switches, a phone photo of the cloth</w:t>
            </w:r>
          </w:p>
        </w:tc>
        <w:tc>
          <w:tcPr>
            <w:tcW w:type="dxa" w:w="228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One pick: open the shed, throw, beat</w:t>
            </w:r>
          </w:p>
        </w:tc>
      </w:tr>
      <w:tr>
        <w:trPr>
          <w:cantSplit/>
        </w:trPr>
        <w:tc>
          <w:tcPr>
            <w:tcW w:type="dxa" w:w="152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String puppetry (demo)</w:t>
            </w:r>
          </w:p>
        </w:tc>
        <w:tc>
          <w:tcPr>
            <w:tcW w:type="dxa" w:w="241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Fine, expressive finger control</w:t>
            </w:r>
          </w:p>
        </w:tc>
        <w:tc>
          <w:tcPr>
            <w:tcW w:type="dxa" w:w="279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A small motion sensor inside the puppet</w:t>
            </w:r>
          </w:p>
        </w:tc>
        <w:tc>
          <w:tcPr>
            <w:tcW w:type="dxa" w:w="228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One gesture phrase, e.g. a walk or a bow</w:t>
            </w:r>
          </w:p>
        </w:tc>
      </w:tr>
    </w:tbl>
    <w:p>
      <w:pPr>
        <w:spacing w:after="80"/>
      </w:pPr>
    </w:p>
    <w:p>
      <w:pPr>
        <w:spacing w:after="120" w:before="0" w:line="276"/>
        <w:jc w:val="left"/>
      </w:pPr>
      <w:r>
        <w:rPr>
          <w:rFonts w:ascii="Arial" w:cs="Arial" w:eastAsia="Arial" w:hAnsi="Arial"/>
          <w:color w:val="222222"/>
          <w:sz w:val="20"/>
          <w:szCs w:val="20"/>
        </w:rPr>
        <w:t xml:space="preserve">A strike, a coordinated cycle and a fine expressive gesture are three different kinds of hand skill. If one sleeve and one pipeline handle all three, they can serve most hand crafts. The demos test only the two riskiest questions for each craft (E0 and E1), so the team's effort stays on the flagship.</w:t>
      </w:r>
    </w:p>
    <w:p>
      <w:pPr>
        <w:pStyle w:val="Heading3"/>
        <w:keepNext/>
      </w:pPr>
      <w:r>
        <w:rPr>
          <w:rFonts w:ascii="Arial" w:cs="Arial" w:eastAsia="Arial" w:hAnsi="Arial"/>
        </w:rPr>
        <w:t xml:space="preserve">What the jury will see live</w:t>
      </w:r>
    </w:p>
    <w:p>
      <w:pPr>
        <w:pStyle w:val="ListParagraph"/>
        <w:numPr>
          <w:ilvl w:val="0"/>
          <w:numId w:val="3"/>
        </w:numPr>
        <w:spacing w:after="60" w:line="268"/>
      </w:pPr>
      <w:r>
        <w:rPr>
          <w:rFonts w:ascii="Arial" w:cs="Arial" w:eastAsia="Arial" w:hAnsi="Arial"/>
          <w:b/>
          <w:bCs/>
          <w:color w:val="222222"/>
          <w:sz w:val="20"/>
          <w:szCs w:val="20"/>
        </w:rPr>
        <w:t xml:space="preserve">The sleeve.</w:t>
      </w:r>
      <w:r>
        <w:rPr>
          <w:rFonts w:ascii="Arial" w:cs="Arial" w:eastAsia="Arial" w:hAnsi="Arial"/>
          <w:color w:val="222222"/>
          <w:sz w:val="20"/>
          <w:szCs w:val="20"/>
        </w:rPr>
        <w:t xml:space="preserve"> The judge wears it, plays a tabla phrase or moves a Kathputli puppet, and feels which finger and which joint to move.</w:t>
      </w:r>
    </w:p>
    <w:p>
      <w:pPr>
        <w:pStyle w:val="ListParagraph"/>
        <w:numPr>
          <w:ilvl w:val="0"/>
          <w:numId w:val="3"/>
        </w:numPr>
        <w:spacing w:after="60" w:line="268"/>
      </w:pPr>
      <w:r>
        <w:rPr>
          <w:rFonts w:ascii="Arial" w:cs="Arial" w:eastAsia="Arial" w:hAnsi="Arial"/>
          <w:b/>
          <w:bCs/>
          <w:color w:val="222222"/>
          <w:sz w:val="20"/>
          <w:szCs w:val="20"/>
        </w:rPr>
        <w:t xml:space="preserve">The proof.</w:t>
      </w:r>
      <w:r>
        <w:rPr>
          <w:rFonts w:ascii="Arial" w:cs="Arial" w:eastAsia="Arial" w:hAnsi="Arial"/>
          <w:color w:val="222222"/>
          <w:sz w:val="20"/>
          <w:szCs w:val="20"/>
        </w:rPr>
        <w:t xml:space="preserve"> Real masters' fingerprints, and the test showing they belong to the master, not to the instrument or the day.</w:t>
      </w:r>
    </w:p>
    <w:p>
      <w:pPr>
        <w:pStyle w:val="ListParagraph"/>
        <w:numPr>
          <w:ilvl w:val="0"/>
          <w:numId w:val="3"/>
        </w:numPr>
        <w:spacing w:after="60" w:line="268"/>
      </w:pPr>
      <w:r>
        <w:rPr>
          <w:rFonts w:ascii="Arial" w:cs="Arial" w:eastAsia="Arial" w:hAnsi="Arial"/>
          <w:b/>
          <w:bCs/>
          <w:color w:val="222222"/>
          <w:sz w:val="20"/>
          <w:szCs w:val="20"/>
        </w:rPr>
        <w:t xml:space="preserve">Device off.</w:t>
      </w:r>
      <w:r>
        <w:rPr>
          <w:rFonts w:ascii="Arial" w:cs="Arial" w:eastAsia="Arial" w:hAnsi="Arial"/>
          <w:color w:val="222222"/>
          <w:sz w:val="20"/>
          <w:szCs w:val="20"/>
        </w:rPr>
        <w:t xml:space="preserve"> Cues fade, the judge performs alone, and the screen shows the unaided score.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9CFC0" w:sz="4"/>
              <w:left w:val="single" w:color="2E6B3A" w:sz="24"/>
              <w:bottom w:val="single" w:color="D9CFC0" w:sz="4"/>
              <w:right w:val="single" w:color="D9CFC0" w:sz="4"/>
            </w:tcBorders>
            <w:shd w:fill="EEF6EF" w:color="auto" w:val="clear"/>
            <w:tcMar>
              <w:top w:type="dxa" w:w="120"/>
              <w:left w:type="dxa" w:w="200"/>
              <w:bottom w:type="dxa" w:w="100"/>
              <w:right w:type="dxa" w:w="160"/>
            </w:tcMar>
          </w:tcPr>
          <w:p>
            <w:pPr>
              <w:spacing w:after="80"/>
            </w:pPr>
            <w:r>
              <w:rPr>
                <w:rFonts w:ascii="Arial" w:cs="Arial" w:eastAsia="Arial" w:hAnsi="Arial"/>
                <w:b/>
                <w:bCs/>
                <w:color w:val="2E6B3A"/>
                <w:sz w:val="21"/>
                <w:szCs w:val="21"/>
              </w:rPr>
              <w:t xml:space="preserve">Evidence status, stated plainly</w:t>
            </w:r>
          </w:p>
          <w:p>
            <w:pPr>
              <w:spacing w:after="70" w:line="266"/>
            </w:pPr>
            <w:r>
              <w:rPr>
                <w:rFonts w:ascii="Arial" w:cs="Arial" w:eastAsia="Arial" w:hAnsi="Arial"/>
                <w:b/>
                <w:bCs/>
                <w:color w:val="222222"/>
                <w:sz w:val="19"/>
                <w:szCs w:val="19"/>
              </w:rPr>
              <w:t xml:space="preserve">Done today:</w:t>
            </w:r>
            <w:r>
              <w:rPr>
                <w:rFonts w:ascii="Arial" w:cs="Arial" w:eastAsia="Arial" w:hAnsi="Arial"/>
                <w:color w:val="222222"/>
                <w:sz w:val="19"/>
                <w:szCs w:val="19"/>
              </w:rPr>
              <w:t xml:space="preserve"> (1) a </w:t>
            </w:r>
            <w:r>
              <w:rPr>
                <w:rFonts w:ascii="Arial" w:cs="Arial" w:eastAsia="Arial" w:hAnsi="Arial"/>
                <w:b/>
                <w:bCs/>
                <w:color w:val="222222"/>
                <w:sz w:val="19"/>
                <w:szCs w:val="19"/>
              </w:rPr>
              <w:t xml:space="preserve">real-data test</w:t>
            </w:r>
            <w:r>
              <w:rPr>
                <w:rFonts w:ascii="Arial" w:cs="Arial" w:eastAsia="Arial" w:hAnsi="Arial"/>
                <w:color w:val="222222"/>
                <w:sz w:val="19"/>
                <w:szCs w:val="19"/>
              </w:rPr>
              <w:t xml:space="preserve"> on 10 professional drummers (Groove MIDI Dataset): playing style named the drummer at about three times chance on a </w:t>
            </w:r>
            <w:r>
              <w:rPr>
                <w:rFonts w:ascii="Arial" w:cs="Arial" w:eastAsia="Arial" w:hAnsi="Arial"/>
                <w:b/>
                <w:bCs/>
                <w:color w:val="222222"/>
                <w:sz w:val="19"/>
                <w:szCs w:val="19"/>
              </w:rPr>
              <w:t xml:space="preserve">new recording session</w:t>
            </w:r>
            <w:r>
              <w:rPr>
                <w:rFonts w:ascii="Arial" w:cs="Arial" w:eastAsia="Arial" w:hAnsi="Arial"/>
                <w:color w:val="222222"/>
                <w:sz w:val="19"/>
                <w:szCs w:val="19"/>
              </w:rPr>
              <w:t xml:space="preserve"> and in a </w:t>
            </w:r>
            <w:r>
              <w:rPr>
                <w:rFonts w:ascii="Arial" w:cs="Arial" w:eastAsia="Arial" w:hAnsi="Arial"/>
                <w:b/>
                <w:bCs/>
                <w:color w:val="222222"/>
                <w:sz w:val="19"/>
                <w:szCs w:val="19"/>
              </w:rPr>
              <w:t xml:space="preserve">new musical style</w:t>
            </w:r>
            <w:r>
              <w:rPr>
                <w:rFonts w:ascii="Arial" w:cs="Arial" w:eastAsia="Arial" w:hAnsi="Arial"/>
                <w:color w:val="222222"/>
                <w:sz w:val="19"/>
                <w:szCs w:val="19"/>
              </w:rPr>
              <w:t xml:space="preserve">; with identical written grooves, 'how they play' named the drummer in 63% of cases (chance 25%) while 'which notes' did not (26%) (Section 6). (2) The complete equipment design: CAD models, datasheet-checked parts, power, data, mass and bus budgets, and eight bench tests (Section 4). (3) Open code for the fingerprint, the confound test and the fade rule. (4) Protocols, consent forms and pass/fail rules written before any data.</w:t>
            </w:r>
          </w:p>
          <w:p>
            <w:pPr>
              <w:spacing w:after="70" w:line="266"/>
            </w:pPr>
            <w:r>
              <w:rPr>
                <w:rFonts w:ascii="Arial" w:cs="Arial" w:eastAsia="Arial" w:hAnsi="Arial"/>
                <w:b/>
                <w:bCs/>
                <w:color w:val="222222"/>
                <w:sz w:val="19"/>
                <w:szCs w:val="19"/>
              </w:rPr>
              <w:t xml:space="preserve">Not yet done:</w:t>
            </w:r>
            <w:r>
              <w:rPr>
                <w:rFonts w:ascii="Arial" w:cs="Arial" w:eastAsia="Arial" w:hAnsi="Arial"/>
                <w:color w:val="222222"/>
                <w:sz w:val="19"/>
                <w:szCs w:val="19"/>
              </w:rPr>
              <w:t xml:space="preserve"> recordings of real tabla masters, results of E0–E5, a built sleeve, signed partner agreements. </w:t>
            </w:r>
            <w:r>
              <w:rPr>
                <w:rFonts w:ascii="Arial" w:cs="Arial" w:eastAsia="Arial" w:hAnsi="Arial"/>
                <w:b/>
                <w:bCs/>
                <w:color w:val="222222"/>
                <w:sz w:val="19"/>
                <w:szCs w:val="19"/>
              </w:rPr>
              <w:t xml:space="preserve">We claim none of these until they exist.</w:t>
            </w:r>
            <w:r>
              <w:rPr>
                <w:rFonts w:ascii="Arial" w:cs="Arial" w:eastAsia="Arial" w:hAnsi="Arial"/>
                <w:color w:val="222222"/>
                <w:sz w:val="19"/>
                <w:szCs w:val="19"/>
              </w:rPr>
              <w:t xml:space="preserve"> The real-data test also tells us honestly that timing alone sits </w:t>
            </w:r>
            <w:r>
              <w:rPr>
                <w:rFonts w:ascii="Arial" w:cs="Arial" w:eastAsia="Arial" w:hAnsi="Arial"/>
                <w:b/>
                <w:bCs/>
                <w:color w:val="222222"/>
                <w:sz w:val="19"/>
                <w:szCs w:val="19"/>
              </w:rPr>
              <w:t xml:space="preserve">near</w:t>
            </w:r>
            <w:r>
              <w:rPr>
                <w:rFonts w:ascii="Arial" w:cs="Arial" w:eastAsia="Arial" w:hAnsi="Arial"/>
                <w:color w:val="222222"/>
                <w:sz w:val="19"/>
                <w:szCs w:val="19"/>
              </w:rPr>
              <w:t xml:space="preserve"> our pass mark, which is why the sleeve's movement data matters.</w:t>
            </w:r>
          </w:p>
        </w:tc>
      </w:tr>
    </w:tbl>
    <w:p>
      <w:pPr>
        <w:spacing w:after="100"/>
      </w:pPr>
    </w:p>
    <w:p>
      <w:pPr>
        <w:spacing w:after="120" w:before="0" w:line="276"/>
        <w:jc w:val="left"/>
      </w:pPr>
      <w:r>
        <w:rPr>
          <w:rFonts w:ascii="Arial" w:cs="Arial" w:eastAsia="Arial" w:hAnsi="Arial"/>
          <w:b/>
          <w:bCs/>
          <w:color w:val="222222"/>
          <w:sz w:val="20"/>
          <w:szCs w:val="20"/>
        </w:rPr>
        <w:t xml:space="preserve">Our test of success:</w:t>
      </w:r>
      <w:r>
        <w:rPr>
          <w:rFonts w:ascii="Arial" w:cs="Arial" w:eastAsia="Arial" w:hAnsi="Arial"/>
          <w:color w:val="222222"/>
          <w:sz w:val="20"/>
          <w:szCs w:val="20"/>
        </w:rPr>
        <w:t xml:space="preserve"> </w:t>
      </w:r>
      <w:r>
        <w:rPr>
          <w:rFonts w:ascii="Arial" w:cs="Arial" w:eastAsia="Arial" w:hAnsi="Arial"/>
          <w:i/>
          <w:iCs/>
          <w:color w:val="222222"/>
          <w:sz w:val="20"/>
          <w:szCs w:val="20"/>
        </w:rPr>
        <w:t xml:space="preserve">the device succeeds only when the learner no longer needs it.</w:t>
      </w:r>
    </w:p>
    <w:p>
      <w:pPr>
        <w:pStyle w:val="Heading1"/>
        <w:keepNext/>
        <w:spacing w:after="200" w:before="480"/>
      </w:pPr>
      <w:r>
        <w:rPr>
          <w:rFonts w:ascii="Arial" w:cs="Arial" w:eastAsia="Arial" w:hAnsi="Arial"/>
        </w:rPr>
        <w:t xml:space="preserve">2. The problem: three crafts, one gap</w:t>
      </w:r>
    </w:p>
    <w:p>
      <w:pPr>
        <w:pStyle w:val="Heading2"/>
        <w:keepNext/>
      </w:pPr>
      <w:r>
        <w:rPr>
          <w:rFonts w:ascii="Arial" w:cs="Arial" w:eastAsia="Arial" w:hAnsi="Arial"/>
        </w:rPr>
        <w:t xml:space="preserve">2.1 Skill that cannot be written down</w:t>
      </w:r>
    </w:p>
    <w:p>
      <w:pPr>
        <w:spacing w:after="120" w:before="0" w:line="276"/>
        <w:jc w:val="left"/>
      </w:pPr>
      <w:r>
        <w:rPr>
          <w:rFonts w:ascii="Arial" w:cs="Arial" w:eastAsia="Arial" w:hAnsi="Arial"/>
          <w:color w:val="222222"/>
          <w:sz w:val="20"/>
          <w:szCs w:val="20"/>
        </w:rPr>
        <w:t xml:space="preserve">All three crafts are learned by sitting with a master and imitating for years. Michael Polanyi called this tacit knowledge: 'we know more than we can tell' </w:t>
      </w:r>
      <w:r>
        <w:rPr>
          <w:rFonts w:ascii="Arial" w:cs="Arial" w:eastAsia="Arial" w:hAnsi="Arial"/>
          <w:b w:val="false"/>
          <w:bCs w:val="false"/>
          <w:color w:val="1F4E79"/>
          <w:sz w:val="20"/>
          <w:szCs w:val="20"/>
        </w:rPr>
        <w:t xml:space="preserve">[19]</w:t>
      </w:r>
      <w:r>
        <w:rPr>
          <w:rFonts w:ascii="Arial" w:cs="Arial" w:eastAsia="Arial" w:hAnsi="Arial"/>
          <w:color w:val="222222"/>
          <w:sz w:val="20"/>
          <w:szCs w:val="20"/>
        </w:rPr>
        <w:t xml:space="preserve">; turning it into a shareable form is the hardest step in knowledge transfer </w:t>
      </w:r>
      <w:r>
        <w:rPr>
          <w:rFonts w:ascii="Arial" w:cs="Arial" w:eastAsia="Arial" w:hAnsi="Arial"/>
          <w:b w:val="false"/>
          <w:bCs w:val="false"/>
          <w:color w:val="1F4E79"/>
          <w:sz w:val="20"/>
          <w:szCs w:val="20"/>
        </w:rPr>
        <w:t xml:space="preserve">[20]</w:t>
      </w:r>
      <w:r>
        <w:rPr>
          <w:rFonts w:ascii="Arial" w:cs="Arial" w:eastAsia="Arial" w:hAnsi="Arial"/>
          <w:color w:val="222222"/>
          <w:sz w:val="20"/>
          <w:szCs w:val="20"/>
        </w:rPr>
        <w:t xml:space="preserve">. Notation records the bols, a draft records the weave pattern, a script records the story. </w:t>
      </w:r>
      <w:r>
        <w:rPr>
          <w:rFonts w:ascii="Arial" w:cs="Arial" w:eastAsia="Arial" w:hAnsi="Arial"/>
          <w:b/>
          <w:bCs/>
          <w:color w:val="222222"/>
          <w:sz w:val="20"/>
          <w:szCs w:val="20"/>
        </w:rPr>
        <w:t xml:space="preserve">None records the hands.</w:t>
      </w:r>
    </w:p>
    <w:p>
      <w:pPr>
        <w:pStyle w:val="Heading2"/>
        <w:keepNext/>
      </w:pPr>
      <w:r>
        <w:rPr>
          <w:rFonts w:ascii="Arial" w:cs="Arial" w:eastAsia="Arial" w:hAnsi="Arial"/>
        </w:rPr>
        <w:t xml:space="preserve">2.2 The three crafts today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27"/>
        <w:gridCol w:w="5971"/>
        <w:gridCol w:w="1528"/>
      </w:tblGrid>
      <w:tr>
        <w:trPr>
          <w:cantSplit/>
          <w:tblHeader/>
        </w:trPr>
        <w:tc>
          <w:tcPr>
            <w:tcW w:type="dxa" w:w="152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Craft</w:t>
            </w:r>
          </w:p>
        </w:tc>
        <w:tc>
          <w:tcPr>
            <w:tcW w:type="dxa" w:w="597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Situation</w:t>
            </w:r>
          </w:p>
        </w:tc>
        <w:tc>
          <w:tcPr>
            <w:tcW w:type="dxa" w:w="152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Source</w:t>
            </w:r>
          </w:p>
        </w:tc>
      </w:tr>
      <w:tr>
        <w:trPr>
          <w:cantSplit/>
        </w:trPr>
        <w:tc>
          <w:tcPr>
            <w:tcW w:type="dxa" w:w="152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Tabla</w:t>
            </w:r>
          </w:p>
        </w:tc>
        <w:tc>
          <w:tcPr>
            <w:tcW w:type="dxa" w:w="597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Taught face to face (</w:t>
            </w:r>
            <w:r>
              <w:rPr>
                <w:rFonts w:ascii="Arial" w:cs="Arial" w:eastAsia="Arial" w:hAnsi="Arial"/>
                <w:b w:val="false"/>
                <w:bCs w:val="false"/>
                <w:i/>
                <w:iCs/>
                <w:color w:val="222222"/>
                <w:sz w:val="16"/>
                <w:szCs w:val="16"/>
              </w:rPr>
              <w:t xml:space="preserve">talim</w:t>
            </w:r>
            <w:r>
              <w:rPr>
                <w:rFonts w:ascii="Arial" w:cs="Arial" w:eastAsia="Arial" w:hAnsi="Arial"/>
                <w:b w:val="false"/>
                <w:bCs w:val="false"/>
                <w:color w:val="222222"/>
                <w:sz w:val="16"/>
                <w:szCs w:val="16"/>
              </w:rPr>
              <w:t xml:space="preserve">). A school subject (CBSE 036) and a Kala Utsav category in 36 States/UTs. Ustad Zakir Hussain died in December 2024: his recordings stay, his teaching goes.</w:t>
            </w:r>
          </w:p>
        </w:tc>
        <w:tc>
          <w:tcPr>
            <w:tcW w:type="dxa" w:w="152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[33, 53, 54]</w:t>
            </w:r>
          </w:p>
        </w:tc>
      </w:tr>
      <w:tr>
        <w:trPr>
          <w:cantSplit/>
        </w:trPr>
        <w:tc>
          <w:tcPr>
            <w:tcW w:type="dxa" w:w="152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Handloom</w:t>
            </w:r>
          </w:p>
        </w:tc>
        <w:tc>
          <w:tcPr>
            <w:tcW w:type="dxa" w:w="597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35.22 lakh weavers and allied workers in 2019–20, down from 43.32 lakh. Training runs through 28 Weavers' Service Centres; 56,934 weavers trained under SAMARTH in six years. The national two-treadle qualification is 315 hours of hands-on practice. Handloom weavers report shoulder pain far more often than powerloom weavers (76% vs 42%).</w:t>
            </w:r>
          </w:p>
        </w:tc>
        <w:tc>
          <w:tcPr>
            <w:tcW w:type="dxa" w:w="152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[66, 67, 68, 69]</w:t>
            </w:r>
          </w:p>
        </w:tc>
      </w:tr>
      <w:tr>
        <w:trPr>
          <w:cantSplit/>
        </w:trPr>
        <w:tc>
          <w:tcPr>
            <w:tcW w:type="dxa" w:w="152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Puppetry</w:t>
            </w:r>
          </w:p>
        </w:tc>
        <w:tc>
          <w:tcPr>
            <w:tcW w:type="dxa" w:w="597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Four families of puppetry: string, shadow, rod and glove. In Kathputli the strings are looped on the puppeteer's fingers, with no control bar. Delhi's Kathputli Colony (about 2,800 families of folk artists) was moved to a transit camp in 2017.</w:t>
            </w:r>
          </w:p>
        </w:tc>
        <w:tc>
          <w:tcPr>
            <w:tcW w:type="dxa" w:w="152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[24, 71, 72, 73]</w:t>
            </w:r>
          </w:p>
        </w:tc>
      </w:tr>
      <w:tr>
        <w:trPr>
          <w:cantSplit/>
        </w:trPr>
        <w:tc>
          <w:tcPr>
            <w:tcW w:type="dxa" w:w="152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Policy</w:t>
            </w:r>
          </w:p>
        </w:tc>
        <w:tc>
          <w:tcPr>
            <w:tcW w:type="dxa" w:w="597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The State pays gurus to teach in person (Guru-Shishya Parampara), runs a scheme for intangible heritage, and counts about 64.66 lakh handloom and handicraft artisans. India has 16 elements on UNESCO's intangible heritage list.</w:t>
            </w:r>
          </w:p>
        </w:tc>
        <w:tc>
          <w:tcPr>
            <w:tcW w:type="dxa" w:w="152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[26, 27, 28, 30]</w:t>
            </w:r>
          </w:p>
        </w:tc>
      </w:tr>
    </w:tbl>
    <w:p>
      <w:pPr>
        <w:spacing w:after="80"/>
      </w:pPr>
    </w:p>
    <w:p>
      <w:pPr>
        <w:pStyle w:val="Heading2"/>
        <w:keepNext/>
      </w:pPr>
      <w:r>
        <w:rPr>
          <w:rFonts w:ascii="Arial" w:cs="Arial" w:eastAsia="Arial" w:hAnsi="Arial"/>
        </w:rPr>
        <w:t xml:space="preserve">2.3 Why existing tools fall short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3385"/>
        <w:gridCol w:w="3384"/>
      </w:tblGrid>
      <w:tr>
        <w:trPr>
          <w:cantSplit/>
          <w:tblHeader/>
        </w:trPr>
        <w:tc>
          <w:tcPr>
            <w:tcW w:type="dxa" w:w="225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Tool</w:t>
            </w:r>
          </w:p>
        </w:tc>
        <w:tc>
          <w:tcPr>
            <w:tcW w:type="dxa" w:w="338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it does well</w:t>
            </w:r>
          </w:p>
        </w:tc>
        <w:tc>
          <w:tcPr>
            <w:tcW w:type="dxa" w:w="338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it cannot do</w:t>
            </w:r>
          </w:p>
        </w:tc>
      </w:tr>
      <w:tr>
        <w:trPr>
          <w:cantSplit/>
        </w:trPr>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Video lessons and apps</w:t>
            </w:r>
          </w:p>
        </w:tc>
        <w:tc>
          <w:tcPr>
            <w:tcW w:type="dxa" w:w="33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Show the master's hands </w:t>
            </w:r>
            <w:r>
              <w:rPr>
                <w:rFonts w:ascii="Arial" w:cs="Arial" w:eastAsia="Arial" w:hAnsi="Arial"/>
                <w:b w:val="false"/>
                <w:bCs w:val="false"/>
                <w:color w:val="1F4E79"/>
                <w:sz w:val="16"/>
                <w:szCs w:val="16"/>
              </w:rPr>
              <w:t xml:space="preserve">[34]</w:t>
            </w:r>
          </w:p>
        </w:tc>
        <w:tc>
          <w:tcPr>
            <w:tcW w:type="dxa" w:w="338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Measure the learner; check learning without help</w:t>
            </w:r>
          </w:p>
        </w:tc>
      </w:tr>
      <w:tr>
        <w:trPr>
          <w:cantSplit/>
        </w:trPr>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Training centres and Guru-Shishya Parampara</w:t>
            </w:r>
          </w:p>
        </w:tc>
        <w:tc>
          <w:tcPr>
            <w:tcW w:type="dxa" w:w="338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The gold standard: a master in the room </w:t>
            </w:r>
            <w:r>
              <w:rPr>
                <w:rFonts w:ascii="Arial" w:cs="Arial" w:eastAsia="Arial" w:hAnsi="Arial"/>
                <w:b w:val="false"/>
                <w:bCs w:val="false"/>
                <w:color w:val="1F4E79"/>
                <w:sz w:val="16"/>
                <w:szCs w:val="16"/>
              </w:rPr>
              <w:t xml:space="preserve">[28, 67]</w:t>
            </w:r>
          </w:p>
        </w:tc>
        <w:tc>
          <w:tcPr>
            <w:tcW w:type="dxa" w:w="338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Reach beyond one room, one master's time and one lifetime</w:t>
            </w:r>
          </w:p>
        </w:tc>
      </w:tr>
      <w:tr>
        <w:trPr>
          <w:cantSplit/>
        </w:trPr>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Motion-capture and haptic suits</w:t>
            </w:r>
          </w:p>
        </w:tc>
        <w:tc>
          <w:tcPr>
            <w:tcW w:type="dxa" w:w="33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Measure body movement; US$5,000 to over US$12,000 </w:t>
            </w:r>
            <w:r>
              <w:rPr>
                <w:rFonts w:ascii="Arial" w:cs="Arial" w:eastAsia="Arial" w:hAnsi="Arial"/>
                <w:b w:val="false"/>
                <w:bCs w:val="false"/>
                <w:color w:val="1F4E79"/>
                <w:sz w:val="16"/>
                <w:szCs w:val="16"/>
              </w:rPr>
              <w:t xml:space="preserve">[64, 65]</w:t>
            </w:r>
          </w:p>
        </w:tc>
        <w:tc>
          <w:tcPr>
            <w:tcW w:type="dxa" w:w="338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Teach a specific master's way at a school's budget; prove unaided learning</w:t>
            </w:r>
          </w:p>
        </w:tc>
      </w:tr>
      <w:tr>
        <w:trPr>
          <w:cantSplit/>
        </w:trPr>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European craft-capture projects</w:t>
            </w:r>
          </w:p>
        </w:tc>
        <w:tc>
          <w:tcPr>
            <w:tcW w:type="dxa" w:w="338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Capture and represent craft gestures </w:t>
            </w:r>
            <w:r>
              <w:rPr>
                <w:rFonts w:ascii="Arial" w:cs="Arial" w:eastAsia="Arial" w:hAnsi="Arial"/>
                <w:b w:val="false"/>
                <w:bCs w:val="false"/>
                <w:color w:val="1F4E79"/>
                <w:sz w:val="16"/>
                <w:szCs w:val="16"/>
              </w:rPr>
              <w:t xml:space="preserve">[74, 75]</w:t>
            </w:r>
          </w:p>
        </w:tc>
        <w:tc>
          <w:tcPr>
            <w:tcW w:type="dxa" w:w="338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Teach one master's fingerprint through a wearable that fades out</w:t>
            </w:r>
          </w:p>
        </w:tc>
      </w:tr>
    </w:tbl>
    <w:p>
      <w:pPr>
        <w:spacing w:after="80"/>
      </w:pPr>
    </w:p>
    <w:p>
      <w:pPr>
        <w:pStyle w:val="Heading1"/>
        <w:keepNext/>
        <w:spacing w:after="200" w:before="480"/>
      </w:pPr>
      <w:r>
        <w:rPr>
          <w:rFonts w:ascii="Arial" w:cs="Arial" w:eastAsia="Arial" w:hAnsi="Arial"/>
        </w:rPr>
        <w:t xml:space="preserve">3. The innovation: a master's Skill Fingerprint, fingers to shoulder</w:t>
      </w:r>
    </w:p>
    <w:p>
      <w:pPr>
        <w:pStyle w:val="Heading2"/>
        <w:keepNext/>
      </w:pPr>
      <w:r>
        <w:rPr>
          <w:rFonts w:ascii="Arial" w:cs="Arial" w:eastAsia="Arial" w:hAnsi="Arial"/>
        </w:rPr>
        <w:t xml:space="preserve">3.1 What the fingerprint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24"/>
        <w:gridCol w:w="4735"/>
        <w:gridCol w:w="2367"/>
      </w:tblGrid>
      <w:tr>
        <w:trPr>
          <w:cantSplit/>
          <w:tblHeader/>
        </w:trPr>
        <w:tc>
          <w:tcPr>
            <w:tcW w:type="dxa" w:w="192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Layer</w:t>
            </w:r>
          </w:p>
        </w:tc>
        <w:tc>
          <w:tcPr>
            <w:tcW w:type="dxa" w:w="473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it captures</w:t>
            </w:r>
          </w:p>
        </w:tc>
        <w:tc>
          <w:tcPr>
            <w:tcW w:type="dxa" w:w="236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Measured by</w:t>
            </w:r>
          </w:p>
        </w:tc>
      </w:tr>
      <w:tr>
        <w:trPr>
          <w:cantSplit/>
        </w:trPr>
        <w:tc>
          <w:tcPr>
            <w:tcW w:type="dxa" w:w="192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Body</w:t>
            </w:r>
          </w:p>
        </w:tc>
        <w:tc>
          <w:tcPr>
            <w:tcW w:type="dxa" w:w="473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How each finger, the wrist, elbow and shoulder move in each cycle: which joint leads, when, how fast and how far</w:t>
            </w:r>
          </w:p>
        </w:tc>
        <w:tc>
          <w:tcPr>
            <w:tcW w:type="dxa" w:w="236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9 motion sensors per arm</w:t>
            </w:r>
          </w:p>
        </w:tc>
      </w:tr>
      <w:tr>
        <w:trPr>
          <w:cantSplit/>
        </w:trPr>
        <w:tc>
          <w:tcPr>
            <w:tcW w:type="dxa" w:w="192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Tool</w:t>
            </w:r>
          </w:p>
        </w:tc>
        <w:tc>
          <w:tcPr>
            <w:tcW w:type="dxa" w:w="473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What the movement produces: drum stroke time and strength; beater timing and force, cloth density; the puppet's motion</w:t>
            </w:r>
          </w:p>
        </w:tc>
        <w:tc>
          <w:tcPr>
            <w:tcW w:type="dxa" w:w="236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One tool sensor per craft</w:t>
            </w:r>
          </w:p>
        </w:tc>
      </w:tr>
      <w:tr>
        <w:trPr>
          <w:cantSplit/>
        </w:trPr>
        <w:tc>
          <w:tcPr>
            <w:tcW w:type="dxa" w:w="192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Rhythm</w:t>
            </w:r>
          </w:p>
        </w:tc>
        <w:tc>
          <w:tcPr>
            <w:tcW w:type="dxa" w:w="473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Where in the cycle the master is slightly early or late, and how steady</w:t>
            </w:r>
          </w:p>
        </w:tc>
        <w:tc>
          <w:tcPr>
            <w:tcW w:type="dxa" w:w="236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Body and tool sensors together</w:t>
            </w:r>
          </w:p>
        </w:tc>
      </w:tr>
      <w:tr>
        <w:trPr>
          <w:cantSplit/>
        </w:trPr>
        <w:tc>
          <w:tcPr>
            <w:tcW w:type="dxa" w:w="192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Consistency</w:t>
            </w:r>
          </w:p>
        </w:tc>
        <w:tc>
          <w:tcPr>
            <w:tcW w:type="dxa" w:w="473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How much the master varies from cycle to cycle</w:t>
            </w:r>
          </w:p>
        </w:tc>
        <w:tc>
          <w:tcPr>
            <w:tcW w:type="dxa" w:w="236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Spread over at least 20 cycles</w:t>
            </w:r>
          </w:p>
        </w:tc>
      </w:tr>
    </w:tbl>
    <w:p>
      <w:pPr>
        <w:spacing w:after="80"/>
      </w:pPr>
    </w:p>
    <w:p>
      <w:pPr>
        <w:spacing w:after="120" w:before="0" w:line="276"/>
        <w:jc w:val="left"/>
      </w:pPr>
      <w:r>
        <w:rPr>
          <w:rFonts w:ascii="Arial" w:cs="Arial" w:eastAsia="Arial" w:hAnsi="Arial"/>
          <w:color w:val="222222"/>
          <w:sz w:val="20"/>
          <w:szCs w:val="20"/>
        </w:rPr>
        <w:t xml:space="preserve">The fingerprint is the average and spread of these features over at least 20 cycles. </w:t>
      </w:r>
      <w:r>
        <w:rPr>
          <w:rFonts w:ascii="Arial" w:cs="Arial" w:eastAsia="Arial" w:hAnsi="Arial"/>
          <w:b/>
          <w:bCs/>
          <w:color w:val="222222"/>
          <w:sz w:val="20"/>
          <w:szCs w:val="20"/>
        </w:rPr>
        <w:t xml:space="preserve">Only features that pass the confound test (Section 7) are used for teaching.</w:t>
      </w:r>
    </w:p>
    <w:p>
      <w:pPr>
        <w:pStyle w:val="Heading2"/>
        <w:keepNext/>
      </w:pPr>
      <w:r>
        <w:rPr>
          <w:rFonts w:ascii="Arial" w:cs="Arial" w:eastAsia="Arial" w:hAnsi="Arial"/>
        </w:rPr>
        <w:t xml:space="preserve">3.2 Why the whole arm, not only the hand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59"/>
        <w:gridCol w:w="3203"/>
        <w:gridCol w:w="1164"/>
      </w:tblGrid>
      <w:tr>
        <w:trPr>
          <w:cantSplit/>
          <w:tblHeader/>
        </w:trPr>
        <w:tc>
          <w:tcPr>
            <w:tcW w:type="dxa" w:w="465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Published finding</w:t>
            </w:r>
          </w:p>
        </w:tc>
        <w:tc>
          <w:tcPr>
            <w:tcW w:type="dxa" w:w="320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Meaning for us</w:t>
            </w:r>
          </w:p>
        </w:tc>
        <w:tc>
          <w:tcPr>
            <w:tcW w:type="dxa" w:w="116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Source</w:t>
            </w:r>
          </w:p>
        </w:tc>
      </w:tr>
      <w:tr>
        <w:trPr>
          <w:cantSplit/>
        </w:trPr>
        <w:tc>
          <w:tcPr>
            <w:tcW w:type="dxa" w:w="465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Expert pianists move shoulder, then elbow, then wrist in a clear sequence; novices do not</w:t>
            </w:r>
          </w:p>
        </w:tc>
        <w:tc>
          <w:tcPr>
            <w:tcW w:type="dxa" w:w="32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Expertise shows in how the joints are ordered</w:t>
            </w:r>
          </w:p>
        </w:tc>
        <w:tc>
          <w:tcPr>
            <w:tcW w:type="dxa" w:w="116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[56]</w:t>
            </w:r>
          </w:p>
        </w:tc>
      </w:tr>
      <w:tr>
        <w:trPr>
          <w:cantSplit/>
        </w:trPr>
        <w:tc>
          <w:tcPr>
            <w:tcW w:type="dxa" w:w="465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Experts let the arm's own motion do work at the elbow and wrist, so their muscles do less</w:t>
            </w:r>
          </w:p>
        </w:tc>
        <w:tc>
          <w:tcPr>
            <w:tcW w:type="dxa" w:w="32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Efficient technique is visible in the whole arm</w:t>
            </w:r>
          </w:p>
        </w:tc>
        <w:tc>
          <w:tcPr>
            <w:tcW w:type="dxa" w:w="116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[57]</w:t>
            </w:r>
          </w:p>
        </w:tc>
      </w:tr>
      <w:tr>
        <w:trPr>
          <w:cantSplit/>
        </w:trPr>
        <w:tc>
          <w:tcPr>
            <w:tcW w:type="dxa" w:w="465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Four drummers played the same accent with individual movement strategies</w:t>
            </w:r>
          </w:p>
        </w:tc>
        <w:tc>
          <w:tcPr>
            <w:tcW w:type="dxa" w:w="32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Movement carries personal style</w:t>
            </w:r>
          </w:p>
        </w:tc>
        <w:tc>
          <w:tcPr>
            <w:tcW w:type="dxa" w:w="116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[58]</w:t>
            </w:r>
          </w:p>
        </w:tc>
      </w:tr>
      <w:tr>
        <w:trPr>
          <w:cantSplit/>
        </w:trPr>
        <w:tc>
          <w:tcPr>
            <w:tcW w:type="dxa" w:w="465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Eight people were told apart from accelerometer gestures (98.6% recognition), used for user authentication</w:t>
            </w:r>
          </w:p>
        </w:tc>
        <w:tc>
          <w:tcPr>
            <w:tcW w:type="dxa" w:w="32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Movement alone can identify a person</w:t>
            </w:r>
          </w:p>
        </w:tc>
        <w:tc>
          <w:tcPr>
            <w:tcW w:type="dxa" w:w="116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[89]</w:t>
            </w:r>
          </w:p>
        </w:tc>
      </w:tr>
      <w:tr>
        <w:trPr>
          <w:cantSplit/>
        </w:trPr>
        <w:tc>
          <w:tcPr>
            <w:tcW w:type="dxa" w:w="465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Vibration at the joints in error cut real-time error by up to 27% and sped learning up to 23%</w:t>
            </w:r>
          </w:p>
        </w:tc>
        <w:tc>
          <w:tcPr>
            <w:tcW w:type="dxa" w:w="32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Joint-level touch cues work; that study needed an optical lab</w:t>
            </w:r>
          </w:p>
        </w:tc>
        <w:tc>
          <w:tcPr>
            <w:tcW w:type="dxa" w:w="116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[59]</w:t>
            </w:r>
          </w:p>
        </w:tc>
      </w:tr>
      <w:tr>
        <w:trPr>
          <w:cantSplit/>
        </w:trPr>
        <w:tc>
          <w:tcPr>
            <w:tcW w:type="dxa" w:w="465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76% of handloom weavers in a Varanasi survey reported shoulder pain</w:t>
            </w:r>
          </w:p>
        </w:tc>
        <w:tc>
          <w:tcPr>
            <w:tcW w:type="dxa" w:w="32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Measuring the shoulder also matters for health</w:t>
            </w:r>
          </w:p>
        </w:tc>
        <w:tc>
          <w:tcPr>
            <w:tcW w:type="dxa" w:w="116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[69]</w:t>
            </w:r>
          </w:p>
        </w:tc>
      </w:tr>
    </w:tbl>
    <w:p>
      <w:pPr>
        <w:spacing w:after="80"/>
      </w:pPr>
    </w:p>
    <w:p>
      <w:pPr>
        <w:pStyle w:val="Heading2"/>
        <w:keepNext/>
      </w:pPr>
      <w:r>
        <w:rPr>
          <w:rFonts w:ascii="Arial" w:cs="Arial" w:eastAsia="Arial" w:hAnsi="Arial"/>
        </w:rPr>
        <w:t xml:space="preserve">3.3 Why we believe a fingerprint exists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59"/>
        <w:gridCol w:w="3203"/>
        <w:gridCol w:w="1164"/>
      </w:tblGrid>
      <w:tr>
        <w:trPr>
          <w:cantSplit/>
          <w:tblHeader/>
        </w:trPr>
        <w:tc>
          <w:tcPr>
            <w:tcW w:type="dxa" w:w="465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Finding</w:t>
            </w:r>
          </w:p>
        </w:tc>
        <w:tc>
          <w:tcPr>
            <w:tcW w:type="dxa" w:w="320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Meaning for us</w:t>
            </w:r>
          </w:p>
        </w:tc>
        <w:tc>
          <w:tcPr>
            <w:tcW w:type="dxa" w:w="116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Source</w:t>
            </w:r>
          </w:p>
        </w:tc>
      </w:tr>
      <w:tr>
        <w:trPr>
          <w:cantSplit/>
        </w:trPr>
        <w:tc>
          <w:tcPr>
            <w:tcW w:type="dxa" w:w="465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Our own test on real data:</w:t>
            </w:r>
            <w:r>
              <w:rPr>
                <w:rFonts w:ascii="Arial" w:cs="Arial" w:eastAsia="Arial" w:hAnsi="Arial"/>
                <w:color w:val="222222"/>
                <w:sz w:val="16"/>
                <w:szCs w:val="16"/>
              </w:rPr>
              <w:t xml:space="preserve"> drummers named from timing and loudness on a new session and in a new style at about 3 × chance; identical grooves, different drummers, 63% vs 25% chance</w:t>
            </w:r>
          </w:p>
        </w:tc>
        <w:tc>
          <w:tcPr>
            <w:tcW w:type="dxa" w:w="32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 performer fingerprint survives a change of day and of music</w:t>
            </w:r>
          </w:p>
        </w:tc>
        <w:tc>
          <w:tcPr>
            <w:tcW w:type="dxa" w:w="116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Section 6 </w:t>
            </w:r>
            <w:r>
              <w:rPr>
                <w:rFonts w:ascii="Arial" w:cs="Arial" w:eastAsia="Arial" w:hAnsi="Arial"/>
                <w:b w:val="false"/>
                <w:bCs w:val="false"/>
                <w:color w:val="1F4E79"/>
                <w:sz w:val="16"/>
                <w:szCs w:val="16"/>
              </w:rPr>
              <w:t xml:space="preserve">[88]</w:t>
            </w:r>
          </w:p>
        </w:tc>
      </w:tr>
      <w:tr>
        <w:trPr>
          <w:cantSplit/>
        </w:trPr>
        <w:tc>
          <w:tcPr>
            <w:tcW w:type="dxa" w:w="465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Tabla gharanas recognised automatically from audio of solo performances (38+ hours)</w:t>
            </w:r>
          </w:p>
        </w:tc>
        <w:tc>
          <w:tcPr>
            <w:tcW w:type="dxa" w:w="32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Style leaves a measurable trace</w:t>
            </w:r>
          </w:p>
        </w:tc>
        <w:tc>
          <w:tcPr>
            <w:tcW w:type="dxa" w:w="116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[39]</w:t>
            </w:r>
          </w:p>
        </w:tc>
      </w:tr>
      <w:tr>
        <w:trPr>
          <w:cantSplit/>
        </w:trPr>
        <w:tc>
          <w:tcPr>
            <w:tcW w:type="dxa" w:w="465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Systematic accent and tempo patterns within the tal cycle in a large Hindustani corpus</w:t>
            </w:r>
          </w:p>
        </w:tc>
        <w:tc>
          <w:tcPr>
            <w:tcW w:type="dxa" w:w="32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Accent and timing shapes are measurable</w:t>
            </w:r>
          </w:p>
        </w:tc>
        <w:tc>
          <w:tcPr>
            <w:tcW w:type="dxa" w:w="116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[38]</w:t>
            </w:r>
          </w:p>
        </w:tc>
      </w:tr>
      <w:tr>
        <w:trPr>
          <w:cantSplit/>
        </w:trPr>
        <w:tc>
          <w:tcPr>
            <w:tcW w:type="dxa" w:w="465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Pianists identified from timing and loudness; famous drummers each have a timing fingerprint</w:t>
            </w:r>
          </w:p>
        </w:tc>
        <w:tc>
          <w:tcPr>
            <w:tcW w:type="dxa" w:w="32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Performers can be told apart</w:t>
            </w:r>
          </w:p>
        </w:tc>
        <w:tc>
          <w:tcPr>
            <w:tcW w:type="dxa" w:w="116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[40, 41, 42]</w:t>
            </w:r>
          </w:p>
        </w:tc>
      </w:tr>
    </w:tbl>
    <w:p>
      <w:pPr>
        <w:spacing w:after="80"/>
      </w:pPr>
    </w:p>
    <w:p>
      <w:pPr>
        <w:pStyle w:val="Heading2"/>
        <w:keepNext/>
      </w:pPr>
      <w:r>
        <w:rPr>
          <w:rFonts w:ascii="Arial" w:cs="Arial" w:eastAsia="Arial" w:hAnsi="Arial"/>
        </w:rPr>
        <w:t xml:space="preserve">3.4 What is new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72"/>
        <w:gridCol w:w="3009"/>
        <w:gridCol w:w="3145"/>
      </w:tblGrid>
      <w:tr>
        <w:trPr>
          <w:cantSplit/>
          <w:tblHeader/>
        </w:trPr>
        <w:tc>
          <w:tcPr>
            <w:tcW w:type="dxa" w:w="287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Closest existing work</w:t>
            </w:r>
          </w:p>
        </w:tc>
        <w:tc>
          <w:tcPr>
            <w:tcW w:type="dxa" w:w="300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it does</w:t>
            </w:r>
          </w:p>
        </w:tc>
        <w:tc>
          <w:tcPr>
            <w:tcW w:type="dxa" w:w="314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it does not do</w:t>
            </w:r>
          </w:p>
        </w:tc>
      </w:tr>
      <w:tr>
        <w:trPr>
          <w:cantSplit/>
        </w:trPr>
        <w:tc>
          <w:tcPr>
            <w:tcW w:type="dxa" w:w="287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TIKL vibrotactile suit </w:t>
            </w:r>
            <w:r>
              <w:rPr>
                <w:rFonts w:ascii="Arial" w:cs="Arial" w:eastAsia="Arial" w:hAnsi="Arial"/>
                <w:b w:val="false"/>
                <w:bCs w:val="false"/>
                <w:color w:val="1F4E79"/>
                <w:sz w:val="16"/>
                <w:szCs w:val="16"/>
              </w:rPr>
              <w:t xml:space="preserve">[59]</w:t>
            </w:r>
          </w:p>
        </w:tc>
        <w:tc>
          <w:tcPr>
            <w:tcW w:type="dxa" w:w="300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Joint-level vibration to correct arm poses</w:t>
            </w:r>
          </w:p>
        </w:tc>
        <w:tc>
          <w:tcPr>
            <w:tcW w:type="dxa" w:w="314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Use a low-cost wearable (it used an optical lab); capture fingers; teach a specific master; fade; test device-off</w:t>
            </w:r>
          </w:p>
        </w:tc>
      </w:tr>
      <w:tr>
        <w:trPr>
          <w:cantSplit/>
        </w:trPr>
        <w:tc>
          <w:tcPr>
            <w:tcW w:type="dxa" w:w="287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Teslasuit, Xsens suits </w:t>
            </w:r>
            <w:r>
              <w:rPr>
                <w:rFonts w:ascii="Arial" w:cs="Arial" w:eastAsia="Arial" w:hAnsi="Arial"/>
                <w:b w:val="false"/>
                <w:bCs w:val="false"/>
                <w:color w:val="1F4E79"/>
                <w:sz w:val="16"/>
                <w:szCs w:val="16"/>
              </w:rPr>
              <w:t xml:space="preserve">[64, 65]</w:t>
            </w:r>
          </w:p>
        </w:tc>
        <w:tc>
          <w:tcPr>
            <w:tcW w:type="dxa" w:w="300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Body motion capture (and haptics)</w:t>
            </w:r>
          </w:p>
        </w:tc>
        <w:tc>
          <w:tcPr>
            <w:tcW w:type="dxa" w:w="314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Teach; prove the learner can perform alone; fit a school or weaving centre's budget</w:t>
            </w:r>
          </w:p>
        </w:tc>
      </w:tr>
      <w:tr>
        <w:trPr>
          <w:cantSplit/>
        </w:trPr>
        <w:tc>
          <w:tcPr>
            <w:tcW w:type="dxa" w:w="287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Mingei, CRAEFT </w:t>
            </w:r>
            <w:r>
              <w:rPr>
                <w:rFonts w:ascii="Arial" w:cs="Arial" w:eastAsia="Arial" w:hAnsi="Arial"/>
                <w:b w:val="false"/>
                <w:bCs w:val="false"/>
                <w:color w:val="1F4E79"/>
                <w:sz w:val="16"/>
                <w:szCs w:val="16"/>
              </w:rPr>
              <w:t xml:space="preserve">[23, 74, 75]</w:t>
            </w:r>
          </w:p>
        </w:tc>
        <w:tc>
          <w:tcPr>
            <w:tcW w:type="dxa" w:w="300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Capture and represent craft gestures, simulators, haptics</w:t>
            </w:r>
          </w:p>
        </w:tc>
        <w:tc>
          <w:tcPr>
            <w:tcW w:type="dxa" w:w="314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 wearable that teaches one master's fingerprint and withdraws itself</w:t>
            </w:r>
          </w:p>
        </w:tc>
      </w:tr>
      <w:tr>
        <w:trPr>
          <w:cantSplit/>
        </w:trPr>
        <w:tc>
          <w:tcPr>
            <w:tcW w:type="dxa" w:w="287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Pottery gesture capture, i-Treasures </w:t>
            </w:r>
            <w:r>
              <w:rPr>
                <w:rFonts w:ascii="Arial" w:cs="Arial" w:eastAsia="Arial" w:hAnsi="Arial"/>
                <w:b w:val="false"/>
                <w:bCs w:val="false"/>
                <w:color w:val="1F4E79"/>
                <w:sz w:val="16"/>
                <w:szCs w:val="16"/>
              </w:rPr>
              <w:t xml:space="preserve">[21, 22]</w:t>
            </w:r>
          </w:p>
        </w:tc>
        <w:tc>
          <w:tcPr>
            <w:tcW w:type="dxa" w:w="300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Recognise expert gestures with body sensors</w:t>
            </w:r>
          </w:p>
        </w:tc>
        <w:tc>
          <w:tcPr>
            <w:tcW w:type="dxa" w:w="314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Teach them back with fading and device-off measurement</w:t>
            </w:r>
          </w:p>
        </w:tc>
      </w:tr>
      <w:tr>
        <w:trPr>
          <w:cantSplit/>
        </w:trPr>
        <w:tc>
          <w:tcPr>
            <w:tcW w:type="dxa" w:w="287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Haptic Drum Kit and bracelets </w:t>
            </w:r>
            <w:r>
              <w:rPr>
                <w:rFonts w:ascii="Arial" w:cs="Arial" w:eastAsia="Arial" w:hAnsi="Arial"/>
                <w:b w:val="false"/>
                <w:bCs w:val="false"/>
                <w:color w:val="1F4E79"/>
                <w:sz w:val="16"/>
                <w:szCs w:val="16"/>
              </w:rPr>
              <w:t xml:space="preserve">[4, 5]</w:t>
            </w:r>
          </w:p>
        </w:tc>
        <w:tc>
          <w:tcPr>
            <w:tcW w:type="dxa" w:w="300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Vibration cues for which limb plays</w:t>
            </w:r>
          </w:p>
        </w:tc>
        <w:tc>
          <w:tcPr>
            <w:tcW w:type="dxa" w:w="314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Finger-level cues; a specific master's style; retention</w:t>
            </w:r>
          </w:p>
        </w:tc>
      </w:tr>
      <w:tr>
        <w:trPr>
          <w:cantSplit/>
        </w:trPr>
        <w:tc>
          <w:tcPr>
            <w:tcW w:type="dxa" w:w="287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Open-palm data glove </w:t>
            </w:r>
            <w:r>
              <w:rPr>
                <w:rFonts w:ascii="Arial" w:cs="Arial" w:eastAsia="Arial" w:hAnsi="Arial"/>
                <w:b w:val="false"/>
                <w:bCs w:val="false"/>
                <w:color w:val="1F4E79"/>
                <w:sz w:val="16"/>
                <w:szCs w:val="16"/>
              </w:rPr>
              <w:t xml:space="preserve">[60]</w:t>
            </w:r>
          </w:p>
        </w:tc>
        <w:tc>
          <w:tcPr>
            <w:tcW w:type="dxa" w:w="300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Accurate finger tracking with the palm free</w:t>
            </w:r>
          </w:p>
        </w:tc>
        <w:tc>
          <w:tcPr>
            <w:tcW w:type="dxa" w:w="314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Teaching or a master reference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9CFC0" w:sz="4"/>
              <w:left w:val="single" w:color="1F4E79" w:sz="24"/>
              <w:bottom w:val="single" w:color="D9CFC0" w:sz="4"/>
              <w:right w:val="single" w:color="D9CFC0" w:sz="4"/>
            </w:tcBorders>
            <w:shd w:fill="EEF3F8" w:color="auto" w:val="clear"/>
            <w:tcMar>
              <w:top w:type="dxa" w:w="120"/>
              <w:left w:type="dxa" w:w="200"/>
              <w:bottom w:type="dxa" w:w="100"/>
              <w:right w:type="dxa" w:w="160"/>
            </w:tcMar>
          </w:tcPr>
          <w:p>
            <w:pPr>
              <w:spacing w:after="80"/>
            </w:pPr>
            <w:r>
              <w:rPr>
                <w:rFonts w:ascii="Arial" w:cs="Arial" w:eastAsia="Arial" w:hAnsi="Arial"/>
                <w:b/>
                <w:bCs/>
                <w:color w:val="1F4E79"/>
                <w:sz w:val="21"/>
                <w:szCs w:val="21"/>
              </w:rPr>
              <w:t xml:space="preserve">Novelty statement</w:t>
            </w:r>
          </w:p>
          <w:p>
            <w:pPr>
              <w:spacing w:after="70" w:line="266"/>
            </w:pPr>
            <w:r>
              <w:rPr>
                <w:rFonts w:ascii="Arial" w:cs="Arial" w:eastAsia="Arial" w:hAnsi="Arial"/>
                <w:i/>
                <w:iCs/>
                <w:color w:val="222222"/>
                <w:sz w:val="19"/>
                <w:szCs w:val="19"/>
              </w:rPr>
              <w:t xml:space="preserve">"To our knowledge, PARAMPARA is the first low-cost wearable that captures an individual master's skill fingerprint from fingers to shoulder together with what the tool does, proves that the fingerprint belongs to the master rather than to the instrument or the session, teaches it back through finger- and joint-level touch with sound and a ghost arm, withdraws the help as the learner improves, and counts only device-off performance, under the master's consent."</w:t>
            </w:r>
          </w:p>
        </w:tc>
      </w:tr>
    </w:tbl>
    <w:p>
      <w:pPr>
        <w:spacing w:after="100"/>
      </w:pPr>
    </w:p>
    <w:p>
      <w:pPr>
        <w:pStyle w:val="Heading1"/>
        <w:keepNext/>
        <w:pageBreakBefore/>
        <w:spacing w:after="200" w:before="0"/>
      </w:pPr>
      <w:r>
        <w:rPr>
          <w:rFonts w:ascii="Arial" w:cs="Arial" w:eastAsia="Arial" w:hAnsi="Arial"/>
        </w:rPr>
        <w:t xml:space="preserve">4. The equipment, exactly: drawings, datasheets, budgets and bench tests</w:t>
      </w:r>
    </w:p>
    <w:p>
      <w:pPr>
        <w:spacing w:after="120" w:before="0" w:line="276"/>
        <w:jc w:val="left"/>
      </w:pPr>
      <w:r>
        <w:rPr>
          <w:rFonts w:ascii="Arial" w:cs="Arial" w:eastAsia="Arial" w:hAnsi="Arial"/>
          <w:color w:val="222222"/>
          <w:sz w:val="20"/>
          <w:szCs w:val="20"/>
        </w:rPr>
        <w:t xml:space="preserve">Every view below is rendered from our CAD model (CadQuery, open source). Housing sizes are design values; electronic part sizes and ratings are taken from the manufacturers' datasheets. The arm, loom and puppet are stylised so the equipment can be seen; the equipment itself is drawn at its real size.</w:t>
      </w:r>
    </w:p>
    <w:p>
      <w:pPr>
        <w:pStyle w:val="Heading2"/>
        <w:keepNext/>
      </w:pPr>
      <w:r>
        <w:rPr>
          <w:rFonts w:ascii="Arial" w:cs="Arial" w:eastAsia="Arial" w:hAnsi="Arial"/>
        </w:rPr>
        <w:t xml:space="preserve">4.1 The sleeve at a glance</w:t>
      </w:r>
    </w:p>
    <w:p>
      <w:pPr>
        <w:keepNext/>
        <w:spacing w:after="60" w:before="60"/>
        <w:jc w:val="center"/>
      </w:pPr>
      <w:r>
        <w:drawing>
          <wp:inline distT="0" distB="0" distL="0" distR="0">
            <wp:extent cx="5715000" cy="3619500"/>
            <wp:effectExtent t="0" r="0" b="0" l="0"/>
            <wp:docPr id="1" name="Figure 2. One sleeve" descr="Figure 2. One sleeve per arm. (a) Isometric view. (b) Top view to scale. Blue lids are motion sensors, gold lids are vibration motors, green is the hub." title="Figure 2. One sleeve per arm. (a) Isom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619500"/>
                    </a:xfrm>
                    <a:prstGeom prst="rect">
                      <a:avLst/>
                    </a:prstGeom>
                  </pic:spPr>
                </pic:pic>
              </a:graphicData>
            </a:graphic>
          </wp:inline>
        </w:drawing>
      </w:r>
    </w:p>
    <w:p>
      <w:pPr>
        <w:spacing w:after="180"/>
        <w:jc w:val="center"/>
      </w:pPr>
      <w:r>
        <w:rPr>
          <w:rFonts w:ascii="Arial" w:cs="Arial" w:eastAsia="Arial" w:hAnsi="Arial"/>
          <w:i/>
          <w:iCs/>
          <w:color w:val="5E5E5E"/>
          <w:sz w:val="17"/>
          <w:szCs w:val="17"/>
        </w:rPr>
        <w:t xml:space="preserve">Figure 2. One sleeve per arm. (a) Isometric view. (b) Top view to scale. Blue lids are motion sensors, gold lids are vibration motors, green is the hub.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75"/>
        <w:gridCol w:w="728"/>
        <w:gridCol w:w="3348"/>
        <w:gridCol w:w="2475"/>
      </w:tblGrid>
      <w:tr>
        <w:trPr>
          <w:cantSplit/>
          <w:tblHeader/>
        </w:trPr>
        <w:tc>
          <w:tcPr>
            <w:tcW w:type="dxa" w:w="247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keepNext/>
              <w:spacing w:after="30" w:line="250"/>
            </w:pPr>
            <w:r>
              <w:rPr>
                <w:rFonts w:ascii="Arial" w:cs="Arial" w:eastAsia="Arial" w:hAnsi="Arial"/>
                <w:b/>
                <w:bCs/>
                <w:color w:val="FFFFFF"/>
                <w:sz w:val="15"/>
                <w:szCs w:val="15"/>
              </w:rPr>
              <w:t xml:space="preserve">Unit (per arm)</w:t>
            </w:r>
          </w:p>
        </w:tc>
        <w:tc>
          <w:tcPr>
            <w:tcW w:type="dxa" w:w="72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keepNext/>
              <w:spacing w:after="30" w:line="250"/>
            </w:pPr>
            <w:r>
              <w:rPr>
                <w:rFonts w:ascii="Arial" w:cs="Arial" w:eastAsia="Arial" w:hAnsi="Arial"/>
                <w:b/>
                <w:bCs/>
                <w:color w:val="FFFFFF"/>
                <w:sz w:val="15"/>
                <w:szCs w:val="15"/>
              </w:rPr>
              <w:t xml:space="preserve">Qty</w:t>
            </w:r>
          </w:p>
        </w:tc>
        <w:tc>
          <w:tcPr>
            <w:tcW w:type="dxa" w:w="334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keepNext/>
              <w:spacing w:after="30" w:line="250"/>
            </w:pPr>
            <w:r>
              <w:rPr>
                <w:rFonts w:ascii="Arial" w:cs="Arial" w:eastAsia="Arial" w:hAnsi="Arial"/>
                <w:b/>
                <w:bCs/>
                <w:color w:val="FFFFFF"/>
                <w:sz w:val="15"/>
                <w:szCs w:val="15"/>
              </w:rPr>
              <w:t xml:space="preserve">Contents</w:t>
            </w:r>
          </w:p>
        </w:tc>
        <w:tc>
          <w:tcPr>
            <w:tcW w:type="dxa" w:w="247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keepNext/>
              <w:spacing w:after="30" w:line="250"/>
            </w:pPr>
            <w:r>
              <w:rPr>
                <w:rFonts w:ascii="Arial" w:cs="Arial" w:eastAsia="Arial" w:hAnsi="Arial"/>
                <w:b/>
                <w:bCs/>
                <w:color w:val="FFFFFF"/>
                <w:sz w:val="15"/>
                <w:szCs w:val="15"/>
              </w:rPr>
              <w:t xml:space="preserve">Placement</w:t>
            </w:r>
          </w:p>
        </w:tc>
      </w:tr>
      <w:tr>
        <w:trPr>
          <w:cantSplit/>
        </w:trPr>
        <w:tc>
          <w:tcPr>
            <w:tcW w:type="dxa" w:w="247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b/>
                <w:bCs/>
                <w:color w:val="222222"/>
                <w:sz w:val="15"/>
                <w:szCs w:val="15"/>
              </w:rPr>
              <w:t xml:space="preserve">Finger ring IMU pod</w:t>
            </w:r>
          </w:p>
        </w:tc>
        <w:tc>
          <w:tcPr>
            <w:tcW w:type="dxa" w:w="72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b w:val="false"/>
                <w:bCs w:val="false"/>
                <w:color w:val="222222"/>
                <w:sz w:val="15"/>
                <w:szCs w:val="15"/>
              </w:rPr>
              <w:t xml:space="preserve">5</w:t>
            </w:r>
          </w:p>
        </w:tc>
        <w:tc>
          <w:tcPr>
            <w:tcW w:type="dxa" w:w="334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b w:val="false"/>
                <w:bCs w:val="false"/>
                <w:color w:val="222222"/>
                <w:sz w:val="15"/>
                <w:szCs w:val="15"/>
              </w:rPr>
              <w:t xml:space="preserve">BMI270 on a 10 × 8 mm board</w:t>
            </w:r>
          </w:p>
        </w:tc>
        <w:tc>
          <w:tcPr>
            <w:tcW w:type="dxa" w:w="247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b w:val="false"/>
                <w:bCs w:val="false"/>
                <w:color w:val="222222"/>
                <w:sz w:val="15"/>
                <w:szCs w:val="15"/>
              </w:rPr>
              <w:t xml:space="preserve">Middle segment of each finger, top of the thumb's first segment</w:t>
            </w:r>
          </w:p>
        </w:tc>
      </w:tr>
      <w:tr>
        <w:trPr>
          <w:cantSplit/>
        </w:trPr>
        <w:tc>
          <w:tcPr>
            <w:tcW w:type="dxa" w:w="247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b/>
                <w:bCs/>
                <w:color w:val="222222"/>
                <w:sz w:val="15"/>
                <w:szCs w:val="15"/>
              </w:rPr>
              <w:t xml:space="preserve">Finger motor pod</w:t>
            </w:r>
          </w:p>
        </w:tc>
        <w:tc>
          <w:tcPr>
            <w:tcW w:type="dxa" w:w="72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b w:val="false"/>
                <w:bCs w:val="false"/>
                <w:color w:val="222222"/>
                <w:sz w:val="15"/>
                <w:szCs w:val="15"/>
              </w:rPr>
              <w:t xml:space="preserve">5</w:t>
            </w:r>
          </w:p>
        </w:tc>
        <w:tc>
          <w:tcPr>
            <w:tcW w:type="dxa" w:w="334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b w:val="false"/>
                <w:bCs w:val="false"/>
                <w:color w:val="222222"/>
                <w:sz w:val="15"/>
                <w:szCs w:val="15"/>
              </w:rPr>
              <w:t xml:space="preserve">8 mm coin LRA</w:t>
            </w:r>
          </w:p>
        </w:tc>
        <w:tc>
          <w:tcPr>
            <w:tcW w:type="dxa" w:w="247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b w:val="false"/>
                <w:bCs w:val="false"/>
                <w:color w:val="222222"/>
                <w:sz w:val="15"/>
                <w:szCs w:val="15"/>
              </w:rPr>
              <w:t xml:space="preserve">First segment of each finger; thumb base</w:t>
            </w:r>
          </w:p>
        </w:tc>
      </w:tr>
      <w:tr>
        <w:trPr>
          <w:cantSplit/>
        </w:trPr>
        <w:tc>
          <w:tcPr>
            <w:tcW w:type="dxa" w:w="247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b/>
                <w:bCs/>
                <w:color w:val="222222"/>
                <w:sz w:val="15"/>
                <w:szCs w:val="15"/>
              </w:rPr>
              <w:t xml:space="preserve">Hand board</w:t>
            </w:r>
          </w:p>
        </w:tc>
        <w:tc>
          <w:tcPr>
            <w:tcW w:type="dxa" w:w="72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b w:val="false"/>
                <w:bCs w:val="false"/>
                <w:color w:val="222222"/>
                <w:sz w:val="15"/>
                <w:szCs w:val="15"/>
              </w:rPr>
              <w:t xml:space="preserve">1</w:t>
            </w:r>
          </w:p>
        </w:tc>
        <w:tc>
          <w:tcPr>
            <w:tcW w:type="dxa" w:w="334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b w:val="false"/>
                <w:bCs w:val="false"/>
                <w:color w:val="222222"/>
                <w:sz w:val="15"/>
                <w:szCs w:val="15"/>
              </w:rPr>
              <w:t xml:space="preserve">BMI270, TCA9548A, 5 × DRV2605L</w:t>
            </w:r>
          </w:p>
        </w:tc>
        <w:tc>
          <w:tcPr>
            <w:tcW w:type="dxa" w:w="247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b w:val="false"/>
                <w:bCs w:val="false"/>
                <w:color w:val="222222"/>
                <w:sz w:val="15"/>
                <w:szCs w:val="15"/>
              </w:rPr>
              <w:t xml:space="preserve">Back of the hand, on a fabric plate with a thumb loop</w:t>
            </w:r>
          </w:p>
        </w:tc>
      </w:tr>
      <w:tr>
        <w:trPr>
          <w:cantSplit/>
        </w:trPr>
        <w:tc>
          <w:tcPr>
            <w:tcW w:type="dxa" w:w="247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b/>
                <w:bCs/>
                <w:color w:val="222222"/>
                <w:sz w:val="15"/>
                <w:szCs w:val="15"/>
              </w:rPr>
              <w:t xml:space="preserve">Wrist pod</w:t>
            </w:r>
          </w:p>
        </w:tc>
        <w:tc>
          <w:tcPr>
            <w:tcW w:type="dxa" w:w="72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b w:val="false"/>
                <w:bCs w:val="false"/>
                <w:color w:val="222222"/>
                <w:sz w:val="15"/>
                <w:szCs w:val="15"/>
              </w:rPr>
              <w:t xml:space="preserve">1</w:t>
            </w:r>
          </w:p>
        </w:tc>
        <w:tc>
          <w:tcPr>
            <w:tcW w:type="dxa" w:w="334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b w:val="false"/>
                <w:bCs w:val="false"/>
                <w:color w:val="222222"/>
                <w:sz w:val="15"/>
                <w:szCs w:val="15"/>
              </w:rPr>
              <w:t xml:space="preserve">BMI270 + LRA</w:t>
            </w:r>
          </w:p>
        </w:tc>
        <w:tc>
          <w:tcPr>
            <w:tcW w:type="dxa" w:w="247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b w:val="false"/>
                <w:bCs w:val="false"/>
                <w:color w:val="222222"/>
                <w:sz w:val="15"/>
                <w:szCs w:val="15"/>
              </w:rPr>
              <w:t xml:space="preserve">Back of the lower forearm (measures forearm rotation)</w:t>
            </w:r>
          </w:p>
        </w:tc>
      </w:tr>
      <w:tr>
        <w:trPr>
          <w:cantSplit/>
        </w:trPr>
        <w:tc>
          <w:tcPr>
            <w:tcW w:type="dxa" w:w="247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b/>
                <w:bCs/>
                <w:color w:val="222222"/>
                <w:sz w:val="15"/>
                <w:szCs w:val="15"/>
              </w:rPr>
              <w:t xml:space="preserve">Elbow motor pod</w:t>
            </w:r>
          </w:p>
        </w:tc>
        <w:tc>
          <w:tcPr>
            <w:tcW w:type="dxa" w:w="72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b w:val="false"/>
                <w:bCs w:val="false"/>
                <w:color w:val="222222"/>
                <w:sz w:val="15"/>
                <w:szCs w:val="15"/>
              </w:rPr>
              <w:t xml:space="preserve">1</w:t>
            </w:r>
          </w:p>
        </w:tc>
        <w:tc>
          <w:tcPr>
            <w:tcW w:type="dxa" w:w="334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b w:val="false"/>
                <w:bCs w:val="false"/>
                <w:color w:val="222222"/>
                <w:sz w:val="15"/>
                <w:szCs w:val="15"/>
              </w:rPr>
              <w:t xml:space="preserve">LRA</w:t>
            </w:r>
          </w:p>
        </w:tc>
        <w:tc>
          <w:tcPr>
            <w:tcW w:type="dxa" w:w="247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b w:val="false"/>
                <w:bCs w:val="false"/>
                <w:color w:val="222222"/>
                <w:sz w:val="15"/>
                <w:szCs w:val="15"/>
              </w:rPr>
              <w:t xml:space="preserve">Back of the elbow</w:t>
            </w:r>
          </w:p>
        </w:tc>
      </w:tr>
      <w:tr>
        <w:trPr>
          <w:cantSplit/>
        </w:trPr>
        <w:tc>
          <w:tcPr>
            <w:tcW w:type="dxa" w:w="247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b/>
                <w:bCs/>
                <w:color w:val="222222"/>
                <w:sz w:val="15"/>
                <w:szCs w:val="15"/>
              </w:rPr>
              <w:t xml:space="preserve">Upper-arm pod</w:t>
            </w:r>
          </w:p>
        </w:tc>
        <w:tc>
          <w:tcPr>
            <w:tcW w:type="dxa" w:w="72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b w:val="false"/>
                <w:bCs w:val="false"/>
                <w:color w:val="222222"/>
                <w:sz w:val="15"/>
                <w:szCs w:val="15"/>
              </w:rPr>
              <w:t xml:space="preserve">1</w:t>
            </w:r>
          </w:p>
        </w:tc>
        <w:tc>
          <w:tcPr>
            <w:tcW w:type="dxa" w:w="334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b w:val="false"/>
                <w:bCs w:val="false"/>
                <w:color w:val="222222"/>
                <w:sz w:val="15"/>
                <w:szCs w:val="15"/>
              </w:rPr>
              <w:t xml:space="preserve">BMI270</w:t>
            </w:r>
          </w:p>
        </w:tc>
        <w:tc>
          <w:tcPr>
            <w:tcW w:type="dxa" w:w="247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b w:val="false"/>
                <w:bCs w:val="false"/>
                <w:color w:val="222222"/>
                <w:sz w:val="15"/>
                <w:szCs w:val="15"/>
              </w:rPr>
              <w:t xml:space="preserve">Middle of the upper arm</w:t>
            </w:r>
          </w:p>
        </w:tc>
      </w:tr>
      <w:tr>
        <w:trPr>
          <w:cantSplit/>
        </w:trPr>
        <w:tc>
          <w:tcPr>
            <w:tcW w:type="dxa" w:w="247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b/>
                <w:bCs/>
                <w:color w:val="222222"/>
                <w:sz w:val="15"/>
                <w:szCs w:val="15"/>
              </w:rPr>
              <w:t xml:space="preserve">Shoulder pod</w:t>
            </w:r>
          </w:p>
        </w:tc>
        <w:tc>
          <w:tcPr>
            <w:tcW w:type="dxa" w:w="72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b w:val="false"/>
                <w:bCs w:val="false"/>
                <w:color w:val="222222"/>
                <w:sz w:val="15"/>
                <w:szCs w:val="15"/>
              </w:rPr>
              <w:t xml:space="preserve">1</w:t>
            </w:r>
          </w:p>
        </w:tc>
        <w:tc>
          <w:tcPr>
            <w:tcW w:type="dxa" w:w="334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b w:val="false"/>
                <w:bCs w:val="false"/>
                <w:color w:val="222222"/>
                <w:sz w:val="15"/>
                <w:szCs w:val="15"/>
              </w:rPr>
              <w:t xml:space="preserve">BMI270 + LRA</w:t>
            </w:r>
          </w:p>
        </w:tc>
        <w:tc>
          <w:tcPr>
            <w:tcW w:type="dxa" w:w="247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b w:val="false"/>
                <w:bCs w:val="false"/>
                <w:color w:val="222222"/>
                <w:sz w:val="15"/>
                <w:szCs w:val="15"/>
              </w:rPr>
              <w:t xml:space="preserve">Top of the shoulder</w:t>
            </w:r>
          </w:p>
        </w:tc>
      </w:tr>
      <w:tr>
        <w:trPr>
          <w:cantSplit/>
        </w:trPr>
        <w:tc>
          <w:tcPr>
            <w:tcW w:type="dxa" w:w="247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val="false"/>
              <w:spacing w:after="30" w:line="250"/>
            </w:pPr>
            <w:r>
              <w:rPr>
                <w:rFonts w:ascii="Arial" w:cs="Arial" w:eastAsia="Arial" w:hAnsi="Arial"/>
                <w:b/>
                <w:bCs/>
                <w:color w:val="222222"/>
                <w:sz w:val="15"/>
                <w:szCs w:val="15"/>
              </w:rPr>
              <w:t xml:space="preserve">Hub</w:t>
            </w:r>
          </w:p>
        </w:tc>
        <w:tc>
          <w:tcPr>
            <w:tcW w:type="dxa" w:w="72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val="false"/>
              <w:spacing w:after="30" w:line="250"/>
            </w:pPr>
            <w:r>
              <w:rPr>
                <w:rFonts w:ascii="Arial" w:cs="Arial" w:eastAsia="Arial" w:hAnsi="Arial"/>
                <w:b w:val="false"/>
                <w:bCs w:val="false"/>
                <w:color w:val="222222"/>
                <w:sz w:val="15"/>
                <w:szCs w:val="15"/>
              </w:rPr>
              <w:t xml:space="preserve">1</w:t>
            </w:r>
          </w:p>
        </w:tc>
        <w:tc>
          <w:tcPr>
            <w:tcW w:type="dxa" w:w="334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val="false"/>
              <w:spacing w:after="30" w:line="250"/>
            </w:pPr>
            <w:r>
              <w:rPr>
                <w:rFonts w:ascii="Arial" w:cs="Arial" w:eastAsia="Arial" w:hAnsi="Arial"/>
                <w:b w:val="false"/>
                <w:bCs w:val="false"/>
                <w:color w:val="222222"/>
                <w:sz w:val="15"/>
                <w:szCs w:val="15"/>
              </w:rPr>
              <w:t xml:space="preserve">ESP32-S3-MINI-1, TCA9548A, 3 × DRV2605L, charger, microSD, LiPo</w:t>
            </w:r>
          </w:p>
        </w:tc>
        <w:tc>
          <w:tcPr>
            <w:tcW w:type="dxa" w:w="247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val="false"/>
              <w:spacing w:after="30" w:line="250"/>
            </w:pPr>
            <w:r>
              <w:rPr>
                <w:rFonts w:ascii="Arial" w:cs="Arial" w:eastAsia="Arial" w:hAnsi="Arial"/>
                <w:b w:val="false"/>
                <w:bCs w:val="false"/>
                <w:color w:val="222222"/>
                <w:sz w:val="15"/>
                <w:szCs w:val="15"/>
              </w:rPr>
              <w:t xml:space="preserve">Back of the upper forearm, in a sleeve pocket with a strap</w:t>
            </w:r>
          </w:p>
        </w:tc>
      </w:tr>
    </w:tbl>
    <w:p>
      <w:pPr>
        <w:spacing w:after="80"/>
      </w:pPr>
    </w:p>
    <w:p>
      <w:pPr>
        <w:spacing w:after="120" w:before="0" w:line="276"/>
        <w:jc w:val="left"/>
      </w:pPr>
      <w:r>
        <w:rPr>
          <w:rFonts w:ascii="Arial" w:cs="Arial" w:eastAsia="Arial" w:hAnsi="Arial"/>
          <w:b/>
          <w:bCs/>
          <w:color w:val="222222"/>
          <w:sz w:val="20"/>
          <w:szCs w:val="20"/>
        </w:rPr>
        <w:t xml:space="preserve">Per arm: 9 motion sensors and 8 vibration motors</w:t>
      </w:r>
      <w:r>
        <w:rPr>
          <w:rFonts w:ascii="Arial" w:cs="Arial" w:eastAsia="Arial" w:hAnsi="Arial"/>
          <w:color w:val="222222"/>
          <w:sz w:val="20"/>
          <w:szCs w:val="20"/>
        </w:rPr>
        <w:t xml:space="preserve">, wired to two I2C buses (Section 4.5).</w:t>
      </w:r>
    </w:p>
    <w:p>
      <w:pPr>
        <w:pStyle w:val="Heading2"/>
        <w:keepNext/>
      </w:pPr>
      <w:r>
        <w:rPr>
          <w:rFonts w:ascii="Arial" w:cs="Arial" w:eastAsia="Arial" w:hAnsi="Arial"/>
        </w:rPr>
        <w:t xml:space="preserve">4.2 The hand: fingertips and palm stay free</w:t>
      </w:r>
    </w:p>
    <w:p>
      <w:pPr>
        <w:keepNext/>
        <w:spacing w:after="60" w:before="60"/>
        <w:jc w:val="center"/>
      </w:pPr>
      <w:r>
        <w:drawing>
          <wp:inline distT="0" distB="0" distL="0" distR="0">
            <wp:extent cx="5334000" cy="5114925"/>
            <wp:effectExtent t="0" r="0" b="0" l="0"/>
            <wp:docPr id="1" name="Figure 3. (a) Hand c" descr="Figure 3. (a) Hand close-up. (b) Palm side: nothing covers the palm or fingertips, so the touch on the drum, the thread or the string is unchanged. (c) Side view: the tallest finger part is the 5.2 mm motor pod." title="Figure 3. (a) Hand close-up. (b) Palm 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5114925"/>
                    </a:xfrm>
                    <a:prstGeom prst="rect">
                      <a:avLst/>
                    </a:prstGeom>
                  </pic:spPr>
                </pic:pic>
              </a:graphicData>
            </a:graphic>
          </wp:inline>
        </w:drawing>
      </w:r>
    </w:p>
    <w:p>
      <w:pPr>
        <w:spacing w:after="180"/>
        <w:jc w:val="center"/>
      </w:pPr>
      <w:r>
        <w:rPr>
          <w:rFonts w:ascii="Arial" w:cs="Arial" w:eastAsia="Arial" w:hAnsi="Arial"/>
          <w:i/>
          <w:iCs/>
          <w:color w:val="5E5E5E"/>
          <w:sz w:val="17"/>
          <w:szCs w:val="17"/>
        </w:rPr>
        <w:t xml:space="preserve">Figure 3. (a) Hand close-up. (b) Palm side: nothing covers the palm or fingertips, so the touch on the drum, the thread or the string is unchanged. (c) Side view: the tallest finger part is the 5.2 mm motor pod.</w:t>
      </w:r>
    </w:p>
    <w:p>
      <w:pPr>
        <w:pStyle w:val="Heading2"/>
        <w:keepNext/>
      </w:pPr>
      <w:r>
        <w:rPr>
          <w:rFonts w:ascii="Arial" w:cs="Arial" w:eastAsia="Arial" w:hAnsi="Arial"/>
        </w:rPr>
        <w:t xml:space="preserve">4.3 Inside each housing</w:t>
      </w:r>
    </w:p>
    <w:p>
      <w:pPr>
        <w:keepNext/>
        <w:spacing w:after="60" w:before="60"/>
        <w:jc w:val="center"/>
      </w:pPr>
      <w:r>
        <w:drawing>
          <wp:inline distT="0" distB="0" distL="0" distR="0">
            <wp:extent cx="5334000" cy="5781675"/>
            <wp:effectExtent t="0" r="0" b="0" l="0"/>
            <wp:docPr id="1" name="Figure 4. Exploded v" descr="Figure 4. Exploded views. (a) Finger ring IMU pod. (b) Finger motor pod. (c) Hand board. (d) Forearm hub. (e) All housings to the same scale." title="Figure 4. Exploded views. (a) Finger r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5781675"/>
                    </a:xfrm>
                    <a:prstGeom prst="rect">
                      <a:avLst/>
                    </a:prstGeom>
                  </pic:spPr>
                </pic:pic>
              </a:graphicData>
            </a:graphic>
          </wp:inline>
        </w:drawing>
      </w:r>
    </w:p>
    <w:p>
      <w:pPr>
        <w:spacing w:after="180"/>
        <w:jc w:val="center"/>
      </w:pPr>
      <w:r>
        <w:rPr>
          <w:rFonts w:ascii="Arial" w:cs="Arial" w:eastAsia="Arial" w:hAnsi="Arial"/>
          <w:i/>
          <w:iCs/>
          <w:color w:val="5E5E5E"/>
          <w:sz w:val="17"/>
          <w:szCs w:val="17"/>
        </w:rPr>
        <w:t xml:space="preserve">Figure 4. Exploded views. (a) Finger ring IMU pod. (b) Finger motor pod. (c) Hand board. (d) Forearm hub. (e) All housings to the same scale.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1"/>
        <w:gridCol w:w="3966"/>
        <w:gridCol w:w="2051"/>
        <w:gridCol w:w="958"/>
      </w:tblGrid>
      <w:tr>
        <w:trPr>
          <w:cantSplit/>
          <w:tblHeader/>
        </w:trPr>
        <w:tc>
          <w:tcPr>
            <w:tcW w:type="dxa" w:w="205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Part</w:t>
            </w:r>
          </w:p>
        </w:tc>
        <w:tc>
          <w:tcPr>
            <w:tcW w:type="dxa" w:w="396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Datasheet facts we rely on</w:t>
            </w:r>
          </w:p>
        </w:tc>
        <w:tc>
          <w:tcPr>
            <w:tcW w:type="dxa" w:w="205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Why this part</w:t>
            </w:r>
          </w:p>
        </w:tc>
        <w:tc>
          <w:tcPr>
            <w:tcW w:type="dxa" w:w="95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Source</w:t>
            </w:r>
          </w:p>
        </w:tc>
      </w:tr>
      <w:tr>
        <w:trPr>
          <w:cantSplit/>
        </w:trPr>
        <w:tc>
          <w:tcPr>
            <w:tcW w:type="dxa" w:w="205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BMI270 IMU</w:t>
            </w:r>
          </w:p>
        </w:tc>
        <w:tc>
          <w:tcPr>
            <w:tcW w:type="dxa" w:w="396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2.5 × 3.0 × 0.83 mm; 16-bit accelerometer and gyroscope; 685 µA; 2 KB FIFO; I2C addresses 0x68/0x69</w:t>
            </w:r>
          </w:p>
        </w:tc>
        <w:tc>
          <w:tcPr>
            <w:tcW w:type="dxa" w:w="205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Small enough for a finger ring; FIFO lets the hub read in bursts</w:t>
            </w:r>
          </w:p>
        </w:tc>
        <w:tc>
          <w:tcPr>
            <w:tcW w:type="dxa" w:w="95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5"/>
                <w:szCs w:val="15"/>
              </w:rPr>
              <w:t xml:space="preserve">[78]</w:t>
            </w:r>
          </w:p>
        </w:tc>
      </w:tr>
      <w:tr>
        <w:trPr>
          <w:cantSplit/>
        </w:trPr>
        <w:tc>
          <w:tcPr>
            <w:tcW w:type="dxa" w:w="205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DRV2605L haptic driver</w:t>
            </w:r>
          </w:p>
        </w:tc>
        <w:tc>
          <w:tcPr>
            <w:tcW w:type="dxa" w:w="396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2–5.2 V; 3 × 3 mm; closed-loop LRA auto-resonance; fixed I2C address 0x5A</w:t>
            </w:r>
          </w:p>
        </w:tc>
        <w:tc>
          <w:tcPr>
            <w:tcW w:type="dxa" w:w="205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Crisp, repeatable pulses whatever the motor's tolerance</w:t>
            </w:r>
          </w:p>
        </w:tc>
        <w:tc>
          <w:tcPr>
            <w:tcW w:type="dxa" w:w="95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5"/>
                <w:szCs w:val="15"/>
              </w:rPr>
              <w:t xml:space="preserve">[37, 79]</w:t>
            </w:r>
          </w:p>
        </w:tc>
      </w:tr>
      <w:tr>
        <w:trPr>
          <w:cantSplit/>
        </w:trPr>
        <w:tc>
          <w:tcPr>
            <w:tcW w:type="dxa" w:w="205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TCA9548A I2C switch</w:t>
            </w:r>
          </w:p>
        </w:tc>
        <w:tc>
          <w:tcPr>
            <w:tcW w:type="dxa" w:w="396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8 channels; 0x70–0x77; 100/400 kHz</w:t>
            </w:r>
          </w:p>
        </w:tc>
        <w:tc>
          <w:tcPr>
            <w:tcW w:type="dxa" w:w="205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Lets eight drivers with the same address share one bus</w:t>
            </w:r>
          </w:p>
        </w:tc>
        <w:tc>
          <w:tcPr>
            <w:tcW w:type="dxa" w:w="95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5"/>
                <w:szCs w:val="15"/>
              </w:rPr>
              <w:t xml:space="preserve">[80]</w:t>
            </w:r>
          </w:p>
        </w:tc>
      </w:tr>
      <w:tr>
        <w:trPr>
          <w:cantSplit/>
        </w:trPr>
        <w:tc>
          <w:tcPr>
            <w:tcW w:type="dxa" w:w="205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ESP32-S3-MINI-1</w:t>
            </w:r>
          </w:p>
        </w:tc>
        <w:tc>
          <w:tcPr>
            <w:tcW w:type="dxa" w:w="396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15.4 × 20.5 × 2.4 mm; dual core 240 MHz; Wi-Fi and Bluetooth 5</w:t>
            </w:r>
          </w:p>
        </w:tc>
        <w:tc>
          <w:tcPr>
            <w:tcW w:type="dxa" w:w="205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Two I2C buses, radio, enough speed for filtering</w:t>
            </w:r>
          </w:p>
        </w:tc>
        <w:tc>
          <w:tcPr>
            <w:tcW w:type="dxa" w:w="95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5"/>
                <w:szCs w:val="15"/>
              </w:rPr>
              <w:t xml:space="preserve">[81]</w:t>
            </w:r>
          </w:p>
        </w:tc>
      </w:tr>
      <w:tr>
        <w:trPr>
          <w:cantSplit/>
        </w:trPr>
        <w:tc>
          <w:tcPr>
            <w:tcW w:type="dxa" w:w="205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C08-005 coin LRA</w:t>
            </w:r>
          </w:p>
        </w:tc>
        <w:tc>
          <w:tcPr>
            <w:tcW w:type="dxa" w:w="396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8 × 3.3 mm; 235 Hz; 1.8 V; 75 mA typical; 1.28 G</w:t>
            </w:r>
          </w:p>
        </w:tc>
        <w:tc>
          <w:tcPr>
            <w:tcW w:type="dxa" w:w="205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235 Hz sits where skin is most sensitive to vibration (Pacinian channel)</w:t>
            </w:r>
          </w:p>
        </w:tc>
        <w:tc>
          <w:tcPr>
            <w:tcW w:type="dxa" w:w="95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5"/>
                <w:szCs w:val="15"/>
              </w:rPr>
              <w:t xml:space="preserve">[16, 84]</w:t>
            </w:r>
          </w:p>
        </w:tc>
      </w:tr>
      <w:tr>
        <w:trPr>
          <w:cantSplit/>
        </w:trPr>
        <w:tc>
          <w:tcPr>
            <w:tcW w:type="dxa" w:w="205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MCP73831 charger</w:t>
            </w:r>
          </w:p>
        </w:tc>
        <w:tc>
          <w:tcPr>
            <w:tcW w:type="dxa" w:w="396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SOT-23-5; 15–500 mA programmable; 4.20 V</w:t>
            </w:r>
          </w:p>
        </w:tc>
        <w:tc>
          <w:tcPr>
            <w:tcW w:type="dxa" w:w="205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Safe single-cell charging over USB-C</w:t>
            </w:r>
          </w:p>
        </w:tc>
        <w:tc>
          <w:tcPr>
            <w:tcW w:type="dxa" w:w="95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5"/>
                <w:szCs w:val="15"/>
              </w:rPr>
              <w:t xml:space="preserve">[85]</w:t>
            </w:r>
          </w:p>
        </w:tc>
      </w:tr>
      <w:tr>
        <w:trPr>
          <w:cantSplit/>
        </w:trPr>
        <w:tc>
          <w:tcPr>
            <w:tcW w:type="dxa" w:w="205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7BB-27-4L0 piezo (tabla)</w:t>
            </w:r>
          </w:p>
        </w:tc>
        <w:tc>
          <w:tcPr>
            <w:tcW w:type="dxa" w:w="396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27 mm × 0.54 mm; 4.6 kHz; 20 nF</w:t>
            </w:r>
          </w:p>
        </w:tc>
        <w:tc>
          <w:tcPr>
            <w:tcW w:type="dxa" w:w="205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Contact pickup on the drum shell, no change to the head</w:t>
            </w:r>
          </w:p>
        </w:tc>
        <w:tc>
          <w:tcPr>
            <w:tcW w:type="dxa" w:w="95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5"/>
                <w:szCs w:val="15"/>
              </w:rPr>
              <w:t xml:space="preserve">[86]</w:t>
            </w:r>
          </w:p>
        </w:tc>
      </w:tr>
    </w:tbl>
    <w:p>
      <w:pPr>
        <w:spacing w:after="80"/>
      </w:pPr>
    </w:p>
    <w:p>
      <w:pPr>
        <w:pStyle w:val="Heading2"/>
        <w:keepNext/>
      </w:pPr>
      <w:r>
        <w:rPr>
          <w:rFonts w:ascii="Arial" w:cs="Arial" w:eastAsia="Arial" w:hAnsi="Arial"/>
        </w:rPr>
        <w:t xml:space="preserve">4.4 Dimensioned drawings</w:t>
      </w:r>
    </w:p>
    <w:p>
      <w:pPr>
        <w:keepNext/>
        <w:spacing w:after="60" w:before="60"/>
        <w:jc w:val="center"/>
      </w:pPr>
      <w:r>
        <w:drawing>
          <wp:inline distT="0" distB="0" distL="0" distR="0">
            <wp:extent cx="5715000" cy="3429000"/>
            <wp:effectExtent t="0" r="0" b="0" l="0"/>
            <wp:docPr id="1" name="Figure 5. Ring pod a" descr="Figure 5. Ring pod and hub with key dimensions (mm), and the hub's height stack-up." title="Figure 5. Ring pod and hub with key d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429000"/>
                    </a:xfrm>
                    <a:prstGeom prst="rect">
                      <a:avLst/>
                    </a:prstGeom>
                  </pic:spPr>
                </pic:pic>
              </a:graphicData>
            </a:graphic>
          </wp:inline>
        </w:drawing>
      </w:r>
    </w:p>
    <w:p>
      <w:pPr>
        <w:spacing w:after="180"/>
        <w:jc w:val="center"/>
      </w:pPr>
      <w:r>
        <w:rPr>
          <w:rFonts w:ascii="Arial" w:cs="Arial" w:eastAsia="Arial" w:hAnsi="Arial"/>
          <w:i/>
          <w:iCs/>
          <w:color w:val="5E5E5E"/>
          <w:sz w:val="17"/>
          <w:szCs w:val="17"/>
        </w:rPr>
        <w:t xml:space="preserve">Figure 5. Ring pod and hub with key dimensions (mm), and the hub's height stack-up.</w:t>
      </w:r>
    </w:p>
    <w:p>
      <w:pPr>
        <w:pStyle w:val="Heading2"/>
        <w:keepNext/>
      </w:pPr>
      <w:r>
        <w:rPr>
          <w:rFonts w:ascii="Arial" w:cs="Arial" w:eastAsia="Arial" w:hAnsi="Arial"/>
        </w:rPr>
        <w:t xml:space="preserve">4.5 Electronics</w:t>
      </w:r>
    </w:p>
    <w:p>
      <w:pPr>
        <w:keepNext/>
        <w:spacing w:after="60" w:before="60"/>
        <w:jc w:val="center"/>
      </w:pPr>
      <w:r>
        <w:drawing>
          <wp:inline distT="0" distB="0" distL="0" distR="0">
            <wp:extent cx="5715000" cy="3143250"/>
            <wp:effectExtent t="0" r="0" b="0" l="0"/>
            <wp:docPr id="1" name="Figure 6. Two I2C bu" descr="Figure 6. Two I2C buses per sleeve. Each finger shares one switch channel between its ring IMU and its motor driver." title="Figure 6. Two I2C buses per sleeve.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143250"/>
                    </a:xfrm>
                    <a:prstGeom prst="rect">
                      <a:avLst/>
                    </a:prstGeom>
                  </pic:spPr>
                </pic:pic>
              </a:graphicData>
            </a:graphic>
          </wp:inline>
        </w:drawing>
      </w:r>
    </w:p>
    <w:p>
      <w:pPr>
        <w:spacing w:after="180"/>
        <w:jc w:val="center"/>
      </w:pPr>
      <w:r>
        <w:rPr>
          <w:rFonts w:ascii="Arial" w:cs="Arial" w:eastAsia="Arial" w:hAnsi="Arial"/>
          <w:i/>
          <w:iCs/>
          <w:color w:val="5E5E5E"/>
          <w:sz w:val="17"/>
          <w:szCs w:val="17"/>
        </w:rPr>
        <w:t xml:space="preserve">Figure 6. Two I2C buses per sleeve. Each finger shares one switch channel between its ring IMU and its motor driver.</w:t>
      </w:r>
    </w:p>
    <w:p>
      <w:pPr>
        <w:spacing w:after="120" w:before="0" w:line="276"/>
        <w:jc w:val="left"/>
      </w:pPr>
      <w:r>
        <w:rPr>
          <w:rFonts w:ascii="Arial" w:cs="Arial" w:eastAsia="Arial" w:hAnsi="Arial"/>
          <w:b/>
          <w:bCs/>
          <w:color w:val="222222"/>
          <w:sz w:val="20"/>
          <w:szCs w:val="20"/>
        </w:rPr>
        <w:t xml:space="preserve">Why two buses and a switch on each.</w:t>
      </w:r>
      <w:r>
        <w:rPr>
          <w:rFonts w:ascii="Arial" w:cs="Arial" w:eastAsia="Arial" w:hAnsi="Arial"/>
          <w:color w:val="222222"/>
          <w:sz w:val="20"/>
          <w:szCs w:val="20"/>
        </w:rPr>
        <w:t xml:space="preserve"> The DRV2605L has a fixed address, so eight drivers cannot share one bus without a switch </w:t>
      </w:r>
      <w:r>
        <w:rPr>
          <w:rFonts w:ascii="Arial" w:cs="Arial" w:eastAsia="Arial" w:hAnsi="Arial"/>
          <w:b w:val="false"/>
          <w:bCs w:val="false"/>
          <w:color w:val="1F4E79"/>
          <w:sz w:val="20"/>
          <w:szCs w:val="20"/>
        </w:rPr>
        <w:t xml:space="preserve">[79, 80]</w:t>
      </w:r>
      <w:r>
        <w:rPr>
          <w:rFonts w:ascii="Arial" w:cs="Arial" w:eastAsia="Arial" w:hAnsi="Arial"/>
          <w:color w:val="222222"/>
          <w:sz w:val="20"/>
          <w:szCs w:val="20"/>
        </w:rPr>
        <w:t xml:space="preserve">. Each switch channel also isolates its own short cable segment: the longest (hub to shoulder, about 45 cm) adds well under 100 pF, far below the I2C limit of 400 pF per line </w:t>
      </w:r>
      <w:r>
        <w:rPr>
          <w:rFonts w:ascii="Arial" w:cs="Arial" w:eastAsia="Arial" w:hAnsi="Arial"/>
          <w:b w:val="false"/>
          <w:bCs w:val="false"/>
          <w:color w:val="1F4E79"/>
          <w:sz w:val="20"/>
          <w:szCs w:val="20"/>
        </w:rPr>
        <w:t xml:space="preserve">[87]</w:t>
      </w:r>
      <w:r>
        <w:rPr>
          <w:rFonts w:ascii="Arial" w:cs="Arial" w:eastAsia="Arial" w:hAnsi="Arial"/>
          <w:color w:val="222222"/>
          <w:sz w:val="20"/>
          <w:szCs w:val="20"/>
        </w:rPr>
        <w:t xml:space="preserve">.</w:t>
      </w:r>
    </w:p>
    <w:p>
      <w:pPr>
        <w:pStyle w:val="Heading2"/>
        <w:keepNext/>
      </w:pPr>
      <w:r>
        <w:rPr>
          <w:rFonts w:ascii="Arial" w:cs="Arial" w:eastAsia="Arial" w:hAnsi="Arial"/>
        </w:rPr>
        <w:t xml:space="preserve">4.6 Engineering budgets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49"/>
        <w:gridCol w:w="4728"/>
        <w:gridCol w:w="2149"/>
      </w:tblGrid>
      <w:tr>
        <w:trPr>
          <w:cantSplit/>
          <w:tblHeader/>
        </w:trPr>
        <w:tc>
          <w:tcPr>
            <w:tcW w:type="dxa" w:w="214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Budget</w:t>
            </w:r>
          </w:p>
        </w:tc>
        <w:tc>
          <w:tcPr>
            <w:tcW w:type="dxa" w:w="472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Calculation</w:t>
            </w:r>
          </w:p>
        </w:tc>
        <w:tc>
          <w:tcPr>
            <w:tcW w:type="dxa" w:w="214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Result</w:t>
            </w:r>
          </w:p>
        </w:tc>
      </w:tr>
      <w:tr>
        <w:trPr>
          <w:cantSplit/>
        </w:trPr>
        <w:tc>
          <w:tcPr>
            <w:tcW w:type="dxa" w:w="214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Data (per sleeve)</w:t>
            </w:r>
          </w:p>
        </w:tc>
        <w:tc>
          <w:tcPr>
            <w:tcW w:type="dxa" w:w="472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9 IMUs × 12 bytes × 200 samples/s = 21.6 kB/s. Hand bus: 6 IMUs = 14.4 kB/s, about 36% of a 400 kHz bus; arm bus: 3 IMUs = 7.2 kB/s, about 18%</w:t>
            </w:r>
          </w:p>
        </w:tc>
        <w:tc>
          <w:tcPr>
            <w:tcW w:type="dxa" w:w="214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Fits, with FIFO burst reads </w:t>
            </w:r>
            <w:r>
              <w:rPr>
                <w:rFonts w:ascii="Arial" w:cs="Arial" w:eastAsia="Arial" w:hAnsi="Arial"/>
                <w:b w:val="false"/>
                <w:bCs w:val="false"/>
                <w:color w:val="1F4E79"/>
                <w:sz w:val="15"/>
                <w:szCs w:val="15"/>
              </w:rPr>
              <w:t xml:space="preserve">[78]</w:t>
            </w:r>
          </w:p>
        </w:tc>
      </w:tr>
      <w:tr>
        <w:trPr>
          <w:cantSplit/>
        </w:trPr>
        <w:tc>
          <w:tcPr>
            <w:tcW w:type="dxa" w:w="214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Radio (two sleeves)</w:t>
            </w:r>
          </w:p>
        </w:tc>
        <w:tc>
          <w:tcPr>
            <w:tcW w:type="dxa" w:w="472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2 × 21.6 kB/s ≈ 350 kbit/s to a USB receiver; a full-rate copy is also written to each hub's microSD card</w:t>
            </w:r>
          </w:p>
        </w:tc>
        <w:tc>
          <w:tcPr>
            <w:tcW w:type="dxa" w:w="214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Fits; no data lost if radio drops [Target]</w:t>
            </w:r>
          </w:p>
        </w:tc>
      </w:tr>
      <w:tr>
        <w:trPr>
          <w:cantSplit/>
        </w:trPr>
        <w:tc>
          <w:tcPr>
            <w:tcW w:type="dxa" w:w="214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Power (per sleeve)</w:t>
            </w:r>
          </w:p>
        </w:tc>
        <w:tc>
          <w:tcPr>
            <w:tcW w:type="dxa" w:w="472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ESP32-S3 with radio ≈ 110 mA </w:t>
            </w:r>
            <w:r>
              <w:rPr>
                <w:rFonts w:ascii="Arial" w:cs="Arial" w:eastAsia="Arial" w:hAnsi="Arial"/>
                <w:b w:val="false"/>
                <w:bCs w:val="false"/>
                <w:color w:val="1F4E79"/>
                <w:sz w:val="15"/>
                <w:szCs w:val="15"/>
              </w:rPr>
              <w:t xml:space="preserve">[82]</w:t>
            </w:r>
            <w:r>
              <w:rPr>
                <w:rFonts w:ascii="Arial" w:cs="Arial" w:eastAsia="Arial" w:hAnsi="Arial"/>
                <w:b w:val="false"/>
                <w:bCs w:val="false"/>
                <w:color w:val="222222"/>
                <w:sz w:val="15"/>
                <w:szCs w:val="15"/>
              </w:rPr>
              <w:t xml:space="preserve"> + 9 × 0.685 mA IMUs </w:t>
            </w:r>
            <w:r>
              <w:rPr>
                <w:rFonts w:ascii="Arial" w:cs="Arial" w:eastAsia="Arial" w:hAnsi="Arial"/>
                <w:b w:val="false"/>
                <w:bCs w:val="false"/>
                <w:color w:val="1F4E79"/>
                <w:sz w:val="15"/>
                <w:szCs w:val="15"/>
              </w:rPr>
              <w:t xml:space="preserve">[78]</w:t>
            </w:r>
            <w:r>
              <w:rPr>
                <w:rFonts w:ascii="Arial" w:cs="Arial" w:eastAsia="Arial" w:hAnsi="Arial"/>
                <w:b w:val="false"/>
                <w:bCs w:val="false"/>
                <w:color w:val="222222"/>
                <w:sz w:val="15"/>
                <w:szCs w:val="15"/>
              </w:rPr>
              <w:t xml:space="preserve"> + motors 75 mA at ≤ 20% duty ≈ 15 mA </w:t>
            </w:r>
            <w:r>
              <w:rPr>
                <w:rFonts w:ascii="Arial" w:cs="Arial" w:eastAsia="Arial" w:hAnsi="Arial"/>
                <w:b w:val="false"/>
                <w:bCs w:val="false"/>
                <w:color w:val="1F4E79"/>
                <w:sz w:val="15"/>
                <w:szCs w:val="15"/>
              </w:rPr>
              <w:t xml:space="preserve">[84]</w:t>
            </w:r>
            <w:r>
              <w:rPr>
                <w:rFonts w:ascii="Arial" w:cs="Arial" w:eastAsia="Arial" w:hAnsi="Arial"/>
                <w:b w:val="false"/>
                <w:bCs w:val="false"/>
                <w:color w:val="222222"/>
                <w:sz w:val="15"/>
                <w:szCs w:val="15"/>
              </w:rPr>
              <w:t xml:space="preserve"> + microSD ≈ 10 mA → ≈ 142 mA. 1,000 mAh × 80% usable ÷ 142 mA</w:t>
            </w:r>
          </w:p>
        </w:tc>
        <w:tc>
          <w:tcPr>
            <w:tcW w:type="dxa" w:w="214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 5.6 h [Estimate]; pass mark ≥ 3 h (H5)</w:t>
            </w:r>
          </w:p>
        </w:tc>
      </w:tr>
      <w:tr>
        <w:trPr>
          <w:cantSplit/>
        </w:trPr>
        <w:tc>
          <w:tcPr>
            <w:tcW w:type="dxa" w:w="214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Mass (per arm)</w:t>
            </w:r>
          </w:p>
        </w:tc>
        <w:tc>
          <w:tcPr>
            <w:tcW w:type="dxa" w:w="472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Housings from CAD volume at 1.01 g/cm³ (PA12): ring 0.4 g, motor pod 0.4 g, joint pod 1.9 g, hand board 4.4 g, hub 15.4 g; plus boards, motors, 1,000 mAh cell (≈ 20 g), cables and fabric</w:t>
            </w:r>
          </w:p>
        </w:tc>
        <w:tc>
          <w:tcPr>
            <w:tcW w:type="dxa" w:w="214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 160 g per arm, ≈ 30 g on the hand and fingers [Estimate]</w:t>
            </w:r>
          </w:p>
        </w:tc>
      </w:tr>
      <w:tr>
        <w:trPr>
          <w:cantSplit/>
        </w:trPr>
        <w:tc>
          <w:tcPr>
            <w:tcW w:type="dxa" w:w="214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Bus capacitance</w:t>
            </w:r>
          </w:p>
        </w:tc>
        <w:tc>
          <w:tcPr>
            <w:tcW w:type="dxa" w:w="472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45 cm of thin cable (≤ 100 pF/m) + 2 devices (≈ 10 pF each) per channel</w:t>
            </w:r>
          </w:p>
        </w:tc>
        <w:tc>
          <w:tcPr>
            <w:tcW w:type="dxa" w:w="214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&lt; 100 pF vs 400 pF limit </w:t>
            </w:r>
            <w:r>
              <w:rPr>
                <w:rFonts w:ascii="Arial" w:cs="Arial" w:eastAsia="Arial" w:hAnsi="Arial"/>
                <w:b w:val="false"/>
                <w:bCs w:val="false"/>
                <w:color w:val="1F4E79"/>
                <w:sz w:val="15"/>
                <w:szCs w:val="15"/>
              </w:rPr>
              <w:t xml:space="preserve">[87]</w:t>
            </w:r>
          </w:p>
        </w:tc>
      </w:tr>
      <w:tr>
        <w:trPr>
          <w:cantSplit/>
        </w:trPr>
        <w:tc>
          <w:tcPr>
            <w:tcW w:type="dxa" w:w="214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Timing</w:t>
            </w:r>
          </w:p>
        </w:tc>
        <w:tc>
          <w:tcPr>
            <w:tcW w:type="dxa" w:w="472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Hubs and the tool node share a clock by timestamp exchange with drift correction </w:t>
            </w:r>
            <w:r>
              <w:rPr>
                <w:rFonts w:ascii="Arial" w:cs="Arial" w:eastAsia="Arial" w:hAnsi="Arial"/>
                <w:b w:val="false"/>
                <w:bCs w:val="false"/>
                <w:color w:val="1F4E79"/>
                <w:sz w:val="15"/>
                <w:szCs w:val="15"/>
              </w:rPr>
              <w:t xml:space="preserve">[51]</w:t>
            </w:r>
            <w:r>
              <w:rPr>
                <w:rFonts w:ascii="Arial" w:cs="Arial" w:eastAsia="Arial" w:hAnsi="Arial"/>
                <w:b w:val="false"/>
                <w:bCs w:val="false"/>
                <w:color w:val="222222"/>
                <w:sz w:val="15"/>
                <w:szCs w:val="15"/>
              </w:rPr>
              <w:t xml:space="preserve">; tabla piezos sampled by DMA at 16 kHz per channel (driver allows up to 83 kHz) </w:t>
            </w:r>
            <w:r>
              <w:rPr>
                <w:rFonts w:ascii="Arial" w:cs="Arial" w:eastAsia="Arial" w:hAnsi="Arial"/>
                <w:b w:val="false"/>
                <w:bCs w:val="false"/>
                <w:color w:val="1F4E79"/>
                <w:sz w:val="15"/>
                <w:szCs w:val="15"/>
              </w:rPr>
              <w:t xml:space="preserve">[83]</w:t>
            </w:r>
          </w:p>
        </w:tc>
        <w:tc>
          <w:tcPr>
            <w:tcW w:type="dxa" w:w="214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Body-to-drum sync ≤ 2 ms [Target] (H3)</w:t>
            </w:r>
          </w:p>
        </w:tc>
      </w:tr>
    </w:tbl>
    <w:p>
      <w:pPr>
        <w:spacing w:after="80"/>
      </w:pPr>
    </w:p>
    <w:p>
      <w:pPr>
        <w:pStyle w:val="Heading2"/>
        <w:keepNext/>
      </w:pPr>
      <w:r>
        <w:rPr>
          <w:rFonts w:ascii="Arial" w:cs="Arial" w:eastAsia="Arial" w:hAnsi="Arial"/>
        </w:rPr>
        <w:t xml:space="preserve">4.7 Tool kits</w:t>
      </w:r>
    </w:p>
    <w:p>
      <w:pPr>
        <w:keepNext/>
        <w:spacing w:after="60" w:before="60"/>
        <w:jc w:val="center"/>
      </w:pPr>
      <w:r>
        <w:drawing>
          <wp:inline distT="0" distB="0" distL="0" distR="0">
            <wp:extent cx="5715000" cy="2952750"/>
            <wp:effectExtent t="0" r="0" b="0" l="0"/>
            <wp:docPr id="1" name="Figure 7. Tabla kit:" descr="Figure 7. Tabla kit: a 27 mm piezo disc in a clip on each drum shell, held with removable putty, and a base unit. Drum sizes follow a standard 5.5-inch dayan and 9-inch bayan [@tablasize]." title="Figure 7. Tabla kit: a 27 mm piezo dis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952750"/>
                    </a:xfrm>
                    <a:prstGeom prst="rect">
                      <a:avLst/>
                    </a:prstGeom>
                  </pic:spPr>
                </pic:pic>
              </a:graphicData>
            </a:graphic>
          </wp:inline>
        </w:drawing>
      </w:r>
    </w:p>
    <w:p>
      <w:pPr>
        <w:spacing w:after="180"/>
        <w:jc w:val="center"/>
      </w:pPr>
      <w:r>
        <w:rPr>
          <w:rFonts w:ascii="Arial" w:cs="Arial" w:eastAsia="Arial" w:hAnsi="Arial"/>
          <w:i/>
          <w:iCs/>
          <w:color w:val="5E5E5E"/>
          <w:sz w:val="17"/>
          <w:szCs w:val="17"/>
        </w:rPr>
        <w:t xml:space="preserve">Figure 7. Tabla kit: a 27 mm piezo disc in a clip on each drum shell, held with removable putty, and a base unit. Drum sizes follow a standard 5.5-inch dayan and 9-inch bayan </w:t>
      </w:r>
      <w:r>
        <w:rPr>
          <w:rFonts w:ascii="Arial" w:cs="Arial" w:eastAsia="Arial" w:hAnsi="Arial"/>
          <w:b w:val="false"/>
          <w:bCs w:val="false"/>
          <w:i/>
          <w:iCs/>
          <w:color w:val="1F4E79"/>
          <w:sz w:val="17"/>
          <w:szCs w:val="17"/>
        </w:rPr>
        <w:t xml:space="preserve">[90]</w:t>
      </w:r>
      <w:r>
        <w:rPr>
          <w:rFonts w:ascii="Arial" w:cs="Arial" w:eastAsia="Arial" w:hAnsi="Arial"/>
          <w:i/>
          <w:iCs/>
          <w:color w:val="5E5E5E"/>
          <w:sz w:val="17"/>
          <w:szCs w:val="17"/>
        </w:rPr>
        <w:t xml:space="preserve">.</w:t>
      </w:r>
    </w:p>
    <w:p>
      <w:pPr>
        <w:keepNext/>
        <w:spacing w:after="60" w:before="60"/>
        <w:jc w:val="center"/>
      </w:pPr>
      <w:r>
        <w:drawing>
          <wp:inline distT="0" distB="0" distL="0" distR="0">
            <wp:extent cx="5715000" cy="3524250"/>
            <wp:effectExtent t="0" r="0" b="0" l="0"/>
            <wp:docPr id="1" name="Figure 8. (a) Puppet" descr="Figure 8. (a) Puppetry kit: a 30 × 20 × 10 mm sensor pod in the wooden torso of a Kathputli (typical puppets are 43–58 cm tall [@kathputlisize]); the strings stay on the fingers [@wepakathputli]. (b) Handloom kit on a stylised two-treadle frame loom." title="Figure 8. (a) Puppetry kit: a 30 × 20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24250"/>
                    </a:xfrm>
                    <a:prstGeom prst="rect">
                      <a:avLst/>
                    </a:prstGeom>
                  </pic:spPr>
                </pic:pic>
              </a:graphicData>
            </a:graphic>
          </wp:inline>
        </w:drawing>
      </w:r>
    </w:p>
    <w:p>
      <w:pPr>
        <w:spacing w:after="180"/>
        <w:jc w:val="center"/>
      </w:pPr>
      <w:r>
        <w:rPr>
          <w:rFonts w:ascii="Arial" w:cs="Arial" w:eastAsia="Arial" w:hAnsi="Arial"/>
          <w:i/>
          <w:iCs/>
          <w:color w:val="5E5E5E"/>
          <w:sz w:val="17"/>
          <w:szCs w:val="17"/>
        </w:rPr>
        <w:t xml:space="preserve">Figure 8. (a) Puppetry kit: a 30 × 20 × 10 mm sensor pod in the wooden torso of a Kathputli (typical puppets are 43–58 cm tall </w:t>
      </w:r>
      <w:r>
        <w:rPr>
          <w:rFonts w:ascii="Arial" w:cs="Arial" w:eastAsia="Arial" w:hAnsi="Arial"/>
          <w:b w:val="false"/>
          <w:bCs w:val="false"/>
          <w:i/>
          <w:iCs/>
          <w:color w:val="1F4E79"/>
          <w:sz w:val="17"/>
          <w:szCs w:val="17"/>
        </w:rPr>
        <w:t xml:space="preserve">[91]</w:t>
      </w:r>
      <w:r>
        <w:rPr>
          <w:rFonts w:ascii="Arial" w:cs="Arial" w:eastAsia="Arial" w:hAnsi="Arial"/>
          <w:i/>
          <w:iCs/>
          <w:color w:val="5E5E5E"/>
          <w:sz w:val="17"/>
          <w:szCs w:val="17"/>
        </w:rPr>
        <w:t xml:space="preserve">); the strings stay on the fingers </w:t>
      </w:r>
      <w:r>
        <w:rPr>
          <w:rFonts w:ascii="Arial" w:cs="Arial" w:eastAsia="Arial" w:hAnsi="Arial"/>
          <w:b w:val="false"/>
          <w:bCs w:val="false"/>
          <w:i/>
          <w:iCs/>
          <w:color w:val="1F4E79"/>
          <w:sz w:val="17"/>
          <w:szCs w:val="17"/>
        </w:rPr>
        <w:t xml:space="preserve">[71]</w:t>
      </w:r>
      <w:r>
        <w:rPr>
          <w:rFonts w:ascii="Arial" w:cs="Arial" w:eastAsia="Arial" w:hAnsi="Arial"/>
          <w:i/>
          <w:iCs/>
          <w:color w:val="5E5E5E"/>
          <w:sz w:val="17"/>
          <w:szCs w:val="17"/>
        </w:rPr>
        <w:t xml:space="preserve">. (b) Handloom kit on a stylised two-treadle frame loom.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42"/>
        <w:gridCol w:w="3171"/>
        <w:gridCol w:w="2927"/>
        <w:gridCol w:w="1586"/>
      </w:tblGrid>
      <w:tr>
        <w:trPr>
          <w:cantSplit/>
          <w:tblHeader/>
        </w:trPr>
        <w:tc>
          <w:tcPr>
            <w:tcW w:type="dxa" w:w="134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Craft</w:t>
            </w:r>
          </w:p>
        </w:tc>
        <w:tc>
          <w:tcPr>
            <w:tcW w:type="dxa" w:w="317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Sensors</w:t>
            </w:r>
          </w:p>
        </w:tc>
        <w:tc>
          <w:tcPr>
            <w:tcW w:type="dxa" w:w="292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What they measure</w:t>
            </w:r>
          </w:p>
        </w:tc>
        <w:tc>
          <w:tcPr>
            <w:tcW w:type="dxa" w:w="158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Fitting</w:t>
            </w:r>
          </w:p>
        </w:tc>
      </w:tr>
      <w:tr>
        <w:trPr>
          <w:cantSplit/>
        </w:trPr>
        <w:tc>
          <w:tcPr>
            <w:tcW w:type="dxa" w:w="134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Tabla</w:t>
            </w:r>
          </w:p>
        </w:tc>
        <w:tc>
          <w:tcPr>
            <w:tcW w:type="dxa" w:w="317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Two 27 mm piezo discs </w:t>
            </w:r>
            <w:r>
              <w:rPr>
                <w:rFonts w:ascii="Arial" w:cs="Arial" w:eastAsia="Arial" w:hAnsi="Arial"/>
                <w:b w:val="false"/>
                <w:bCs w:val="false"/>
                <w:color w:val="1F4E79"/>
                <w:sz w:val="15"/>
                <w:szCs w:val="15"/>
              </w:rPr>
              <w:t xml:space="preserve">[86]</w:t>
            </w:r>
            <w:r>
              <w:rPr>
                <w:rFonts w:ascii="Arial" w:cs="Arial" w:eastAsia="Arial" w:hAnsi="Arial"/>
                <w:b w:val="false"/>
                <w:bCs w:val="false"/>
                <w:color w:val="222222"/>
                <w:sz w:val="15"/>
                <w:szCs w:val="15"/>
              </w:rPr>
              <w:t xml:space="preserve">; base unit with ESP32-S3</w:t>
            </w:r>
          </w:p>
        </w:tc>
        <w:tc>
          <w:tcPr>
            <w:tcW w:type="dxa" w:w="292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Stroke time, strength and drum </w:t>
            </w:r>
            <w:r>
              <w:rPr>
                <w:rFonts w:ascii="Arial" w:cs="Arial" w:eastAsia="Arial" w:hAnsi="Arial"/>
                <w:b w:val="false"/>
                <w:bCs w:val="false"/>
                <w:color w:val="1F4E79"/>
                <w:sz w:val="15"/>
                <w:szCs w:val="15"/>
              </w:rPr>
              <w:t xml:space="preserve">[18]</w:t>
            </w:r>
          </w:p>
        </w:tc>
        <w:tc>
          <w:tcPr>
            <w:tcW w:type="dxa" w:w="158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Clip on the shell, removable putty</w:t>
            </w:r>
          </w:p>
        </w:tc>
      </w:tr>
      <w:tr>
        <w:trPr>
          <w:cantSplit/>
        </w:trPr>
        <w:tc>
          <w:tcPr>
            <w:tcW w:type="dxa" w:w="134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Handloom</w:t>
            </w:r>
          </w:p>
        </w:tc>
        <w:tc>
          <w:tcPr>
            <w:tcW w:type="dxa" w:w="317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IMU on the beater; switches under both treadles; phone camera over the cloth; small loom node</w:t>
            </w:r>
          </w:p>
        </w:tc>
        <w:tc>
          <w:tcPr>
            <w:tcW w:type="dxa" w:w="292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Beat timing and force; treadle order; picks per cm and evenness </w:t>
            </w:r>
            <w:r>
              <w:rPr>
                <w:rFonts w:ascii="Arial" w:cs="Arial" w:eastAsia="Arial" w:hAnsi="Arial"/>
                <w:b w:val="false"/>
                <w:bCs w:val="false"/>
                <w:color w:val="1F4E79"/>
                <w:sz w:val="15"/>
                <w:szCs w:val="15"/>
              </w:rPr>
              <w:t xml:space="preserve">[70]</w:t>
            </w:r>
          </w:p>
        </w:tc>
        <w:tc>
          <w:tcPr>
            <w:tcW w:type="dxa" w:w="158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Straps and clamps; nothing on the warp</w:t>
            </w:r>
          </w:p>
        </w:tc>
      </w:tr>
      <w:tr>
        <w:trPr>
          <w:cantSplit/>
        </w:trPr>
        <w:tc>
          <w:tcPr>
            <w:tcW w:type="dxa" w:w="134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Puppetry</w:t>
            </w:r>
          </w:p>
        </w:tc>
        <w:tc>
          <w:tcPr>
            <w:tcW w:type="dxa" w:w="317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IMU pod in the torso; finger rings of the sleeve</w:t>
            </w:r>
          </w:p>
        </w:tc>
        <w:tc>
          <w:tcPr>
            <w:tcW w:type="dxa" w:w="292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Puppet's turn, tilt and movement; the puppeteer's fingers</w:t>
            </w:r>
          </w:p>
        </w:tc>
        <w:tc>
          <w:tcPr>
            <w:tcW w:type="dxa" w:w="158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Inside the costume; strings untouched</w:t>
            </w:r>
          </w:p>
        </w:tc>
      </w:tr>
    </w:tbl>
    <w:p>
      <w:pPr>
        <w:spacing w:after="80"/>
      </w:pPr>
    </w:p>
    <w:p>
      <w:pPr>
        <w:pStyle w:val="Heading2"/>
        <w:keepNext/>
      </w:pPr>
      <w:r>
        <w:rPr>
          <w:rFonts w:ascii="Arial" w:cs="Arial" w:eastAsia="Arial" w:hAnsi="Arial"/>
        </w:rPr>
        <w:t xml:space="preserve">4.8 Bench tests before any person uses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74"/>
        <w:gridCol w:w="2694"/>
        <w:gridCol w:w="3503"/>
        <w:gridCol w:w="2155"/>
      </w:tblGrid>
      <w:tr>
        <w:trPr>
          <w:cantSplit/>
          <w:tblHeader/>
        </w:trPr>
        <w:tc>
          <w:tcPr>
            <w:tcW w:type="dxa" w:w="67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w:t>
            </w:r>
          </w:p>
        </w:tc>
        <w:tc>
          <w:tcPr>
            <w:tcW w:type="dxa" w:w="269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Test</w:t>
            </w:r>
          </w:p>
        </w:tc>
        <w:tc>
          <w:tcPr>
            <w:tcW w:type="dxa" w:w="350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Method</w:t>
            </w:r>
          </w:p>
        </w:tc>
        <w:tc>
          <w:tcPr>
            <w:tcW w:type="dxa" w:w="215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Pass [Target]</w:t>
            </w:r>
          </w:p>
        </w:tc>
      </w:tr>
      <w:tr>
        <w:trPr>
          <w:cantSplit/>
        </w:trPr>
        <w:tc>
          <w:tcPr>
            <w:tcW w:type="dxa" w:w="67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H1</w:t>
            </w:r>
          </w:p>
        </w:tc>
        <w:tc>
          <w:tcPr>
            <w:tcW w:type="dxa" w:w="269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Sampling</w:t>
            </w:r>
          </w:p>
        </w:tc>
        <w:tc>
          <w:tcPr>
            <w:tcW w:type="dxa" w:w="35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Logic analyser on each bus; 10 minutes at 200 samples/s</w:t>
            </w:r>
          </w:p>
        </w:tc>
        <w:tc>
          <w:tcPr>
            <w:tcW w:type="dxa" w:w="215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Interval jitter ≤ 0.5 ms; no missed samples</w:t>
            </w:r>
          </w:p>
        </w:tc>
      </w:tr>
      <w:tr>
        <w:trPr>
          <w:cantSplit/>
        </w:trPr>
        <w:tc>
          <w:tcPr>
            <w:tcW w:type="dxa" w:w="67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H2</w:t>
            </w:r>
          </w:p>
        </w:tc>
        <w:tc>
          <w:tcPr>
            <w:tcW w:type="dxa" w:w="269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Cue latency</w:t>
            </w:r>
          </w:p>
        </w:tc>
        <w:tc>
          <w:tcPr>
            <w:tcW w:type="dxa" w:w="35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Accelerometer taped to a motor pod; command to vibration onset, 500 cues</w:t>
            </w:r>
          </w:p>
        </w:tc>
        <w:tc>
          <w:tcPr>
            <w:tcW w:type="dxa" w:w="215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Latency ≤ 20 ms; jitter ≤ 3 ms</w:t>
            </w:r>
          </w:p>
        </w:tc>
      </w:tr>
      <w:tr>
        <w:trPr>
          <w:cantSplit/>
        </w:trPr>
        <w:tc>
          <w:tcPr>
            <w:tcW w:type="dxa" w:w="67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H3</w:t>
            </w:r>
          </w:p>
        </w:tc>
        <w:tc>
          <w:tcPr>
            <w:tcW w:type="dxa" w:w="269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Body-to-drum sync</w:t>
            </w:r>
          </w:p>
        </w:tc>
        <w:tc>
          <w:tcPr>
            <w:tcW w:type="dxa" w:w="35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Tap the drum head with a sleeved finger 200 times; compare IMU spike with piezo onset</w:t>
            </w:r>
          </w:p>
        </w:tc>
        <w:tc>
          <w:tcPr>
            <w:tcW w:type="dxa" w:w="215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Difference ≤ 2 ms in 95% of taps</w:t>
            </w:r>
          </w:p>
        </w:tc>
      </w:tr>
      <w:tr>
        <w:trPr>
          <w:cantSplit/>
        </w:trPr>
        <w:tc>
          <w:tcPr>
            <w:tcW w:type="dxa" w:w="67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H4</w:t>
            </w:r>
          </w:p>
        </w:tc>
        <w:tc>
          <w:tcPr>
            <w:tcW w:type="dxa" w:w="269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Data integrity</w:t>
            </w:r>
          </w:p>
        </w:tc>
        <w:tc>
          <w:tcPr>
            <w:tcW w:type="dxa" w:w="35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Two sleeves streaming for 30 minutes; compare radio log with microSD log</w:t>
            </w:r>
          </w:p>
        </w:tc>
        <w:tc>
          <w:tcPr>
            <w:tcW w:type="dxa" w:w="215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Radio loss &lt; 1%; microSD complete</w:t>
            </w:r>
          </w:p>
        </w:tc>
      </w:tr>
      <w:tr>
        <w:trPr>
          <w:cantSplit/>
        </w:trPr>
        <w:tc>
          <w:tcPr>
            <w:tcW w:type="dxa" w:w="67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H5</w:t>
            </w:r>
          </w:p>
        </w:tc>
        <w:tc>
          <w:tcPr>
            <w:tcW w:type="dxa" w:w="269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Battery</w:t>
            </w:r>
          </w:p>
        </w:tc>
        <w:tc>
          <w:tcPr>
            <w:tcW w:type="dxa" w:w="35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Continuous streaming with cues at 20% duty</w:t>
            </w:r>
          </w:p>
        </w:tc>
        <w:tc>
          <w:tcPr>
            <w:tcW w:type="dxa" w:w="215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 3 hours</w:t>
            </w:r>
          </w:p>
        </w:tc>
      </w:tr>
      <w:tr>
        <w:trPr>
          <w:cantSplit/>
        </w:trPr>
        <w:tc>
          <w:tcPr>
            <w:tcW w:type="dxa" w:w="67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H6</w:t>
            </w:r>
          </w:p>
        </w:tc>
        <w:tc>
          <w:tcPr>
            <w:tcW w:type="dxa" w:w="269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Orientation</w:t>
            </w:r>
          </w:p>
        </w:tc>
        <w:tc>
          <w:tcPr>
            <w:tcW w:type="dxa" w:w="35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Pods on a 0/30/60/90° jig, static</w:t>
            </w:r>
          </w:p>
        </w:tc>
        <w:tc>
          <w:tcPr>
            <w:tcW w:type="dxa" w:w="215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Error ≤ 2°</w:t>
            </w:r>
          </w:p>
        </w:tc>
      </w:tr>
      <w:tr>
        <w:trPr>
          <w:cantSplit/>
        </w:trPr>
        <w:tc>
          <w:tcPr>
            <w:tcW w:type="dxa" w:w="67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H7</w:t>
            </w:r>
          </w:p>
        </w:tc>
        <w:tc>
          <w:tcPr>
            <w:tcW w:type="dxa" w:w="269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Fit and comfort</w:t>
            </w:r>
          </w:p>
        </w:tc>
        <w:tc>
          <w:tcPr>
            <w:tcW w:type="dxa" w:w="35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Three hand sizes; donning time; pod temperature after 1 hour; weigh the sleeve</w:t>
            </w:r>
          </w:p>
        </w:tc>
        <w:tc>
          <w:tcPr>
            <w:tcW w:type="dxa" w:w="215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Donning ≤ 3 min; warming ≤ 5 °C; ≤ 200 g per arm</w:t>
            </w:r>
          </w:p>
        </w:tc>
      </w:tr>
      <w:tr>
        <w:trPr>
          <w:cantSplit/>
        </w:trPr>
        <w:tc>
          <w:tcPr>
            <w:tcW w:type="dxa" w:w="67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H8</w:t>
            </w:r>
          </w:p>
        </w:tc>
        <w:tc>
          <w:tcPr>
            <w:tcW w:type="dxa" w:w="269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Stroke detection</w:t>
            </w:r>
          </w:p>
        </w:tc>
        <w:tc>
          <w:tcPr>
            <w:tcW w:type="dxa" w:w="35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200 tabla strokes labelled from slow-motion video</w:t>
            </w:r>
          </w:p>
        </w:tc>
        <w:tc>
          <w:tcPr>
            <w:tcW w:type="dxa" w:w="215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Precision and recall ≥ 95%</w:t>
            </w:r>
          </w:p>
        </w:tc>
      </w:tr>
    </w:tbl>
    <w:p>
      <w:pPr>
        <w:spacing w:after="80"/>
      </w:pPr>
    </w:p>
    <w:p>
      <w:pPr>
        <w:pStyle w:val="Heading2"/>
        <w:keepNext/>
      </w:pPr>
      <w:r>
        <w:rPr>
          <w:rFonts w:ascii="Arial" w:cs="Arial" w:eastAsia="Arial" w:hAnsi="Arial"/>
        </w:rPr>
        <w:t xml:space="preserve">4.9 Safety, hygiene and materials</w:t>
      </w:r>
    </w:p>
    <w:p>
      <w:pPr>
        <w:pStyle w:val="ListParagraph"/>
        <w:numPr>
          <w:ilvl w:val="0"/>
          <w:numId w:val="2"/>
        </w:numPr>
        <w:spacing w:after="60" w:line="268"/>
      </w:pPr>
      <w:r>
        <w:rPr>
          <w:rFonts w:ascii="Arial" w:cs="Arial" w:eastAsia="Arial" w:hAnsi="Arial"/>
          <w:b/>
          <w:bCs/>
          <w:color w:val="222222"/>
          <w:sz w:val="20"/>
          <w:szCs w:val="20"/>
        </w:rPr>
        <w:t xml:space="preserve">Low voltage only:</w:t>
      </w:r>
      <w:r>
        <w:rPr>
          <w:rFonts w:ascii="Arial" w:cs="Arial" w:eastAsia="Arial" w:hAnsi="Arial"/>
          <w:color w:val="222222"/>
          <w:sz w:val="20"/>
          <w:szCs w:val="20"/>
        </w:rPr>
        <w:t xml:space="preserve"> one 3.7 V cell per sleeve with a protected pouch cell and a charger with thermal regulation </w:t>
      </w:r>
      <w:r>
        <w:rPr>
          <w:rFonts w:ascii="Arial" w:cs="Arial" w:eastAsia="Arial" w:hAnsi="Arial"/>
          <w:b w:val="false"/>
          <w:bCs w:val="false"/>
          <w:color w:val="1F4E79"/>
          <w:sz w:val="20"/>
          <w:szCs w:val="20"/>
        </w:rPr>
        <w:t xml:space="preserve">[85]</w:t>
      </w:r>
      <w:r>
        <w:rPr>
          <w:rFonts w:ascii="Arial" w:cs="Arial" w:eastAsia="Arial" w:hAnsi="Arial"/>
          <w:color w:val="222222"/>
          <w:sz w:val="20"/>
          <w:szCs w:val="20"/>
        </w:rPr>
        <w:t xml:space="preserve">; no mains connection while worn.</w:t>
      </w:r>
    </w:p>
    <w:p>
      <w:pPr>
        <w:pStyle w:val="ListParagraph"/>
        <w:numPr>
          <w:ilvl w:val="0"/>
          <w:numId w:val="2"/>
        </w:numPr>
        <w:spacing w:after="60" w:line="268"/>
      </w:pPr>
      <w:r>
        <w:rPr>
          <w:rFonts w:ascii="Arial" w:cs="Arial" w:eastAsia="Arial" w:hAnsi="Arial"/>
          <w:b/>
          <w:bCs/>
          <w:color w:val="222222"/>
          <w:sz w:val="20"/>
          <w:szCs w:val="20"/>
        </w:rPr>
        <w:t xml:space="preserve">Skin contact:</w:t>
      </w:r>
      <w:r>
        <w:rPr>
          <w:rFonts w:ascii="Arial" w:cs="Arial" w:eastAsia="Arial" w:hAnsi="Arial"/>
          <w:color w:val="222222"/>
          <w:sz w:val="20"/>
          <w:szCs w:val="20"/>
        </w:rPr>
        <w:t xml:space="preserve"> medical-grade silicone straps; PA12 housings with rounded edges; fabric sleeve washable once pods clip out.</w:t>
      </w:r>
    </w:p>
    <w:p>
      <w:pPr>
        <w:pStyle w:val="ListParagraph"/>
        <w:numPr>
          <w:ilvl w:val="0"/>
          <w:numId w:val="2"/>
        </w:numPr>
        <w:spacing w:after="60" w:line="268"/>
      </w:pPr>
      <w:r>
        <w:rPr>
          <w:rFonts w:ascii="Arial" w:cs="Arial" w:eastAsia="Arial" w:hAnsi="Arial"/>
          <w:b/>
          <w:bCs/>
          <w:color w:val="222222"/>
          <w:sz w:val="20"/>
          <w:szCs w:val="20"/>
        </w:rPr>
        <w:t xml:space="preserve">Comfortable vibration:</w:t>
      </w:r>
      <w:r>
        <w:rPr>
          <w:rFonts w:ascii="Arial" w:cs="Arial" w:eastAsia="Arial" w:hAnsi="Arial"/>
          <w:color w:val="222222"/>
          <w:sz w:val="20"/>
          <w:szCs w:val="20"/>
        </w:rPr>
        <w:t xml:space="preserve"> cue strength set from each person's own threshold (E2), with a hard maximum in firmware.</w:t>
      </w:r>
    </w:p>
    <w:p>
      <w:pPr>
        <w:pStyle w:val="ListParagraph"/>
        <w:numPr>
          <w:ilvl w:val="0"/>
          <w:numId w:val="2"/>
        </w:numPr>
        <w:spacing w:after="60" w:line="268"/>
      </w:pPr>
      <w:r>
        <w:rPr>
          <w:rFonts w:ascii="Arial" w:cs="Arial" w:eastAsia="Arial" w:hAnsi="Arial"/>
          <w:b/>
          <w:bCs/>
          <w:color w:val="222222"/>
          <w:sz w:val="20"/>
          <w:szCs w:val="20"/>
        </w:rPr>
        <w:t xml:space="preserve">Weight on the hand about 30 g [Estimate]:</w:t>
      </w:r>
      <w:r>
        <w:rPr>
          <w:rFonts w:ascii="Arial" w:cs="Arial" w:eastAsia="Arial" w:hAnsi="Arial"/>
          <w:color w:val="222222"/>
          <w:sz w:val="20"/>
          <w:szCs w:val="20"/>
        </w:rPr>
        <w:t xml:space="preserve"> E0 checks that it does not change how masters play.</w:t>
      </w:r>
    </w:p>
    <w:p>
      <w:pPr>
        <w:pStyle w:val="Heading2"/>
        <w:keepNext/>
      </w:pPr>
      <w:r>
        <w:rPr>
          <w:rFonts w:ascii="Arial" w:cs="Arial" w:eastAsia="Arial" w:hAnsi="Arial"/>
        </w:rPr>
        <w:t xml:space="preserve">4.10 Open design files</w:t>
      </w:r>
    </w:p>
    <w:p>
      <w:pPr>
        <w:spacing w:after="120" w:before="0" w:line="276"/>
        <w:jc w:val="left"/>
      </w:pPr>
      <w:r>
        <w:rPr>
          <w:rFonts w:ascii="Arial" w:cs="Arial" w:eastAsia="Arial" w:hAnsi="Arial"/>
          <w:color w:val="222222"/>
          <w:sz w:val="20"/>
          <w:szCs w:val="20"/>
        </w:rPr>
        <w:t xml:space="preserve">STEP and STL files for every housing, the CAD script and the render script are in </w:t>
      </w:r>
      <w:r>
        <w:rPr>
          <w:rFonts w:ascii="Courier New" w:cs="Courier New" w:eastAsia="Courier New" w:hAnsi="Courier New"/>
          <w:color w:val="222222"/>
          <w:sz w:val="18"/>
          <w:szCs w:val="18"/>
        </w:rPr>
        <w:t xml:space="preserve">PARAMPARA/cad</w:t>
      </w:r>
      <w:r>
        <w:rPr>
          <w:rFonts w:ascii="Arial" w:cs="Arial" w:eastAsia="Arial" w:hAnsi="Arial"/>
          <w:color w:val="222222"/>
          <w:sz w:val="20"/>
          <w:szCs w:val="20"/>
        </w:rPr>
        <w:t xml:space="preserve"> (Appendix G). Anyone can print, inspect or improve them.</w:t>
      </w:r>
    </w:p>
    <w:p>
      <w:pPr>
        <w:pStyle w:val="Heading1"/>
        <w:keepNext/>
        <w:spacing w:after="200" w:before="480"/>
      </w:pPr>
      <w:r>
        <w:rPr>
          <w:rFonts w:ascii="Arial" w:cs="Arial" w:eastAsia="Arial" w:hAnsi="Arial"/>
        </w:rPr>
        <w:t xml:space="preserve">5. How it works: Fingerprint, Teach, Fade, Measure, Own</w:t>
      </w:r>
    </w:p>
    <w:p>
      <w:pPr>
        <w:pStyle w:val="Heading2"/>
        <w:keepNext/>
      </w:pPr>
      <w:r>
        <w:rPr>
          <w:rFonts w:ascii="Arial" w:cs="Arial" w:eastAsia="Arial" w:hAnsi="Arial"/>
        </w:rPr>
        <w:t xml:space="preserve">5.1 Fingerprint</w:t>
      </w:r>
    </w:p>
    <w:p>
      <w:pPr>
        <w:spacing w:after="120" w:before="0" w:line="276"/>
        <w:jc w:val="left"/>
      </w:pPr>
      <w:r>
        <w:rPr>
          <w:rFonts w:ascii="Arial" w:cs="Arial" w:eastAsia="Arial" w:hAnsi="Arial"/>
          <w:color w:val="222222"/>
          <w:sz w:val="20"/>
          <w:szCs w:val="20"/>
        </w:rPr>
        <w:t xml:space="preserve">The tool sensor marks each cycle: a tal cycle on tabla, a pick on the loom, a gesture phrase on the puppet. For every cycle the software removes the cycle's overall tempo and size, then stores, for each joint, </w:t>
      </w:r>
      <w:r>
        <w:rPr>
          <w:rFonts w:ascii="Arial" w:cs="Arial" w:eastAsia="Arial" w:hAnsi="Arial"/>
          <w:b/>
          <w:bCs/>
          <w:color w:val="222222"/>
          <w:sz w:val="20"/>
          <w:szCs w:val="20"/>
        </w:rPr>
        <w:t xml:space="preserve">when it moves relative to the tool event, which joint leads, how fast and how far</w:t>
      </w:r>
      <w:r>
        <w:rPr>
          <w:rFonts w:ascii="Arial" w:cs="Arial" w:eastAsia="Arial" w:hAnsi="Arial"/>
          <w:color w:val="222222"/>
          <w:sz w:val="20"/>
          <w:szCs w:val="20"/>
        </w:rPr>
        <w:t xml:space="preserve">, with the tool features and the rhythm. Averaging over cycles gives the fingerprint; the spread shows the master's consistency. Orientation comes from the Madgwick filter </w:t>
      </w:r>
      <w:r>
        <w:rPr>
          <w:rFonts w:ascii="Arial" w:cs="Arial" w:eastAsia="Arial" w:hAnsi="Arial"/>
          <w:b w:val="false"/>
          <w:bCs w:val="false"/>
          <w:color w:val="1F4E79"/>
          <w:sz w:val="20"/>
          <w:szCs w:val="20"/>
        </w:rPr>
        <w:t xml:space="preserve">[61]</w:t>
      </w:r>
      <w:r>
        <w:rPr>
          <w:rFonts w:ascii="Arial" w:cs="Arial" w:eastAsia="Arial" w:hAnsi="Arial"/>
          <w:color w:val="222222"/>
          <w:sz w:val="20"/>
          <w:szCs w:val="20"/>
        </w:rPr>
        <w:t xml:space="preserve"> after a 20-second N-pose calibration </w:t>
      </w:r>
      <w:r>
        <w:rPr>
          <w:rFonts w:ascii="Arial" w:cs="Arial" w:eastAsia="Arial" w:hAnsi="Arial"/>
          <w:b w:val="false"/>
          <w:bCs w:val="false"/>
          <w:color w:val="1F4E79"/>
          <w:sz w:val="20"/>
          <w:szCs w:val="20"/>
        </w:rPr>
        <w:t xml:space="preserve">[63]</w:t>
      </w:r>
      <w:r>
        <w:rPr>
          <w:rFonts w:ascii="Arial" w:cs="Arial" w:eastAsia="Arial" w:hAnsi="Arial"/>
          <w:color w:val="222222"/>
          <w:sz w:val="20"/>
          <w:szCs w:val="20"/>
        </w:rPr>
        <w:t xml:space="preserve">. Because shoulder angles from body-worn sensors can be off by 10–20° </w:t>
      </w:r>
      <w:r>
        <w:rPr>
          <w:rFonts w:ascii="Arial" w:cs="Arial" w:eastAsia="Arial" w:hAnsi="Arial"/>
          <w:b w:val="false"/>
          <w:bCs w:val="false"/>
          <w:color w:val="1F4E79"/>
          <w:sz w:val="20"/>
          <w:szCs w:val="20"/>
        </w:rPr>
        <w:t xml:space="preserve">[62]</w:t>
      </w:r>
      <w:r>
        <w:rPr>
          <w:rFonts w:ascii="Arial" w:cs="Arial" w:eastAsia="Arial" w:hAnsi="Arial"/>
          <w:color w:val="222222"/>
          <w:sz w:val="20"/>
          <w:szCs w:val="20"/>
        </w:rPr>
        <w:t xml:space="preserve">, the fingerprint relies mainly on timing, order and speed, and E1 re-fits the sleeve on each day so placement error is tested, not assumed away.</w:t>
      </w:r>
    </w:p>
    <w:p>
      <w:pPr>
        <w:pStyle w:val="Heading2"/>
        <w:keepNext/>
      </w:pPr>
      <w:r>
        <w:rPr>
          <w:rFonts w:ascii="Arial" w:cs="Arial" w:eastAsia="Arial" w:hAnsi="Arial"/>
        </w:rPr>
        <w:t xml:space="preserve">5.2 Teach: each sense does what it is best 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63"/>
        <w:gridCol w:w="3438"/>
        <w:gridCol w:w="3725"/>
      </w:tblGrid>
      <w:tr>
        <w:trPr>
          <w:cantSplit/>
          <w:tblHeader/>
        </w:trPr>
        <w:tc>
          <w:tcPr>
            <w:tcW w:type="dxa" w:w="186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Sense</w:t>
            </w:r>
          </w:p>
        </w:tc>
        <w:tc>
          <w:tcPr>
            <w:tcW w:type="dxa" w:w="343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it carries</w:t>
            </w:r>
          </w:p>
        </w:tc>
        <w:tc>
          <w:tcPr>
            <w:tcW w:type="dxa" w:w="372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Why</w:t>
            </w:r>
          </w:p>
        </w:tc>
      </w:tr>
      <w:tr>
        <w:trPr>
          <w:cantSplit/>
        </w:trPr>
        <w:tc>
          <w:tcPr>
            <w:tcW w:type="dxa" w:w="186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Touch: finger and joint motors</w:t>
            </w:r>
          </w:p>
        </w:tc>
        <w:tc>
          <w:tcPr>
            <w:tcW w:type="dxa" w:w="343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Which finger moves next; which joint should lead or is lagging; how strong the accent is</w:t>
            </w:r>
          </w:p>
        </w:tc>
        <w:tc>
          <w:tcPr>
            <w:tcW w:type="dxa" w:w="37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Joint-level vibration improved arm learning </w:t>
            </w:r>
            <w:r>
              <w:rPr>
                <w:rFonts w:ascii="Arial" w:cs="Arial" w:eastAsia="Arial" w:hAnsi="Arial"/>
                <w:b w:val="false"/>
                <w:bCs w:val="false"/>
                <w:color w:val="1F4E79"/>
                <w:sz w:val="16"/>
                <w:szCs w:val="16"/>
              </w:rPr>
              <w:t xml:space="preserve">[59]</w:t>
            </w:r>
            <w:r>
              <w:rPr>
                <w:rFonts w:ascii="Arial" w:cs="Arial" w:eastAsia="Arial" w:hAnsi="Arial"/>
                <w:b w:val="false"/>
                <w:bCs w:val="false"/>
                <w:color w:val="222222"/>
                <w:sz w:val="16"/>
                <w:szCs w:val="16"/>
              </w:rPr>
              <w:t xml:space="preserve">; drum and strength cues were recognised 96% of the time </w:t>
            </w:r>
            <w:r>
              <w:rPr>
                <w:rFonts w:ascii="Arial" w:cs="Arial" w:eastAsia="Arial" w:hAnsi="Arial"/>
                <w:b w:val="false"/>
                <w:bCs w:val="false"/>
                <w:color w:val="1F4E79"/>
                <w:sz w:val="16"/>
                <w:szCs w:val="16"/>
              </w:rPr>
              <w:t xml:space="preserve">[7]</w:t>
            </w:r>
          </w:p>
        </w:tc>
      </w:tr>
      <w:tr>
        <w:trPr>
          <w:cantSplit/>
        </w:trPr>
        <w:tc>
          <w:tcPr>
            <w:tcW w:type="dxa" w:w="186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Hearing</w:t>
            </w:r>
          </w:p>
        </w:tc>
        <w:tc>
          <w:tcPr>
            <w:tcW w:type="dxa" w:w="343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Exact timing: the master's tiny early and late shifts</w:t>
            </w:r>
          </w:p>
        </w:tc>
        <w:tc>
          <w:tcPr>
            <w:tcW w:type="dxa" w:w="372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The ear notices about 10 ms </w:t>
            </w:r>
            <w:r>
              <w:rPr>
                <w:rFonts w:ascii="Arial" w:cs="Arial" w:eastAsia="Arial" w:hAnsi="Arial"/>
                <w:b w:val="false"/>
                <w:bCs w:val="false"/>
                <w:color w:val="1F4E79"/>
                <w:sz w:val="16"/>
                <w:szCs w:val="16"/>
              </w:rPr>
              <w:t xml:space="preserve">[43]</w:t>
            </w:r>
            <w:r>
              <w:rPr>
                <w:rFonts w:ascii="Arial" w:cs="Arial" w:eastAsia="Arial" w:hAnsi="Arial"/>
                <w:b w:val="false"/>
                <w:bCs w:val="false"/>
                <w:color w:val="222222"/>
                <w:sz w:val="16"/>
                <w:szCs w:val="16"/>
              </w:rPr>
              <w:t xml:space="preserve">; the skin needs 10–30 ms or more </w:t>
            </w:r>
            <w:r>
              <w:rPr>
                <w:rFonts w:ascii="Arial" w:cs="Arial" w:eastAsia="Arial" w:hAnsi="Arial"/>
                <w:b w:val="false"/>
                <w:bCs w:val="false"/>
                <w:color w:val="1F4E79"/>
                <w:sz w:val="16"/>
                <w:szCs w:val="16"/>
              </w:rPr>
              <w:t xml:space="preserve">[46]</w:t>
            </w:r>
          </w:p>
        </w:tc>
      </w:tr>
      <w:tr>
        <w:trPr>
          <w:cantSplit/>
        </w:trPr>
        <w:tc>
          <w:tcPr>
            <w:tcW w:type="dxa" w:w="186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Sight: ghost arm</w:t>
            </w:r>
          </w:p>
        </w:tc>
        <w:tc>
          <w:tcPr>
            <w:tcW w:type="dxa" w:w="343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The master's arm as a moving figure over the learner's; replay after each cycle</w:t>
            </w:r>
          </w:p>
        </w:tc>
        <w:tc>
          <w:tcPr>
            <w:tcW w:type="dxa" w:w="37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Visual feedback suits movement shape and review </w:t>
            </w:r>
            <w:r>
              <w:rPr>
                <w:rFonts w:ascii="Arial" w:cs="Arial" w:eastAsia="Arial" w:hAnsi="Arial"/>
                <w:b w:val="false"/>
                <w:bCs w:val="false"/>
                <w:color w:val="1F4E79"/>
                <w:sz w:val="16"/>
                <w:szCs w:val="16"/>
              </w:rPr>
              <w:t xml:space="preserve">[10]</w:t>
            </w:r>
          </w:p>
        </w:tc>
      </w:tr>
    </w:tbl>
    <w:p>
      <w:pPr>
        <w:spacing w:after="80"/>
      </w:pPr>
    </w:p>
    <w:p>
      <w:pPr>
        <w:spacing w:after="120" w:before="0" w:line="276"/>
        <w:jc w:val="left"/>
      </w:pPr>
      <w:r>
        <w:rPr>
          <w:rFonts w:ascii="Arial" w:cs="Arial" w:eastAsia="Arial" w:hAnsi="Arial"/>
          <w:b/>
          <w:bCs/>
          <w:color w:val="222222"/>
          <w:sz w:val="20"/>
          <w:szCs w:val="20"/>
        </w:rPr>
        <w:t xml:space="preserve">Timing the cue.</w:t>
      </w:r>
      <w:r>
        <w:rPr>
          <w:rFonts w:ascii="Arial" w:cs="Arial" w:eastAsia="Arial" w:hAnsi="Arial"/>
          <w:color w:val="222222"/>
          <w:sz w:val="20"/>
          <w:szCs w:val="20"/>
        </w:rPr>
        <w:t xml:space="preserve"> Touch is dulled on a limb that is about to move </w:t>
      </w:r>
      <w:r>
        <w:rPr>
          <w:rFonts w:ascii="Arial" w:cs="Arial" w:eastAsia="Arial" w:hAnsi="Arial"/>
          <w:b w:val="false"/>
          <w:bCs w:val="false"/>
          <w:color w:val="1F4E79"/>
          <w:sz w:val="20"/>
          <w:szCs w:val="20"/>
        </w:rPr>
        <w:t xml:space="preserve">[44, 45]</w:t>
      </w:r>
      <w:r>
        <w:rPr>
          <w:rFonts w:ascii="Arial" w:cs="Arial" w:eastAsia="Arial" w:hAnsi="Arial"/>
          <w:color w:val="222222"/>
          <w:sz w:val="20"/>
          <w:szCs w:val="20"/>
        </w:rPr>
        <w:t xml:space="preserve">, so each cue ends just before the movement and is set well above the learner's threshold.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47"/>
        <w:gridCol w:w="3785"/>
        <w:gridCol w:w="3494"/>
      </w:tblGrid>
      <w:tr>
        <w:trPr>
          <w:cantSplit/>
          <w:tblHeader/>
        </w:trPr>
        <w:tc>
          <w:tcPr>
            <w:tcW w:type="dxa" w:w="174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Level</w:t>
            </w:r>
          </w:p>
        </w:tc>
        <w:tc>
          <w:tcPr>
            <w:tcW w:type="dxa" w:w="378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the learner learns</w:t>
            </w:r>
          </w:p>
        </w:tc>
        <w:tc>
          <w:tcPr>
            <w:tcW w:type="dxa" w:w="349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Moves on when</w:t>
            </w:r>
          </w:p>
        </w:tc>
      </w:tr>
      <w:tr>
        <w:trPr>
          <w:cantSplit/>
        </w:trPr>
        <w:tc>
          <w:tcPr>
            <w:tcW w:type="dxa" w:w="174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1. Structure</w:t>
            </w:r>
          </w:p>
        </w:tc>
        <w:tc>
          <w:tcPr>
            <w:tcW w:type="dxa" w:w="37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The pattern: which finger, which joint, which stroke or step</w:t>
            </w:r>
          </w:p>
        </w:tc>
        <w:tc>
          <w:tcPr>
            <w:tcW w:type="dxa" w:w="349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Performs it without cues, 80% correct</w:t>
            </w:r>
          </w:p>
        </w:tc>
      </w:tr>
      <w:tr>
        <w:trPr>
          <w:cantSplit/>
        </w:trPr>
        <w:tc>
          <w:tcPr>
            <w:tcW w:type="dxa" w:w="174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2. Steady rhythm</w:t>
            </w:r>
          </w:p>
        </w:tc>
        <w:tc>
          <w:tcPr>
            <w:tcW w:type="dxa" w:w="378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Keeping the cycle steady while cues fade out</w:t>
            </w:r>
          </w:p>
        </w:tc>
        <w:tc>
          <w:tcPr>
            <w:tcW w:type="dxa" w:w="349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Unaided score ≥ 85% on two different days</w:t>
            </w:r>
          </w:p>
        </w:tc>
      </w:tr>
      <w:tr>
        <w:trPr>
          <w:cantSplit/>
        </w:trPr>
        <w:tc>
          <w:tcPr>
            <w:tcW w:type="dxa" w:w="174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3. Style</w:t>
            </w:r>
          </w:p>
        </w:tc>
        <w:tc>
          <w:tcPr>
            <w:tcW w:type="dxa" w:w="37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This master's own timing, accents and joint order</w:t>
            </w:r>
          </w:p>
        </w:tc>
        <w:tc>
          <w:tcPr>
            <w:tcW w:type="dxa" w:w="349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Matches the master's fingerprint and the master approves (only where E1 passes)</w:t>
            </w:r>
          </w:p>
        </w:tc>
      </w:tr>
    </w:tbl>
    <w:p>
      <w:pPr>
        <w:spacing w:after="80"/>
      </w:pPr>
    </w:p>
    <w:p>
      <w:pPr>
        <w:pStyle w:val="Heading2"/>
        <w:keepNext/>
      </w:pPr>
      <w:r>
        <w:rPr>
          <w:rFonts w:ascii="Arial" w:cs="Arial" w:eastAsia="Arial" w:hAnsi="Arial"/>
        </w:rPr>
        <w:t xml:space="preserve">5.3 Fade</w:t>
      </w:r>
    </w:p>
    <w:p>
      <w:pPr>
        <w:spacing w:after="120" w:before="0" w:line="276"/>
        <w:jc w:val="left"/>
      </w:pPr>
      <w:r>
        <w:rPr>
          <w:rFonts w:ascii="Arial" w:cs="Arial" w:eastAsia="Arial" w:hAnsi="Arial"/>
          <w:color w:val="222222"/>
          <w:sz w:val="20"/>
          <w:szCs w:val="20"/>
        </w:rPr>
        <w:t xml:space="preserve">Feedback given less often leads to better long-term learning, even though practice feels harder </w:t>
      </w:r>
      <w:r>
        <w:rPr>
          <w:rFonts w:ascii="Arial" w:cs="Arial" w:eastAsia="Arial" w:hAnsi="Arial"/>
          <w:b w:val="false"/>
          <w:bCs w:val="false"/>
          <w:color w:val="1F4E79"/>
          <w:sz w:val="20"/>
          <w:szCs w:val="20"/>
        </w:rPr>
        <w:t xml:space="preserve">[13, 14]</w:t>
      </w:r>
      <w:r>
        <w:rPr>
          <w:rFonts w:ascii="Arial" w:cs="Arial" w:eastAsia="Arial" w:hAnsi="Arial"/>
          <w:color w:val="222222"/>
          <w:sz w:val="20"/>
          <w:szCs w:val="20"/>
        </w:rPr>
        <w:t xml:space="preserve">. At the start of each session and every four cycles the learner performs one cycle with </w:t>
      </w:r>
      <w:r>
        <w:rPr>
          <w:rFonts w:ascii="Arial" w:cs="Arial" w:eastAsia="Arial" w:hAnsi="Arial"/>
          <w:b/>
          <w:bCs/>
          <w:color w:val="222222"/>
          <w:sz w:val="20"/>
          <w:szCs w:val="20"/>
        </w:rPr>
        <w:t xml:space="preserve">no cues</w:t>
      </w:r>
      <w:r>
        <w:rPr>
          <w:rFonts w:ascii="Arial" w:cs="Arial" w:eastAsia="Arial" w:hAnsi="Arial"/>
          <w:color w:val="222222"/>
          <w:sz w:val="20"/>
          <w:szCs w:val="20"/>
        </w:rPr>
        <w:t xml:space="preserve">. Better check cycles mean fewer cues; two struggles in a row bring cues back a little; reaching the target on two different days asks the master to approve the next level.</w:t>
      </w:r>
    </w:p>
    <w:p>
      <w:pPr>
        <w:pStyle w:val="Heading2"/>
        <w:keepNext/>
      </w:pPr>
      <w:r>
        <w:rPr>
          <w:rFonts w:ascii="Arial" w:cs="Arial" w:eastAsia="Arial" w:hAnsi="Arial"/>
        </w:rPr>
        <w:t xml:space="preserve">5.4 Measure: with the device off</w:t>
      </w:r>
    </w:p>
    <w:p>
      <w:pPr>
        <w:spacing w:after="120" w:before="0" w:line="276"/>
        <w:jc w:val="left"/>
      </w:pPr>
      <w:r>
        <w:rPr>
          <w:rFonts w:ascii="Arial" w:cs="Arial" w:eastAsia="Arial" w:hAnsi="Arial"/>
          <w:color w:val="222222"/>
          <w:sz w:val="20"/>
          <w:szCs w:val="20"/>
        </w:rPr>
        <w:t xml:space="preserve">Learning means what the learner can do </w:t>
      </w:r>
      <w:r>
        <w:rPr>
          <w:rFonts w:ascii="Arial" w:cs="Arial" w:eastAsia="Arial" w:hAnsi="Arial"/>
          <w:b/>
          <w:bCs/>
          <w:color w:val="222222"/>
          <w:sz w:val="20"/>
          <w:szCs w:val="20"/>
        </w:rPr>
        <w:t xml:space="preserve">after a break and without help</w:t>
      </w:r>
      <w:r>
        <w:rPr>
          <w:rFonts w:ascii="Arial" w:cs="Arial" w:eastAsia="Arial" w:hAnsi="Arial"/>
          <w:color w:val="222222"/>
          <w:sz w:val="20"/>
          <w:szCs w:val="20"/>
        </w:rPr>
        <w:t xml:space="preserve"> </w:t>
      </w:r>
      <w:r>
        <w:rPr>
          <w:rFonts w:ascii="Arial" w:cs="Arial" w:eastAsia="Arial" w:hAnsi="Arial"/>
          <w:b w:val="false"/>
          <w:bCs w:val="false"/>
          <w:color w:val="1F4E79"/>
          <w:sz w:val="20"/>
          <w:szCs w:val="20"/>
        </w:rPr>
        <w:t xml:space="preserve">[12]</w:t>
      </w:r>
      <w:r>
        <w:rPr>
          <w:rFonts w:ascii="Arial" w:cs="Arial" w:eastAsia="Arial" w:hAnsi="Arial"/>
          <w:color w:val="222222"/>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cantSplit/>
          <w:tblHeader/>
        </w:trPr>
        <w:tc>
          <w:tcPr>
            <w:tcW w:type="dxa" w:w="180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Craft</w:t>
            </w:r>
          </w:p>
        </w:tc>
        <w:tc>
          <w:tcPr>
            <w:tcW w:type="dxa" w:w="722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Unaided score (device silent)</w:t>
            </w:r>
          </w:p>
        </w:tc>
      </w:tr>
      <w:tr>
        <w:trPr>
          <w:cantSplit/>
        </w:trPr>
        <w:tc>
          <w:tcPr>
            <w:tcW w:type="dxa" w:w="180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Tabla</w:t>
            </w:r>
          </w:p>
        </w:tc>
        <w:tc>
          <w:tcPr>
            <w:tcW w:type="dxa" w:w="722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Timing, accent and stroke accuracy against the master's reference; steadiness and early/late tendency reported separately </w:t>
            </w:r>
            <w:r>
              <w:rPr>
                <w:rFonts w:ascii="Arial" w:cs="Arial" w:eastAsia="Arial" w:hAnsi="Arial"/>
                <w:b w:val="false"/>
                <w:bCs w:val="false"/>
                <w:color w:val="1F4E79"/>
                <w:sz w:val="16"/>
                <w:szCs w:val="16"/>
              </w:rPr>
              <w:t xml:space="preserve">[15]</w:t>
            </w:r>
          </w:p>
        </w:tc>
      </w:tr>
      <w:tr>
        <w:trPr>
          <w:cantSplit/>
        </w:trPr>
        <w:tc>
          <w:tcPr>
            <w:tcW w:type="dxa" w:w="180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Handloom</w:t>
            </w:r>
          </w:p>
        </w:tc>
        <w:tc>
          <w:tcPr>
            <w:tcW w:type="dxa" w:w="722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Evenness of picks per cm (phone photo), steadiness of the beat, correct treadle–throw–beat order; time with the shoulder raised reported for health</w:t>
            </w:r>
          </w:p>
        </w:tc>
      </w:tr>
      <w:tr>
        <w:trPr>
          <w:cantSplit/>
        </w:trPr>
        <w:tc>
          <w:tcPr>
            <w:tcW w:type="dxa" w:w="180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Puppetry</w:t>
            </w:r>
          </w:p>
        </w:tc>
        <w:tc>
          <w:tcPr>
            <w:tcW w:type="dxa" w:w="722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How closely the puppet's motion follows the master's (after time alignment), and whether viewers pick it as the master's</w:t>
            </w:r>
          </w:p>
        </w:tc>
      </w:tr>
    </w:tbl>
    <w:p>
      <w:pPr>
        <w:spacing w:after="80"/>
      </w:pPr>
    </w:p>
    <w:p>
      <w:pPr>
        <w:pStyle w:val="Heading2"/>
        <w:keepNext/>
      </w:pPr>
      <w:r>
        <w:rPr>
          <w:rFonts w:ascii="Arial" w:cs="Arial" w:eastAsia="Arial" w:hAnsi="Arial"/>
        </w:rPr>
        <w:t xml:space="preserve">5.5 Own: consent and credit stay with the master</w:t>
      </w:r>
    </w:p>
    <w:p>
      <w:pPr>
        <w:pStyle w:val="ListParagraph"/>
        <w:numPr>
          <w:ilvl w:val="0"/>
          <w:numId w:val="2"/>
        </w:numPr>
        <w:spacing w:after="60" w:line="268"/>
      </w:pPr>
      <w:r>
        <w:rPr>
          <w:rFonts w:ascii="Arial" w:cs="Arial" w:eastAsia="Arial" w:hAnsi="Arial"/>
          <w:color w:val="222222"/>
          <w:sz w:val="20"/>
          <w:szCs w:val="20"/>
        </w:rPr>
        <w:t xml:space="preserve">The master decides how the recording may be used (teaching, sharing, commercial use, time limit) and can withdraw it.</w:t>
      </w:r>
    </w:p>
    <w:p>
      <w:pPr>
        <w:pStyle w:val="ListParagraph"/>
        <w:numPr>
          <w:ilvl w:val="0"/>
          <w:numId w:val="2"/>
        </w:numPr>
        <w:spacing w:after="60" w:line="268"/>
      </w:pPr>
      <w:r>
        <w:rPr>
          <w:rFonts w:ascii="Arial" w:cs="Arial" w:eastAsia="Arial" w:hAnsi="Arial"/>
          <w:color w:val="222222"/>
          <w:sz w:val="20"/>
          <w:szCs w:val="20"/>
        </w:rPr>
        <w:t xml:space="preserve">The master approves each recording and each learner's progress with the fingerprint sensor on their own phone; the key never leaves the phone </w:t>
      </w:r>
      <w:r>
        <w:rPr>
          <w:rFonts w:ascii="Arial" w:cs="Arial" w:eastAsia="Arial" w:hAnsi="Arial"/>
          <w:b w:val="false"/>
          <w:bCs w:val="false"/>
          <w:color w:val="1F4E79"/>
          <w:sz w:val="20"/>
          <w:szCs w:val="20"/>
        </w:rPr>
        <w:t xml:space="preserve">[49]</w:t>
      </w:r>
      <w:r>
        <w:rPr>
          <w:rFonts w:ascii="Arial" w:cs="Arial" w:eastAsia="Arial" w:hAnsi="Arial"/>
          <w:color w:val="222222"/>
          <w:sz w:val="20"/>
          <w:szCs w:val="20"/>
        </w:rPr>
        <w:t xml:space="preserve">.</w:t>
      </w:r>
    </w:p>
    <w:p>
      <w:pPr>
        <w:pStyle w:val="ListParagraph"/>
        <w:numPr>
          <w:ilvl w:val="0"/>
          <w:numId w:val="2"/>
        </w:numPr>
        <w:spacing w:after="60" w:line="268"/>
      </w:pPr>
      <w:r>
        <w:rPr>
          <w:rFonts w:ascii="Arial" w:cs="Arial" w:eastAsia="Arial" w:hAnsi="Arial"/>
          <w:color w:val="222222"/>
          <w:sz w:val="20"/>
          <w:szCs w:val="20"/>
        </w:rPr>
        <w:t xml:space="preserve">Credit and terms travel with the data as machine-readable labels </w:t>
      </w:r>
      <w:r>
        <w:rPr>
          <w:rFonts w:ascii="Arial" w:cs="Arial" w:eastAsia="Arial" w:hAnsi="Arial"/>
          <w:b w:val="false"/>
          <w:bCs w:val="false"/>
          <w:color w:val="1F4E79"/>
          <w:sz w:val="20"/>
          <w:szCs w:val="20"/>
        </w:rPr>
        <w:t xml:space="preserve">[48]</w:t>
      </w:r>
      <w:r>
        <w:rPr>
          <w:rFonts w:ascii="Arial" w:cs="Arial" w:eastAsia="Arial" w:hAnsi="Arial"/>
          <w:color w:val="222222"/>
          <w:sz w:val="20"/>
          <w:szCs w:val="20"/>
        </w:rPr>
        <w:t xml:space="preserve">; an edited copy fails verification.</w:t>
      </w:r>
    </w:p>
    <w:p>
      <w:pPr>
        <w:pStyle w:val="ListParagraph"/>
        <w:numPr>
          <w:ilvl w:val="0"/>
          <w:numId w:val="2"/>
        </w:numPr>
        <w:spacing w:after="60" w:line="268"/>
      </w:pPr>
      <w:r>
        <w:rPr>
          <w:rFonts w:ascii="Arial" w:cs="Arial" w:eastAsia="Arial" w:hAnsi="Arial"/>
          <w:color w:val="222222"/>
          <w:sz w:val="20"/>
          <w:szCs w:val="20"/>
        </w:rPr>
        <w:t xml:space="preserve">This follows UNESCO's ethical principles (free, prior and informed consent) and the CARE principles </w:t>
      </w:r>
      <w:r>
        <w:rPr>
          <w:rFonts w:ascii="Arial" w:cs="Arial" w:eastAsia="Arial" w:hAnsi="Arial"/>
          <w:b w:val="false"/>
          <w:bCs w:val="false"/>
          <w:color w:val="1F4E79"/>
          <w:sz w:val="20"/>
          <w:szCs w:val="20"/>
        </w:rPr>
        <w:t xml:space="preserve">[25, 47]</w:t>
      </w:r>
      <w:r>
        <w:rPr>
          <w:rFonts w:ascii="Arial" w:cs="Arial" w:eastAsia="Arial" w:hAnsi="Arial"/>
          <w:color w:val="222222"/>
          <w:sz w:val="20"/>
          <w:szCs w:val="20"/>
        </w:rPr>
        <w:t xml:space="preserve">.</w:t>
      </w:r>
    </w:p>
    <w:p>
      <w:pPr>
        <w:pStyle w:val="Heading1"/>
        <w:keepNext/>
        <w:pageBreakBefore/>
        <w:spacing w:after="200" w:before="0"/>
      </w:pPr>
      <w:r>
        <w:rPr>
          <w:rFonts w:ascii="Arial" w:cs="Arial" w:eastAsia="Arial" w:hAnsi="Arial"/>
        </w:rPr>
        <w:t xml:space="preserve">6. Evidence today: a real-data test on ten drummers</w:t>
      </w:r>
    </w:p>
    <w:p>
      <w:pPr>
        <w:spacing w:after="120" w:before="0" w:line="276"/>
        <w:jc w:val="left"/>
      </w:pPr>
      <w:r>
        <w:rPr>
          <w:rFonts w:ascii="Arial" w:cs="Arial" w:eastAsia="Arial" w:hAnsi="Arial"/>
          <w:color w:val="222222"/>
          <w:sz w:val="20"/>
          <w:szCs w:val="20"/>
        </w:rPr>
        <w:t xml:space="preserve">We could not record tabla masters before this document, so we ran our confound-controlled method on the closest public data: the </w:t>
      </w:r>
      <w:r>
        <w:rPr>
          <w:rFonts w:ascii="Arial" w:cs="Arial" w:eastAsia="Arial" w:hAnsi="Arial"/>
          <w:b/>
          <w:bCs/>
          <w:color w:val="222222"/>
          <w:sz w:val="20"/>
          <w:szCs w:val="20"/>
        </w:rPr>
        <w:t xml:space="preserve">Groove MIDI Dataset</w:t>
      </w:r>
      <w:r>
        <w:rPr>
          <w:rFonts w:ascii="Arial" w:cs="Arial" w:eastAsia="Arial" w:hAnsi="Arial"/>
          <w:color w:val="222222"/>
          <w:sz w:val="20"/>
          <w:szCs w:val="20"/>
        </w:rPr>
        <w:t xml:space="preserve">, 1,150 performances by 10 drummers recorded to a click on one electronic kit over several sessions, with drummer, session and style labels (CC BY 4.0) </w:t>
      </w:r>
      <w:r>
        <w:rPr>
          <w:rFonts w:ascii="Arial" w:cs="Arial" w:eastAsia="Arial" w:hAnsi="Arial"/>
          <w:b w:val="false"/>
          <w:bCs w:val="false"/>
          <w:color w:val="1F4E79"/>
          <w:sz w:val="20"/>
          <w:szCs w:val="20"/>
        </w:rPr>
        <w:t xml:space="preserve">[88]</w:t>
      </w:r>
      <w:r>
        <w:rPr>
          <w:rFonts w:ascii="Arial" w:cs="Arial" w:eastAsia="Arial" w:hAnsi="Arial"/>
          <w:color w:val="222222"/>
          <w:sz w:val="20"/>
          <w:szCs w:val="20"/>
        </w:rPr>
        <w:t xml:space="preserve">. Four drummers also played the </w:t>
      </w:r>
      <w:r>
        <w:rPr>
          <w:rFonts w:ascii="Arial" w:cs="Arial" w:eastAsia="Arial" w:hAnsi="Arial"/>
          <w:b/>
          <w:bCs/>
          <w:color w:val="222222"/>
          <w:sz w:val="20"/>
          <w:szCs w:val="20"/>
        </w:rPr>
        <w:t xml:space="preserve">same ten written grooves</w:t>
      </w:r>
      <w:r>
        <w:rPr>
          <w:rFonts w:ascii="Arial" w:cs="Arial" w:eastAsia="Arial" w:hAnsi="Arial"/>
          <w:color w:val="222222"/>
          <w:sz w:val="20"/>
          <w:szCs w:val="20"/>
        </w:rPr>
        <w:t xml:space="preserve">: the drum version of 'every master plays the same theka differently'.</w:t>
      </w:r>
    </w:p>
    <w:p>
      <w:pPr>
        <w:pStyle w:val="Heading2"/>
        <w:keepNext/>
      </w:pPr>
      <w:r>
        <w:rPr>
          <w:rFonts w:ascii="Arial" w:cs="Arial" w:eastAsia="Arial" w:hAnsi="Arial"/>
        </w:rPr>
        <w:t xml:space="preserve">6.1 Method, fixed before running</w:t>
      </w:r>
    </w:p>
    <w:p>
      <w:pPr>
        <w:pStyle w:val="ListParagraph"/>
        <w:numPr>
          <w:ilvl w:val="0"/>
          <w:numId w:val="2"/>
        </w:numPr>
        <w:spacing w:after="60" w:line="268"/>
      </w:pPr>
      <w:r>
        <w:rPr>
          <w:rFonts w:ascii="Arial" w:cs="Arial" w:eastAsia="Arial" w:hAnsi="Arial"/>
          <w:b/>
          <w:bCs/>
          <w:color w:val="222222"/>
          <w:sz w:val="20"/>
          <w:szCs w:val="20"/>
        </w:rPr>
        <w:t xml:space="preserve">Unit:</w:t>
      </w:r>
      <w:r>
        <w:rPr>
          <w:rFonts w:ascii="Arial" w:cs="Arial" w:eastAsia="Arial" w:hAnsi="Arial"/>
          <w:color w:val="222222"/>
          <w:sz w:val="20"/>
          <w:szCs w:val="20"/>
        </w:rPr>
        <w:t xml:space="preserve"> 16 beats (four bars), the length of one Teentaal cycle; 4,118 units from the 7 drummers with at least two sessions. One-bar units were also run and are reported.</w:t>
      </w:r>
    </w:p>
    <w:p>
      <w:pPr>
        <w:pStyle w:val="ListParagraph"/>
        <w:numPr>
          <w:ilvl w:val="0"/>
          <w:numId w:val="2"/>
        </w:numPr>
        <w:spacing w:after="60" w:line="268"/>
      </w:pPr>
      <w:r>
        <w:rPr>
          <w:rFonts w:ascii="Arial" w:cs="Arial" w:eastAsia="Arial" w:hAnsi="Arial"/>
          <w:b/>
          <w:bCs/>
          <w:color w:val="222222"/>
          <w:sz w:val="20"/>
          <w:szCs w:val="20"/>
        </w:rPr>
        <w:t xml:space="preserve">Features (how, not what):</w:t>
      </w:r>
      <w:r>
        <w:rPr>
          <w:rFonts w:ascii="Arial" w:cs="Arial" w:eastAsia="Arial" w:hAnsi="Arial"/>
          <w:color w:val="222222"/>
          <w:sz w:val="20"/>
          <w:szCs w:val="20"/>
        </w:rPr>
        <w:t xml:space="preserve"> for kick, snare and hi-hat/ride, the timing against the click and the loudness on beats, offbeats and sixteenths, plus their spread: 24 numbers per unit.</w:t>
      </w:r>
    </w:p>
    <w:p>
      <w:pPr>
        <w:pStyle w:val="ListParagraph"/>
        <w:numPr>
          <w:ilvl w:val="0"/>
          <w:numId w:val="2"/>
        </w:numPr>
        <w:spacing w:after="60" w:line="268"/>
      </w:pPr>
      <w:r>
        <w:rPr>
          <w:rFonts w:ascii="Arial" w:cs="Arial" w:eastAsia="Arial" w:hAnsi="Arial"/>
          <w:b/>
          <w:bCs/>
          <w:color w:val="222222"/>
          <w:sz w:val="20"/>
          <w:szCs w:val="20"/>
        </w:rPr>
        <w:t xml:space="preserve">Classifier:</w:t>
      </w:r>
      <w:r>
        <w:rPr>
          <w:rFonts w:ascii="Arial" w:cs="Arial" w:eastAsia="Arial" w:hAnsi="Arial"/>
          <w:color w:val="222222"/>
          <w:sz w:val="20"/>
          <w:szCs w:val="20"/>
        </w:rPr>
        <w:t xml:space="preserve"> the same simple nearest-centroid method as our E1 code; balanced accuracy, so chance is one over the number of drummers.</w:t>
      </w:r>
    </w:p>
    <w:p>
      <w:pPr>
        <w:pStyle w:val="ListParagraph"/>
        <w:numPr>
          <w:ilvl w:val="0"/>
          <w:numId w:val="2"/>
        </w:numPr>
        <w:spacing w:after="60" w:line="268"/>
      </w:pPr>
      <w:r>
        <w:rPr>
          <w:rFonts w:ascii="Arial" w:cs="Arial" w:eastAsia="Arial" w:hAnsi="Arial"/>
          <w:b/>
          <w:bCs/>
          <w:color w:val="222222"/>
          <w:sz w:val="20"/>
          <w:szCs w:val="20"/>
        </w:rPr>
        <w:t xml:space="preserve">Tests:</w:t>
      </w:r>
      <w:r>
        <w:rPr>
          <w:rFonts w:ascii="Arial" w:cs="Arial" w:eastAsia="Arial" w:hAnsi="Arial"/>
          <w:color w:val="222222"/>
          <w:sz w:val="20"/>
          <w:szCs w:val="20"/>
        </w:rPr>
        <w:t xml:space="preserve"> new session; new style (a style never seen in training); both at once; same grooves; a control using only which notes were written; and the direct confound test with 1,000 label shuffles.</w:t>
      </w:r>
    </w:p>
    <w:p>
      <w:pPr>
        <w:keepNext/>
        <w:spacing w:after="60" w:before="60"/>
        <w:jc w:val="center"/>
      </w:pPr>
      <w:r>
        <w:drawing>
          <wp:inline distT="0" distB="0" distL="0" distR="0">
            <wp:extent cx="5715000" cy="2190750"/>
            <wp:effectExtent t="0" r="0" b="0" l="0"/>
            <wp:docPr id="1" name="Figure 9. Real data." descr="Figure 9. Real data. Left: drummers named from 'how they play' on a new session and in a new style at about three times chance. Middle: identical grooves, four drummers: 'how' names the drummer (63%), 'which notes' does not (26%, chance 25%). Right: in E1-sized groups of three drummers, the new-session test averaged 66%." title="Figure 9. Real data. Left: drummers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190750"/>
                    </a:xfrm>
                    <a:prstGeom prst="rect">
                      <a:avLst/>
                    </a:prstGeom>
                  </pic:spPr>
                </pic:pic>
              </a:graphicData>
            </a:graphic>
          </wp:inline>
        </w:drawing>
      </w:r>
    </w:p>
    <w:p>
      <w:pPr>
        <w:spacing w:after="180"/>
        <w:jc w:val="center"/>
      </w:pPr>
      <w:r>
        <w:rPr>
          <w:rFonts w:ascii="Arial" w:cs="Arial" w:eastAsia="Arial" w:hAnsi="Arial"/>
          <w:i/>
          <w:iCs/>
          <w:color w:val="5E5E5E"/>
          <w:sz w:val="17"/>
          <w:szCs w:val="17"/>
        </w:rPr>
        <w:t xml:space="preserve">Figure 9. Real data. Left: drummers named from 'how they play' on a new session and in a new style at about three times chance. Middle: identical grooves, four drummers: 'how' names the drummer (63%), 'which notes' does not (26%, chance 25%). Right: in E1-sized groups of three drummers, the new-session test averaged 66%.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76"/>
        <w:gridCol w:w="1747"/>
        <w:gridCol w:w="1747"/>
        <w:gridCol w:w="1456"/>
      </w:tblGrid>
      <w:tr>
        <w:trPr>
          <w:cantSplit/>
          <w:tblHeader/>
        </w:trPr>
        <w:tc>
          <w:tcPr>
            <w:tcW w:type="dxa" w:w="407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Test (real data)</w:t>
            </w:r>
          </w:p>
        </w:tc>
        <w:tc>
          <w:tcPr>
            <w:tcW w:type="dxa" w:w="174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16-beat units</w:t>
            </w:r>
          </w:p>
        </w:tc>
        <w:tc>
          <w:tcPr>
            <w:tcW w:type="dxa" w:w="174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1-bar units</w:t>
            </w:r>
          </w:p>
        </w:tc>
        <w:tc>
          <w:tcPr>
            <w:tcW w:type="dxa" w:w="145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Chance</w:t>
            </w:r>
          </w:p>
        </w:tc>
      </w:tr>
      <w:tr>
        <w:trPr>
          <w:cantSplit/>
        </w:trPr>
        <w:tc>
          <w:tcPr>
            <w:tcW w:type="dxa" w:w="407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Naive random split (inflated)</w:t>
            </w:r>
          </w:p>
        </w:tc>
        <w:tc>
          <w:tcPr>
            <w:tcW w:type="dxa" w:w="174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66%</w:t>
            </w:r>
          </w:p>
        </w:tc>
        <w:tc>
          <w:tcPr>
            <w:tcW w:type="dxa" w:w="174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59%</w:t>
            </w:r>
          </w:p>
        </w:tc>
        <w:tc>
          <w:tcPr>
            <w:tcW w:type="dxa" w:w="14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14%</w:t>
            </w:r>
          </w:p>
        </w:tc>
      </w:tr>
      <w:tr>
        <w:trPr>
          <w:cantSplit/>
        </w:trPr>
        <w:tc>
          <w:tcPr>
            <w:tcW w:type="dxa" w:w="407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New session (T-a)</w:t>
            </w:r>
          </w:p>
        </w:tc>
        <w:tc>
          <w:tcPr>
            <w:tcW w:type="dxa" w:w="174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48%</w:t>
            </w:r>
          </w:p>
        </w:tc>
        <w:tc>
          <w:tcPr>
            <w:tcW w:type="dxa" w:w="174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43%</w:t>
            </w:r>
          </w:p>
        </w:tc>
        <w:tc>
          <w:tcPr>
            <w:tcW w:type="dxa" w:w="145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14%</w:t>
            </w:r>
          </w:p>
        </w:tc>
      </w:tr>
      <w:tr>
        <w:trPr>
          <w:cantSplit/>
        </w:trPr>
        <w:tc>
          <w:tcPr>
            <w:tcW w:type="dxa" w:w="407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New style (T-b)</w:t>
            </w:r>
          </w:p>
        </w:tc>
        <w:tc>
          <w:tcPr>
            <w:tcW w:type="dxa" w:w="174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64%</w:t>
            </w:r>
          </w:p>
        </w:tc>
        <w:tc>
          <w:tcPr>
            <w:tcW w:type="dxa" w:w="174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56%</w:t>
            </w:r>
          </w:p>
        </w:tc>
        <w:tc>
          <w:tcPr>
            <w:tcW w:type="dxa" w:w="14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14%</w:t>
            </w:r>
          </w:p>
        </w:tc>
      </w:tr>
      <w:tr>
        <w:trPr>
          <w:cantSplit/>
        </w:trPr>
        <w:tc>
          <w:tcPr>
            <w:tcW w:type="dxa" w:w="407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New session and new style together</w:t>
            </w:r>
          </w:p>
        </w:tc>
        <w:tc>
          <w:tcPr>
            <w:tcW w:type="dxa" w:w="174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47%</w:t>
            </w:r>
          </w:p>
        </w:tc>
        <w:tc>
          <w:tcPr>
            <w:tcW w:type="dxa" w:w="174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44%</w:t>
            </w:r>
          </w:p>
        </w:tc>
        <w:tc>
          <w:tcPr>
            <w:tcW w:type="dxa" w:w="145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14%</w:t>
            </w:r>
          </w:p>
        </w:tc>
      </w:tr>
      <w:tr>
        <w:trPr>
          <w:cantSplit/>
        </w:trPr>
        <w:tc>
          <w:tcPr>
            <w:tcW w:type="dxa" w:w="407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Same ten grooves, 4 drummers: how they play</w:t>
            </w:r>
          </w:p>
        </w:tc>
        <w:tc>
          <w:tcPr>
            <w:tcW w:type="dxa" w:w="174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63%</w:t>
            </w:r>
          </w:p>
        </w:tc>
        <w:tc>
          <w:tcPr>
            <w:tcW w:type="dxa" w:w="174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63%</w:t>
            </w:r>
          </w:p>
        </w:tc>
        <w:tc>
          <w:tcPr>
            <w:tcW w:type="dxa" w:w="14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25%</w:t>
            </w:r>
          </w:p>
        </w:tc>
      </w:tr>
      <w:tr>
        <w:trPr>
          <w:cantSplit/>
        </w:trPr>
        <w:tc>
          <w:tcPr>
            <w:tcW w:type="dxa" w:w="407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Same ten grooves: which notes only (control)</w:t>
            </w:r>
          </w:p>
        </w:tc>
        <w:tc>
          <w:tcPr>
            <w:tcW w:type="dxa" w:w="174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26%</w:t>
            </w:r>
          </w:p>
        </w:tc>
        <w:tc>
          <w:tcPr>
            <w:tcW w:type="dxa" w:w="174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26%</w:t>
            </w:r>
          </w:p>
        </w:tc>
        <w:tc>
          <w:tcPr>
            <w:tcW w:type="dxa" w:w="145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25%</w:t>
            </w:r>
          </w:p>
        </w:tc>
      </w:tr>
      <w:tr>
        <w:trPr>
          <w:cantSplit/>
        </w:trPr>
        <w:tc>
          <w:tcPr>
            <w:tcW w:type="dxa" w:w="407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Same grooves, whole performances named correctly</w:t>
            </w:r>
          </w:p>
        </w:tc>
        <w:tc>
          <w:tcPr>
            <w:tcW w:type="dxa" w:w="174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26 of 40</w:t>
            </w:r>
          </w:p>
        </w:tc>
        <w:tc>
          <w:tcPr>
            <w:tcW w:type="dxa" w:w="174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27 of 40</w:t>
            </w:r>
          </w:p>
        </w:tc>
        <w:tc>
          <w:tcPr>
            <w:tcW w:type="dxa" w:w="14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10 of 40</w:t>
            </w:r>
          </w:p>
        </w:tc>
      </w:tr>
      <w:tr>
        <w:trPr>
          <w:cantSplit/>
        </w:trPr>
        <w:tc>
          <w:tcPr>
            <w:tcW w:type="dxa" w:w="407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Direct confound test: gap (p, 1,000 shuffles)</w:t>
            </w:r>
          </w:p>
        </w:tc>
        <w:tc>
          <w:tcPr>
            <w:tcW w:type="dxa" w:w="174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+0.73 (p = 0.001)</w:t>
            </w:r>
          </w:p>
        </w:tc>
        <w:tc>
          <w:tcPr>
            <w:tcW w:type="dxa" w:w="174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+0.54 (p = 0.001)</w:t>
            </w:r>
          </w:p>
        </w:tc>
        <w:tc>
          <w:tcPr>
            <w:tcW w:type="dxa" w:w="145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gap ≤ 0</w:t>
            </w:r>
          </w:p>
        </w:tc>
      </w:tr>
      <w:tr>
        <w:trPr>
          <w:cantSplit/>
        </w:trPr>
        <w:tc>
          <w:tcPr>
            <w:tcW w:type="dxa" w:w="407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E1-sized trios, new session: mean (range)</w:t>
            </w:r>
          </w:p>
        </w:tc>
        <w:tc>
          <w:tcPr>
            <w:tcW w:type="dxa" w:w="174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66% (34–88%)</w:t>
            </w:r>
          </w:p>
        </w:tc>
        <w:tc>
          <w:tcPr>
            <w:tcW w:type="dxa" w:w="174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63% (34–83%)</w:t>
            </w:r>
          </w:p>
        </w:tc>
        <w:tc>
          <w:tcPr>
            <w:tcW w:type="dxa" w:w="14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33%</w:t>
            </w:r>
          </w:p>
        </w:tc>
      </w:tr>
      <w:tr>
        <w:trPr>
          <w:cantSplit/>
        </w:trPr>
        <w:tc>
          <w:tcPr>
            <w:tcW w:type="dxa" w:w="4076"/>
            <w:tcBorders>
              <w:top w:val="single" w:color="D9CFC0" w:sz="4"/>
              <w:left w:val="single" w:color="D9CFC0" w:sz="4"/>
              <w:bottom w:val="single" w:color="D9CFC0" w:sz="4"/>
              <w:right w:val="single" w:color="D9CFC0" w:sz="4"/>
            </w:tcBorders>
            <w:shd w:fill="EAF1F8" w:color="auto" w:val="clear"/>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E1-sized trios reaching our 70% pass mark</w:t>
            </w:r>
          </w:p>
        </w:tc>
        <w:tc>
          <w:tcPr>
            <w:tcW w:type="dxa" w:w="1747"/>
            <w:tcBorders>
              <w:top w:val="single" w:color="D9CFC0" w:sz="4"/>
              <w:left w:val="single" w:color="D9CFC0" w:sz="4"/>
              <w:bottom w:val="single" w:color="D9CFC0" w:sz="4"/>
              <w:right w:val="single" w:color="D9CFC0" w:sz="4"/>
            </w:tcBorders>
            <w:shd w:fill="EAF1F8"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13 of 35</w:t>
            </w:r>
          </w:p>
        </w:tc>
        <w:tc>
          <w:tcPr>
            <w:tcW w:type="dxa" w:w="1747"/>
            <w:tcBorders>
              <w:top w:val="single" w:color="D9CFC0" w:sz="4"/>
              <w:left w:val="single" w:color="D9CFC0" w:sz="4"/>
              <w:bottom w:val="single" w:color="D9CFC0" w:sz="4"/>
              <w:right w:val="single" w:color="D9CFC0" w:sz="4"/>
            </w:tcBorders>
            <w:shd w:fill="EAF1F8"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5"/>
                <w:szCs w:val="15"/>
              </w:rPr>
              <w:t xml:space="preserve">11 of 35</w:t>
            </w:r>
          </w:p>
        </w:tc>
        <w:tc>
          <w:tcPr>
            <w:tcW w:type="dxa" w:w="1456"/>
            <w:tcBorders>
              <w:top w:val="single" w:color="D9CFC0" w:sz="4"/>
              <w:left w:val="single" w:color="D9CFC0" w:sz="4"/>
              <w:bottom w:val="single" w:color="D9CFC0" w:sz="4"/>
              <w:right w:val="single" w:color="D9CFC0" w:sz="4"/>
            </w:tcBorders>
            <w:shd w:fill="EAF1F8" w:color="auto" w:val="clear"/>
            <w:tcMar>
              <w:top w:type="dxa" w:w="60"/>
              <w:left w:type="dxa" w:w="90"/>
              <w:bottom w:type="dxa" w:w="60"/>
              <w:right w:type="dxa" w:w="90"/>
            </w:tcMar>
            <w:vAlign w:val="top"/>
          </w:tcPr>
          <w:p>
            <w:pPr>
              <w:spacing w:after="30" w:line="250"/>
            </w:pPr>
          </w:p>
        </w:tc>
      </w:tr>
    </w:tbl>
    <w:p>
      <w:pPr>
        <w:spacing w:after="80"/>
      </w:pPr>
    </w:p>
    <w:p>
      <w:pPr>
        <w:pStyle w:val="Heading2"/>
        <w:keepNext/>
      </w:pPr>
      <w:r>
        <w:rPr>
          <w:rFonts w:ascii="Arial" w:cs="Arial" w:eastAsia="Arial" w:hAnsi="Arial"/>
        </w:rPr>
        <w:t xml:space="preserve">6.2 What this proves, and what it does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9CFC0" w:sz="4"/>
              <w:left w:val="single" w:color="2E6B3A" w:sz="24"/>
              <w:bottom w:val="single" w:color="D9CFC0" w:sz="4"/>
              <w:right w:val="single" w:color="D9CFC0" w:sz="4"/>
            </w:tcBorders>
            <w:shd w:fill="EEF6EF" w:color="auto" w:val="clear"/>
            <w:tcMar>
              <w:top w:type="dxa" w:w="120"/>
              <w:left w:type="dxa" w:w="200"/>
              <w:bottom w:type="dxa" w:w="100"/>
              <w:right w:type="dxa" w:w="160"/>
            </w:tcMar>
          </w:tcPr>
          <w:p>
            <w:pPr>
              <w:spacing w:after="80"/>
            </w:pPr>
            <w:r>
              <w:rPr>
                <w:rFonts w:ascii="Arial" w:cs="Arial" w:eastAsia="Arial" w:hAnsi="Arial"/>
                <w:b/>
                <w:bCs/>
                <w:color w:val="2E6B3A"/>
                <w:sz w:val="21"/>
                <w:szCs w:val="21"/>
              </w:rPr>
              <w:t xml:space="preserve">What it proves</w:t>
            </w:r>
          </w:p>
          <w:p>
            <w:pPr>
              <w:pStyle w:val="ListParagraph"/>
              <w:numPr>
                <w:ilvl w:val="0"/>
                <w:numId w:val="2"/>
              </w:numPr>
              <w:spacing w:after="50" w:line="262"/>
            </w:pPr>
            <w:r>
              <w:rPr>
                <w:rFonts w:ascii="Arial" w:cs="Arial" w:eastAsia="Arial" w:hAnsi="Arial"/>
                <w:b/>
                <w:bCs/>
                <w:color w:val="222222"/>
                <w:sz w:val="19"/>
                <w:szCs w:val="19"/>
              </w:rPr>
              <w:t xml:space="preserve">A performer fingerprint in timing and loudness is real</w:t>
            </w:r>
            <w:r>
              <w:rPr>
                <w:rFonts w:ascii="Arial" w:cs="Arial" w:eastAsia="Arial" w:hAnsi="Arial"/>
                <w:color w:val="222222"/>
                <w:sz w:val="19"/>
                <w:szCs w:val="19"/>
              </w:rPr>
              <w:t xml:space="preserve"> and survives a new recording session and a different musical style, at about three times chance.</w:t>
            </w:r>
          </w:p>
          <w:p>
            <w:pPr>
              <w:pStyle w:val="ListParagraph"/>
              <w:numPr>
                <w:ilvl w:val="0"/>
                <w:numId w:val="2"/>
              </w:numPr>
              <w:spacing w:after="50" w:line="262"/>
            </w:pPr>
            <w:r>
              <w:rPr>
                <w:rFonts w:ascii="Arial" w:cs="Arial" w:eastAsia="Arial" w:hAnsi="Arial"/>
                <w:b/>
                <w:bCs/>
                <w:color w:val="222222"/>
                <w:sz w:val="19"/>
                <w:szCs w:val="19"/>
              </w:rPr>
              <w:t xml:space="preserve">It lives in how people play, not what they play:</w:t>
            </w:r>
            <w:r>
              <w:rPr>
                <w:rFonts w:ascii="Arial" w:cs="Arial" w:eastAsia="Arial" w:hAnsi="Arial"/>
                <w:color w:val="222222"/>
                <w:sz w:val="19"/>
                <w:szCs w:val="19"/>
              </w:rPr>
              <w:t xml:space="preserve"> with identical grooves, notes alone are at chance while timing and loudness name the drummer.</w:t>
            </w:r>
          </w:p>
          <w:p>
            <w:pPr>
              <w:pStyle w:val="ListParagraph"/>
              <w:numPr>
                <w:ilvl w:val="0"/>
                <w:numId w:val="2"/>
              </w:numPr>
              <w:spacing w:after="50" w:line="262"/>
            </w:pPr>
            <w:r>
              <w:rPr>
                <w:rFonts w:ascii="Arial" w:cs="Arial" w:eastAsia="Arial" w:hAnsi="Arial"/>
                <w:b/>
                <w:bCs/>
                <w:color w:val="222222"/>
                <w:sz w:val="19"/>
                <w:szCs w:val="19"/>
              </w:rPr>
              <w:t xml:space="preserve">Our method and code work on real performers,</w:t>
            </w:r>
            <w:r>
              <w:rPr>
                <w:rFonts w:ascii="Arial" w:cs="Arial" w:eastAsia="Arial" w:hAnsi="Arial"/>
                <w:color w:val="222222"/>
                <w:sz w:val="19"/>
                <w:szCs w:val="19"/>
              </w:rPr>
              <w:t xml:space="preserve"> not only on synthetic data.</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9CFC0" w:sz="4"/>
              <w:left w:val="single" w:color="7A1F1F" w:sz="24"/>
              <w:bottom w:val="single" w:color="D9CFC0" w:sz="4"/>
              <w:right w:val="single" w:color="D9CFC0" w:sz="4"/>
            </w:tcBorders>
            <w:shd w:fill="FBF6EC" w:color="auto" w:val="clear"/>
            <w:tcMar>
              <w:top w:type="dxa" w:w="120"/>
              <w:left w:type="dxa" w:w="200"/>
              <w:bottom w:type="dxa" w:w="100"/>
              <w:right w:type="dxa" w:w="160"/>
            </w:tcMar>
          </w:tcPr>
          <w:p>
            <w:pPr>
              <w:spacing w:after="80"/>
            </w:pPr>
            <w:r>
              <w:rPr>
                <w:rFonts w:ascii="Arial" w:cs="Arial" w:eastAsia="Arial" w:hAnsi="Arial"/>
                <w:b/>
                <w:bCs/>
                <w:color w:val="7A1F1F"/>
                <w:sz w:val="21"/>
                <w:szCs w:val="21"/>
              </w:rPr>
              <w:t xml:space="preserve">What it does not prove, stated plainly</w:t>
            </w:r>
          </w:p>
          <w:p>
            <w:pPr>
              <w:pStyle w:val="ListParagraph"/>
              <w:numPr>
                <w:ilvl w:val="0"/>
                <w:numId w:val="2"/>
              </w:numPr>
              <w:spacing w:after="50" w:line="262"/>
            </w:pPr>
            <w:r>
              <w:rPr>
                <w:rFonts w:ascii="Arial" w:cs="Arial" w:eastAsia="Arial" w:hAnsi="Arial"/>
                <w:color w:val="222222"/>
                <w:sz w:val="19"/>
                <w:szCs w:val="19"/>
              </w:rPr>
              <w:t xml:space="preserve">It is not tabla, not Indian masters and not body movement: it is MIDI from Western drummers on one electronic kit, so it cannot test an instrument swap.</w:t>
            </w:r>
          </w:p>
          <w:p>
            <w:pPr>
              <w:pStyle w:val="ListParagraph"/>
              <w:numPr>
                <w:ilvl w:val="0"/>
                <w:numId w:val="2"/>
              </w:numPr>
              <w:spacing w:after="50" w:line="262"/>
            </w:pPr>
            <w:r>
              <w:rPr>
                <w:rFonts w:ascii="Arial" w:cs="Arial" w:eastAsia="Arial" w:hAnsi="Arial"/>
                <w:b/>
                <w:bCs/>
                <w:color w:val="222222"/>
                <w:sz w:val="19"/>
                <w:szCs w:val="19"/>
              </w:rPr>
              <w:t xml:space="preserve">Timing and loudness alone sit near our pass mark:</w:t>
            </w:r>
            <w:r>
              <w:rPr>
                <w:rFonts w:ascii="Arial" w:cs="Arial" w:eastAsia="Arial" w:hAnsi="Arial"/>
                <w:color w:val="222222"/>
                <w:sz w:val="19"/>
                <w:szCs w:val="19"/>
              </w:rPr>
              <w:t xml:space="preserve"> in groups of three, the new-session test averaged 66%, and 13 of 35 trios reached 70%. A tabla E1 based only on sound could fail.</w:t>
            </w:r>
          </w:p>
          <w:p>
            <w:pPr>
              <w:pStyle w:val="ListParagraph"/>
              <w:numPr>
                <w:ilvl w:val="0"/>
                <w:numId w:val="2"/>
              </w:numPr>
              <w:spacing w:after="50" w:line="262"/>
            </w:pPr>
            <w:r>
              <w:rPr>
                <w:rFonts w:ascii="Arial" w:cs="Arial" w:eastAsia="Arial" w:hAnsi="Arial"/>
                <w:color w:val="222222"/>
                <w:sz w:val="19"/>
                <w:szCs w:val="19"/>
              </w:rPr>
              <w:t xml:space="preserve">That is exactly why PARAMPARA adds the sleeve: movement carries individual strategy </w:t>
            </w:r>
            <w:r>
              <w:rPr>
                <w:rFonts w:ascii="Arial" w:cs="Arial" w:eastAsia="Arial" w:hAnsi="Arial"/>
                <w:b w:val="false"/>
                <w:bCs w:val="false"/>
                <w:color w:val="1F4E79"/>
                <w:sz w:val="19"/>
                <w:szCs w:val="19"/>
              </w:rPr>
              <w:t xml:space="preserve">[56, 58, 89]</w:t>
            </w:r>
            <w:r>
              <w:rPr>
                <w:rFonts w:ascii="Arial" w:cs="Arial" w:eastAsia="Arial" w:hAnsi="Arial"/>
                <w:color w:val="222222"/>
                <w:sz w:val="19"/>
                <w:szCs w:val="19"/>
              </w:rPr>
              <w:t xml:space="preserve">. </w:t>
            </w:r>
            <w:r>
              <w:rPr>
                <w:rFonts w:ascii="Arial" w:cs="Arial" w:eastAsia="Arial" w:hAnsi="Arial"/>
                <w:b/>
                <w:bCs/>
                <w:color w:val="222222"/>
                <w:sz w:val="19"/>
                <w:szCs w:val="19"/>
              </w:rPr>
              <w:t xml:space="preserve">We keep the 70% pass mark unchanged.</w:t>
            </w:r>
          </w:p>
        </w:tc>
      </w:tr>
    </w:tbl>
    <w:p>
      <w:pPr>
        <w:spacing w:after="100"/>
      </w:pPr>
    </w:p>
    <w:p>
      <w:pPr>
        <w:shd w:fill="F2F2F2" w:color="auto" w:val="clear"/>
        <w:spacing w:after="140" w:line="240"/>
        <w:ind w:left="120" w:right="120"/>
      </w:pPr>
      <w:r>
        <w:rPr>
          <w:rFonts w:ascii="Courier New" w:cs="Courier New" w:eastAsia="Courier New" w:hAnsi="Courier New"/>
          <w:color w:val="222222"/>
          <w:sz w:val="16"/>
          <w:szCs w:val="16"/>
        </w:rPr>
        <w:t xml:space="preserve">python3 PARAMPARA/sim/gmd_fingerprint.py groove/   # reproduces Section 6</w:t>
      </w:r>
    </w:p>
    <w:p>
      <w:pPr>
        <w:pStyle w:val="Heading1"/>
        <w:keepNext/>
        <w:spacing w:after="200" w:before="480"/>
      </w:pPr>
      <w:r>
        <w:rPr>
          <w:rFonts w:ascii="Arial" w:cs="Arial" w:eastAsia="Arial" w:hAnsi="Arial"/>
        </w:rPr>
        <w:t xml:space="preserve">7. Validation plan: E0–E5</w:t>
      </w:r>
    </w:p>
    <w:p>
      <w:pPr>
        <w:pStyle w:val="Heading2"/>
        <w:keepNext/>
      </w:pPr>
      <w:r>
        <w:rPr>
          <w:rFonts w:ascii="Arial" w:cs="Arial" w:eastAsia="Arial" w:hAnsi="Arial"/>
        </w:rPr>
        <w:t xml:space="preserve">7.1 The hardest question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9CFC0" w:sz="4"/>
              <w:left w:val="single" w:color="1F4E79" w:sz="24"/>
              <w:bottom w:val="single" w:color="D9CFC0" w:sz="4"/>
              <w:right w:val="single" w:color="D9CFC0" w:sz="4"/>
            </w:tcBorders>
            <w:shd w:fill="EEF3F8" w:color="auto" w:val="clear"/>
            <w:tcMar>
              <w:top w:type="dxa" w:w="120"/>
              <w:left w:type="dxa" w:w="200"/>
              <w:bottom w:type="dxa" w:w="100"/>
              <w:right w:type="dxa" w:w="160"/>
            </w:tcMar>
          </w:tcPr>
          <w:p>
            <w:pPr>
              <w:spacing w:after="70" w:line="266"/>
            </w:pPr>
            <w:r>
              <w:rPr>
                <w:rFonts w:ascii="Arial" w:cs="Arial" w:eastAsia="Arial" w:hAnsi="Arial"/>
                <w:i/>
                <w:iCs/>
                <w:color w:val="222222"/>
                <w:sz w:val="19"/>
                <w:szCs w:val="19"/>
              </w:rPr>
              <w:t xml:space="preserve">"Are you identifying the master, or their instrument, tuning, recording session or sensor placement?"</w:t>
            </w:r>
          </w:p>
        </w:tc>
      </w:tr>
    </w:tbl>
    <w:p>
      <w:pPr>
        <w:spacing w:after="100"/>
      </w:pPr>
    </w:p>
    <w:p>
      <w:pPr>
        <w:spacing w:after="120" w:before="0" w:line="276"/>
        <w:jc w:val="left"/>
      </w:pPr>
      <w:r>
        <w:rPr>
          <w:rFonts w:ascii="Arial" w:cs="Arial" w:eastAsia="Arial" w:hAnsi="Arial"/>
          <w:color w:val="222222"/>
          <w:sz w:val="20"/>
          <w:szCs w:val="20"/>
        </w:rPr>
        <w:t xml:space="preserve">Music systems that appeared to recognise artists were partly recognising each album's recording conditions, the 'album effect' </w:t>
      </w:r>
      <w:r>
        <w:rPr>
          <w:rFonts w:ascii="Arial" w:cs="Arial" w:eastAsia="Arial" w:hAnsi="Arial"/>
          <w:b w:val="false"/>
          <w:bCs w:val="false"/>
          <w:color w:val="1F4E79"/>
          <w:sz w:val="20"/>
          <w:szCs w:val="20"/>
        </w:rPr>
        <w:t xml:space="preserve">[76]</w:t>
      </w:r>
      <w:r>
        <w:rPr>
          <w:rFonts w:ascii="Arial" w:cs="Arial" w:eastAsia="Arial" w:hAnsi="Arial"/>
          <w:color w:val="222222"/>
          <w:sz w:val="20"/>
          <w:szCs w:val="20"/>
        </w:rPr>
        <w:t xml:space="preserve">. So E1 breaks that link. </w:t>
      </w:r>
      <w:r>
        <w:rPr>
          <w:rFonts w:ascii="Arial" w:cs="Arial" w:eastAsia="Arial" w:hAnsi="Arial"/>
          <w:b/>
          <w:bCs/>
          <w:color w:val="222222"/>
          <w:sz w:val="20"/>
          <w:szCs w:val="20"/>
        </w:rPr>
        <w:t xml:space="preserve">Per craft:</w:t>
      </w:r>
      <w:r>
        <w:rPr>
          <w:rFonts w:ascii="Arial" w:cs="Arial" w:eastAsia="Arial" w:hAnsi="Arial"/>
          <w:color w:val="222222"/>
          <w:sz w:val="20"/>
          <w:szCs w:val="20"/>
        </w:rPr>
        <w:t xml:space="preserve"> 3 masters × 2 sessions on different days (sleeve re-fitted) × 2 instruments (masters swap tablas, looms or puppets) × 20 cycles = </w:t>
      </w:r>
      <w:r>
        <w:rPr>
          <w:rFonts w:ascii="Arial" w:cs="Arial" w:eastAsia="Arial" w:hAnsi="Arial"/>
          <w:b/>
          <w:bCs/>
          <w:color w:val="222222"/>
          <w:sz w:val="20"/>
          <w:szCs w:val="20"/>
        </w:rPr>
        <w:t xml:space="preserve">240 cycles</w:t>
      </w:r>
      <w:r>
        <w:rPr>
          <w:rFonts w:ascii="Arial" w:cs="Arial" w:eastAsia="Arial" w:hAnsi="Arial"/>
          <w:color w:val="222222"/>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34"/>
        <w:gridCol w:w="3305"/>
        <w:gridCol w:w="1907"/>
        <w:gridCol w:w="1780"/>
      </w:tblGrid>
      <w:tr>
        <w:trPr>
          <w:cantSplit/>
          <w:tblHeader/>
        </w:trPr>
        <w:tc>
          <w:tcPr>
            <w:tcW w:type="dxa" w:w="203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Test</w:t>
            </w:r>
          </w:p>
        </w:tc>
        <w:tc>
          <w:tcPr>
            <w:tcW w:type="dxa" w:w="330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Question</w:t>
            </w:r>
          </w:p>
        </w:tc>
        <w:tc>
          <w:tcPr>
            <w:tcW w:type="dxa" w:w="190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Pass [decided in advance]</w:t>
            </w:r>
          </w:p>
        </w:tc>
        <w:tc>
          <w:tcPr>
            <w:tcW w:type="dxa" w:w="1780"/>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Rules out</w:t>
            </w:r>
          </w:p>
        </w:tc>
      </w:tr>
      <w:tr>
        <w:trPr>
          <w:cantSplit/>
        </w:trPr>
        <w:tc>
          <w:tcPr>
            <w:tcW w:type="dxa" w:w="203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T-a New day</w:t>
            </w:r>
          </w:p>
        </w:tc>
        <w:tc>
          <w:tcPr>
            <w:tcW w:type="dxa" w:w="330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Trained on one day, does it name the master on the other day?</w:t>
            </w:r>
          </w:p>
        </w:tc>
        <w:tc>
          <w:tcPr>
            <w:tcW w:type="dxa" w:w="190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 70% (chance 33%)</w:t>
            </w:r>
          </w:p>
        </w:tc>
        <w:tc>
          <w:tcPr>
            <w:tcW w:type="dxa" w:w="178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Session, sensor placement</w:t>
            </w:r>
          </w:p>
        </w:tc>
      </w:tr>
      <w:tr>
        <w:trPr>
          <w:cantSplit/>
        </w:trPr>
        <w:tc>
          <w:tcPr>
            <w:tcW w:type="dxa" w:w="203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T-b New instrument</w:t>
            </w:r>
          </w:p>
        </w:tc>
        <w:tc>
          <w:tcPr>
            <w:tcW w:type="dxa" w:w="330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Trained on one instrument, does it name the master on the other?</w:t>
            </w:r>
          </w:p>
        </w:tc>
        <w:tc>
          <w:tcPr>
            <w:tcW w:type="dxa" w:w="190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 70% (chance 33%)</w:t>
            </w:r>
          </w:p>
        </w:tc>
        <w:tc>
          <w:tcPr>
            <w:tcW w:type="dxa" w:w="178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Instrument, tuning</w:t>
            </w:r>
          </w:p>
        </w:tc>
      </w:tr>
      <w:tr>
        <w:trPr>
          <w:cantSplit/>
        </w:trPr>
        <w:tc>
          <w:tcPr>
            <w:tcW w:type="dxa" w:w="203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T-c Direct test</w:t>
            </w:r>
          </w:p>
        </w:tc>
        <w:tc>
          <w:tcPr>
            <w:tcW w:type="dxa" w:w="330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Same master on different instruments more alike than different masters on the same instrument?</w:t>
            </w:r>
          </w:p>
        </w:tc>
        <w:tc>
          <w:tcPr>
            <w:tcW w:type="dxa" w:w="190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Yes, p &lt; 0.01 (1,000 shuffles)</w:t>
            </w:r>
          </w:p>
        </w:tc>
        <w:tc>
          <w:tcPr>
            <w:tcW w:type="dxa" w:w="178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All of the above</w:t>
            </w:r>
          </w:p>
        </w:tc>
      </w:tr>
      <w:tr>
        <w:trPr>
          <w:cantSplit/>
        </w:trPr>
        <w:tc>
          <w:tcPr>
            <w:tcW w:type="dxa" w:w="203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Control</w:t>
            </w:r>
          </w:p>
        </w:tc>
        <w:tc>
          <w:tcPr>
            <w:tcW w:type="dxa" w:w="330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How well do the same features name the instrument?</w:t>
            </w:r>
          </w:p>
        </w:tc>
        <w:tc>
          <w:tcPr>
            <w:tcW w:type="dxa" w:w="190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Reported</w:t>
            </w:r>
          </w:p>
        </w:tc>
        <w:tc>
          <w:tcPr>
            <w:tcW w:type="dxa" w:w="178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How much instrument signal remains</w:t>
            </w:r>
          </w:p>
        </w:tc>
      </w:tr>
    </w:tbl>
    <w:p>
      <w:pPr>
        <w:spacing w:after="80"/>
      </w:pPr>
    </w:p>
    <w:p>
      <w:pPr>
        <w:keepNext/>
        <w:spacing w:after="60" w:before="60"/>
        <w:jc w:val="center"/>
      </w:pPr>
      <w:r>
        <w:drawing>
          <wp:inline distT="0" distB="0" distL="0" distR="0">
            <wp:extent cx="5715000" cy="2009775"/>
            <wp:effectExtent t="0" r="0" b="0" l="0"/>
            <wp:docPr id="1" name="Figure 10. Software " descr="Figure 10. Software check on synthetic data: when the instrument secretly drives the data, a naive split still looks above chance (61%), but the new-day and new-instrument tests fall to 29% and 52% and the verdict is FAIL." title="Figure 10. Software check on synthetic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009775"/>
                    </a:xfrm>
                    <a:prstGeom prst="rect">
                      <a:avLst/>
                    </a:prstGeom>
                  </pic:spPr>
                </pic:pic>
              </a:graphicData>
            </a:graphic>
          </wp:inline>
        </w:drawing>
      </w:r>
    </w:p>
    <w:p>
      <w:pPr>
        <w:spacing w:after="180"/>
        <w:jc w:val="center"/>
      </w:pPr>
      <w:r>
        <w:rPr>
          <w:rFonts w:ascii="Arial" w:cs="Arial" w:eastAsia="Arial" w:hAnsi="Arial"/>
          <w:i/>
          <w:iCs/>
          <w:color w:val="5E5E5E"/>
          <w:sz w:val="17"/>
          <w:szCs w:val="17"/>
        </w:rPr>
        <w:t xml:space="preserve">Figure 10. Software check on synthetic data: when the instrument secretly drives the data, a naive split still looks above chance (61%), but the new-day and new-instrument tests fall to 29% and 52% and the verdict is FAIL.</w:t>
      </w:r>
    </w:p>
    <w:p>
      <w:pPr>
        <w:pStyle w:val="Heading3"/>
        <w:keepNext/>
      </w:pPr>
      <w:r>
        <w:rPr>
          <w:rFonts w:ascii="Arial" w:cs="Arial" w:eastAsia="Arial" w:hAnsi="Arial"/>
        </w:rPr>
        <w:t xml:space="preserve">What each E1 result lets us claim (fixed in advance)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5"/>
        <w:gridCol w:w="3103"/>
        <w:gridCol w:w="2538"/>
      </w:tblGrid>
      <w:tr>
        <w:trPr>
          <w:cantSplit/>
          <w:tblHeader/>
        </w:trPr>
        <w:tc>
          <w:tcPr>
            <w:tcW w:type="dxa" w:w="338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E1 result for a craft</w:t>
            </w:r>
          </w:p>
        </w:tc>
        <w:tc>
          <w:tcPr>
            <w:tcW w:type="dxa" w:w="310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we claim</w:t>
            </w:r>
          </w:p>
        </w:tc>
        <w:tc>
          <w:tcPr>
            <w:tcW w:type="dxa" w:w="253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we teach</w:t>
            </w:r>
          </w:p>
        </w:tc>
      </w:tr>
      <w:tr>
        <w:trPr>
          <w:cantSplit/>
        </w:trPr>
        <w:tc>
          <w:tcPr>
            <w:tcW w:type="dxa" w:w="33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T-a, T-b ≥ 70% and T-c p &lt; 0.01</w:t>
            </w:r>
          </w:p>
        </w:tc>
        <w:tc>
          <w:tcPr>
            <w:tcW w:type="dxa" w:w="31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 master-specific style fingerprint</w:t>
            </w:r>
          </w:p>
        </w:tc>
        <w:tc>
          <w:tcPr>
            <w:tcW w:type="dxa" w:w="253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Levels 1–3</w:t>
            </w:r>
          </w:p>
        </w:tc>
      </w:tr>
      <w:tr>
        <w:trPr>
          <w:cantSplit/>
        </w:trPr>
        <w:tc>
          <w:tcPr>
            <w:tcW w:type="dxa" w:w="338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T-c p &lt; 0.01, but T-a or T-b between 50% and 70%</w:t>
            </w:r>
          </w:p>
        </w:tc>
        <w:tc>
          <w:tcPr>
            <w:tcW w:type="dxa" w:w="31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 real but weak fingerprint; not enough to teach one master's style</w:t>
            </w:r>
          </w:p>
        </w:tc>
        <w:tc>
          <w:tcPr>
            <w:tcW w:type="dxa" w:w="253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Levels 1–2; style shown for information only</w:t>
            </w:r>
          </w:p>
        </w:tc>
      </w:tr>
      <w:tr>
        <w:trPr>
          <w:cantSplit/>
        </w:trPr>
        <w:tc>
          <w:tcPr>
            <w:tcW w:type="dxa" w:w="33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T-c not significant</w:t>
            </w:r>
          </w:p>
        </w:tc>
        <w:tc>
          <w:tcPr>
            <w:tcW w:type="dxa" w:w="31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No master fingerprint for this craft</w:t>
            </w:r>
          </w:p>
        </w:tc>
        <w:tc>
          <w:tcPr>
            <w:tcW w:type="dxa" w:w="253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Levels 1–2</w:t>
            </w:r>
          </w:p>
        </w:tc>
      </w:tr>
    </w:tbl>
    <w:p>
      <w:pPr>
        <w:spacing w:after="80"/>
      </w:pPr>
    </w:p>
    <w:p>
      <w:pPr>
        <w:pStyle w:val="Heading2"/>
        <w:keepNext/>
      </w:pPr>
      <w:r>
        <w:rPr>
          <w:rFonts w:ascii="Arial" w:cs="Arial" w:eastAsia="Arial" w:hAnsi="Arial"/>
        </w:rPr>
        <w:t xml:space="preserve">7.2 All experiments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4"/>
        <w:gridCol w:w="1747"/>
        <w:gridCol w:w="2679"/>
        <w:gridCol w:w="699"/>
        <w:gridCol w:w="2213"/>
        <w:gridCol w:w="1164"/>
      </w:tblGrid>
      <w:tr>
        <w:trPr>
          <w:cantSplit/>
          <w:tblHeader/>
        </w:trPr>
        <w:tc>
          <w:tcPr>
            <w:tcW w:type="dxa" w:w="52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w:t>
            </w:r>
          </w:p>
        </w:tc>
        <w:tc>
          <w:tcPr>
            <w:tcW w:type="dxa" w:w="174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Question</w:t>
            </w:r>
          </w:p>
        </w:tc>
        <w:tc>
          <w:tcPr>
            <w:tcW w:type="dxa" w:w="267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Design</w:t>
            </w:r>
          </w:p>
        </w:tc>
        <w:tc>
          <w:tcPr>
            <w:tcW w:type="dxa" w:w="69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People</w:t>
            </w:r>
          </w:p>
        </w:tc>
        <w:tc>
          <w:tcPr>
            <w:tcW w:type="dxa" w:w="221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Pass [Target]</w:t>
            </w:r>
          </w:p>
        </w:tc>
        <w:tc>
          <w:tcPr>
            <w:tcW w:type="dxa" w:w="116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Crafts</w:t>
            </w:r>
          </w:p>
        </w:tc>
      </w:tr>
      <w:tr>
        <w:trPr>
          <w:cantSplit/>
        </w:trPr>
        <w:tc>
          <w:tcPr>
            <w:tcW w:type="dxa" w:w="52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E0</w:t>
            </w:r>
          </w:p>
        </w:tc>
        <w:tc>
          <w:tcPr>
            <w:tcW w:type="dxa" w:w="174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Does the sleeve change how masters perform?</w:t>
            </w:r>
          </w:p>
        </w:tc>
        <w:tc>
          <w:tcPr>
            <w:tcW w:type="dxa" w:w="267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Alternating blocks of 10 cycles with and without the sleeve; the tool sensor measures both</w:t>
            </w:r>
          </w:p>
        </w:tc>
        <w:tc>
          <w:tcPr>
            <w:tcW w:type="dxa" w:w="69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Each master</w:t>
            </w:r>
          </w:p>
        </w:tc>
        <w:tc>
          <w:tcPr>
            <w:tcW w:type="dxa" w:w="221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Equivalent within ±10 ms, ±5% cycle time, ±1 dB (two one-sided tests </w:t>
            </w:r>
            <w:r>
              <w:rPr>
                <w:rFonts w:ascii="Arial" w:cs="Arial" w:eastAsia="Arial" w:hAnsi="Arial"/>
                <w:b w:val="false"/>
                <w:bCs w:val="false"/>
                <w:color w:val="1F4E79"/>
                <w:sz w:val="15"/>
                <w:szCs w:val="15"/>
              </w:rPr>
              <w:t xml:space="preserve">[77]</w:t>
            </w:r>
            <w:r>
              <w:rPr>
                <w:rFonts w:ascii="Arial" w:cs="Arial" w:eastAsia="Arial" w:hAnsi="Arial"/>
                <w:color w:val="222222"/>
                <w:sz w:val="15"/>
                <w:szCs w:val="15"/>
              </w:rPr>
              <w:t xml:space="preserve">); comfort ≥ 4 of 5</w:t>
            </w:r>
          </w:p>
        </w:tc>
        <w:tc>
          <w:tcPr>
            <w:tcW w:type="dxa" w:w="116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All three</w:t>
            </w:r>
          </w:p>
        </w:tc>
      </w:tr>
      <w:tr>
        <w:trPr>
          <w:cantSplit/>
        </w:trPr>
        <w:tc>
          <w:tcPr>
            <w:tcW w:type="dxa" w:w="52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E1</w:t>
            </w:r>
          </w:p>
        </w:tc>
        <w:tc>
          <w:tcPr>
            <w:tcW w:type="dxa" w:w="174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Is the fingerprint the master's?</w:t>
            </w:r>
          </w:p>
        </w:tc>
        <w:tc>
          <w:tcPr>
            <w:tcW w:type="dxa" w:w="267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Section 7.1</w:t>
            </w:r>
          </w:p>
        </w:tc>
        <w:tc>
          <w:tcPr>
            <w:tcW w:type="dxa" w:w="69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3 masters per craft</w:t>
            </w:r>
          </w:p>
        </w:tc>
        <w:tc>
          <w:tcPr>
            <w:tcW w:type="dxa" w:w="221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T-a, T-b ≥ 70%; T-c p &lt; 0.01</w:t>
            </w:r>
          </w:p>
        </w:tc>
        <w:tc>
          <w:tcPr>
            <w:tcW w:type="dxa" w:w="116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All three</w:t>
            </w:r>
          </w:p>
        </w:tc>
      </w:tr>
      <w:tr>
        <w:trPr>
          <w:cantSplit/>
        </w:trPr>
        <w:tc>
          <w:tcPr>
            <w:tcW w:type="dxa" w:w="52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E2</w:t>
            </w:r>
          </w:p>
        </w:tc>
        <w:tc>
          <w:tcPr>
            <w:tcW w:type="dxa" w:w="174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Can cues be felt while performing?</w:t>
            </w:r>
          </w:p>
        </w:tc>
        <w:tc>
          <w:tcPr>
            <w:tcW w:type="dxa" w:w="267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Weakest felt cue at rest vs while performing; finger, wrist, elbow, shoulder</w:t>
            </w:r>
          </w:p>
        </w:tc>
        <w:tc>
          <w:tcPr>
            <w:tcW w:type="dxa" w:w="69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8</w:t>
            </w:r>
          </w:p>
        </w:tc>
        <w:tc>
          <w:tcPr>
            <w:tcW w:type="dxa" w:w="221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At most twice the rest strength at one site per joint</w:t>
            </w:r>
          </w:p>
        </w:tc>
        <w:tc>
          <w:tcPr>
            <w:tcW w:type="dxa" w:w="116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Tabla, puppetry</w:t>
            </w:r>
          </w:p>
        </w:tc>
      </w:tr>
      <w:tr>
        <w:trPr>
          <w:cantSplit/>
        </w:trPr>
        <w:tc>
          <w:tcPr>
            <w:tcW w:type="dxa" w:w="52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E3</w:t>
            </w:r>
          </w:p>
        </w:tc>
        <w:tc>
          <w:tcPr>
            <w:tcW w:type="dxa" w:w="174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Can people tell two masters apart through PARAMPARA?</w:t>
            </w:r>
          </w:p>
        </w:tc>
        <w:tc>
          <w:tcPr>
            <w:tcW w:type="dxa" w:w="267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A, B, then X; 20 rounds</w:t>
            </w:r>
          </w:p>
        </w:tc>
        <w:tc>
          <w:tcPr>
            <w:tcW w:type="dxa" w:w="69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10</w:t>
            </w:r>
          </w:p>
        </w:tc>
        <w:tc>
          <w:tcPr>
            <w:tcW w:type="dxa" w:w="221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 15 of 20 (p = 0.02)</w:t>
            </w:r>
          </w:p>
        </w:tc>
        <w:tc>
          <w:tcPr>
            <w:tcW w:type="dxa" w:w="116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Tabla</w:t>
            </w:r>
          </w:p>
        </w:tc>
      </w:tr>
      <w:tr>
        <w:trPr>
          <w:cantSplit/>
        </w:trPr>
        <w:tc>
          <w:tcPr>
            <w:tcW w:type="dxa" w:w="52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E4</w:t>
            </w:r>
          </w:p>
        </w:tc>
        <w:tc>
          <w:tcPr>
            <w:tcW w:type="dxa" w:w="174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Can cues be read while performing?</w:t>
            </w:r>
          </w:p>
        </w:tc>
        <w:tc>
          <w:tcPr>
            <w:tcW w:type="dxa" w:w="267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40 random cues: 5 fingers, 3 joints, 2 strengths</w:t>
            </w:r>
          </w:p>
        </w:tc>
        <w:tc>
          <w:tcPr>
            <w:tcW w:type="dxa" w:w="69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8–10</w:t>
            </w:r>
          </w:p>
        </w:tc>
        <w:tc>
          <w:tcPr>
            <w:tcW w:type="dxa" w:w="221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 90% sites, ≥ 80% strengths</w:t>
            </w:r>
          </w:p>
        </w:tc>
        <w:tc>
          <w:tcPr>
            <w:tcW w:type="dxa" w:w="116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Tabla, puppetry</w:t>
            </w:r>
          </w:p>
        </w:tc>
      </w:tr>
      <w:tr>
        <w:trPr>
          <w:cantSplit/>
        </w:trPr>
        <w:tc>
          <w:tcPr>
            <w:tcW w:type="dxa" w:w="52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E5</w:t>
            </w:r>
          </w:p>
        </w:tc>
        <w:tc>
          <w:tcPr>
            <w:tcW w:type="dxa" w:w="174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Do learners improve with the device off?</w:t>
            </w:r>
          </w:p>
        </w:tc>
        <w:tc>
          <w:tcPr>
            <w:tcW w:type="dxa" w:w="267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16 beginners randomised: video practice or PARAMPARA; 3 sessions; retention test 48 h later, device off, blinded tester</w:t>
            </w:r>
          </w:p>
        </w:tc>
        <w:tc>
          <w:tcPr>
            <w:tcW w:type="dxa" w:w="69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16</w:t>
            </w:r>
          </w:p>
        </w:tc>
        <w:tc>
          <w:tcPr>
            <w:tcW w:type="dxa" w:w="221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Difference with 95% CI; full trial if PARAMPARA ≥ video</w:t>
            </w:r>
          </w:p>
        </w:tc>
        <w:tc>
          <w:tcPr>
            <w:tcW w:type="dxa" w:w="116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Tabla</w:t>
            </w:r>
          </w:p>
        </w:tc>
      </w:tr>
    </w:tbl>
    <w:p>
      <w:pPr>
        <w:spacing w:after="80"/>
      </w:pPr>
    </w:p>
    <w:p>
      <w:pPr>
        <w:spacing w:after="120" w:before="0" w:line="276"/>
        <w:jc w:val="left"/>
      </w:pPr>
      <w:r>
        <w:rPr>
          <w:rFonts w:ascii="Arial" w:cs="Arial" w:eastAsia="Arial" w:hAnsi="Arial"/>
          <w:b/>
          <w:bCs/>
          <w:color w:val="222222"/>
          <w:sz w:val="20"/>
          <w:szCs w:val="20"/>
        </w:rPr>
        <w:t xml:space="preserve">Honest sample sizes.</w:t>
      </w:r>
      <w:r>
        <w:rPr>
          <w:rFonts w:ascii="Arial" w:cs="Arial" w:eastAsia="Arial" w:hAnsi="Arial"/>
          <w:color w:val="222222"/>
          <w:sz w:val="20"/>
          <w:szCs w:val="20"/>
        </w:rPr>
        <w:t xml:space="preserve"> With 8 people per group, E5 can only detect a very large effect (d ≈ 1.5 at 80% power); its job is to estimate the effect and test the procedure. The 120-person trial in the roadmap (60 per group) detects d ≈ 0.52 </w:t>
      </w:r>
      <w:r>
        <w:rPr>
          <w:rFonts w:ascii="Arial" w:cs="Arial" w:eastAsia="Arial" w:hAnsi="Arial"/>
          <w:b w:val="false"/>
          <w:bCs w:val="false"/>
          <w:color w:val="1F4E79"/>
          <w:sz w:val="20"/>
          <w:szCs w:val="20"/>
        </w:rPr>
        <w:t xml:space="preserve">[92]</w:t>
      </w:r>
      <w:r>
        <w:rPr>
          <w:rFonts w:ascii="Arial" w:cs="Arial" w:eastAsia="Arial" w:hAnsi="Arial"/>
          <w:color w:val="222222"/>
          <w:sz w:val="20"/>
          <w:szCs w:val="20"/>
        </w:rPr>
        <w:t xml:space="preserve">. All studies have written consent, institute ethics approval, and pass rules registered before recording.</w:t>
      </w:r>
    </w:p>
    <w:p>
      <w:pPr>
        <w:pStyle w:val="Heading1"/>
        <w:keepNext/>
        <w:spacing w:after="200" w:before="480"/>
      </w:pPr>
      <w:r>
        <w:rPr>
          <w:rFonts w:ascii="Arial" w:cs="Arial" w:eastAsia="Arial" w:hAnsi="Arial"/>
        </w:rPr>
        <w:t xml:space="preserve">8. What we build for SIH</w:t>
      </w:r>
    </w:p>
    <w:p>
      <w:pPr>
        <w:pStyle w:val="Heading2"/>
        <w:keepNext/>
      </w:pPr>
      <w:r>
        <w:rPr>
          <w:rFonts w:ascii="Arial" w:cs="Arial" w:eastAsia="Arial" w:hAnsi="Arial"/>
        </w:rPr>
        <w:t xml:space="preserve">8.1 Flagship and demos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63"/>
        <w:gridCol w:w="3295"/>
        <w:gridCol w:w="3868"/>
      </w:tblGrid>
      <w:tr>
        <w:trPr>
          <w:cantSplit/>
          <w:tblHeader/>
        </w:trPr>
        <w:tc>
          <w:tcPr>
            <w:tcW w:type="dxa" w:w="186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Craft</w:t>
            </w:r>
          </w:p>
        </w:tc>
        <w:tc>
          <w:tcPr>
            <w:tcW w:type="dxa" w:w="329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Validated at SIH</w:t>
            </w:r>
          </w:p>
        </w:tc>
        <w:tc>
          <w:tcPr>
            <w:tcW w:type="dxa" w:w="386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Live at the finale</w:t>
            </w:r>
          </w:p>
        </w:tc>
      </w:tr>
      <w:tr>
        <w:trPr>
          <w:cantSplit/>
        </w:trPr>
        <w:tc>
          <w:tcPr>
            <w:tcW w:type="dxa" w:w="186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Tabla (flagship)</w:t>
            </w:r>
          </w:p>
        </w:tc>
        <w:tc>
          <w:tcPr>
            <w:tcW w:type="dxa" w:w="329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H1–H8, E0, E1, E2, E3, E4, E5</w:t>
            </w:r>
          </w:p>
        </w:tc>
        <w:tc>
          <w:tcPr>
            <w:tcW w:type="dxa" w:w="38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Judge plays with the sleeve; two masters' fingerprints with the E1 verdict; device-off score</w:t>
            </w:r>
          </w:p>
        </w:tc>
      </w:tr>
      <w:tr>
        <w:trPr>
          <w:cantSplit/>
        </w:trPr>
        <w:tc>
          <w:tcPr>
            <w:tcW w:type="dxa" w:w="186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Puppetry (demo)</w:t>
            </w:r>
          </w:p>
        </w:tc>
        <w:tc>
          <w:tcPr>
            <w:tcW w:type="dxa" w:w="329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E0, E1, E2, E4</w:t>
            </w:r>
          </w:p>
        </w:tc>
        <w:tc>
          <w:tcPr>
            <w:tcW w:type="dxa" w:w="386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Judge moves a Kathputli and feels the string-finger cues</w:t>
            </w:r>
          </w:p>
        </w:tc>
      </w:tr>
      <w:tr>
        <w:trPr>
          <w:cantSplit/>
        </w:trPr>
        <w:tc>
          <w:tcPr>
            <w:tcW w:type="dxa" w:w="186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Handloom (demo)</w:t>
            </w:r>
          </w:p>
        </w:tc>
        <w:tc>
          <w:tcPr>
            <w:tcW w:type="dxa" w:w="329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E0, E1</w:t>
            </w:r>
          </w:p>
        </w:tc>
        <w:tc>
          <w:tcPr>
            <w:tcW w:type="dxa" w:w="38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A weaver's recording replayed on the ghost arm; cloth evenness from a phone photo</w:t>
            </w:r>
          </w:p>
        </w:tc>
      </w:tr>
    </w:tbl>
    <w:p>
      <w:pPr>
        <w:spacing w:after="80"/>
      </w:pPr>
    </w:p>
    <w:p>
      <w:pPr>
        <w:pStyle w:val="Heading2"/>
        <w:keepNext/>
      </w:pPr>
      <w:r>
        <w:rPr>
          <w:rFonts w:ascii="Arial" w:cs="Arial" w:eastAsia="Arial" w:hAnsi="Arial"/>
        </w:rPr>
        <w:t xml:space="preserve">8.2 Three deliverables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49"/>
        <w:gridCol w:w="3725"/>
        <w:gridCol w:w="3152"/>
      </w:tblGrid>
      <w:tr>
        <w:trPr>
          <w:cantSplit/>
          <w:tblHeader/>
        </w:trPr>
        <w:tc>
          <w:tcPr>
            <w:tcW w:type="dxa" w:w="214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Deliverable</w:t>
            </w:r>
          </w:p>
        </w:tc>
        <w:tc>
          <w:tcPr>
            <w:tcW w:type="dxa" w:w="372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the judge experiences</w:t>
            </w:r>
          </w:p>
        </w:tc>
        <w:tc>
          <w:tcPr>
            <w:tcW w:type="dxa" w:w="315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Done when [Target]</w:t>
            </w:r>
          </w:p>
        </w:tc>
      </w:tr>
      <w:tr>
        <w:trPr>
          <w:cantSplit/>
        </w:trPr>
        <w:tc>
          <w:tcPr>
            <w:tcW w:type="dxa" w:w="214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1. Two sleeves and three tool kits</w:t>
            </w:r>
          </w:p>
        </w:tc>
        <w:tc>
          <w:tcPr>
            <w:tcW w:type="dxa" w:w="37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Wears a sleeve and feels finger and joint cues while performing</w:t>
            </w:r>
          </w:p>
        </w:tc>
        <w:tc>
          <w:tcPr>
            <w:tcW w:type="dxa" w:w="315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H1–H8 pass; E4 ≥ 90%</w:t>
            </w:r>
          </w:p>
        </w:tc>
      </w:tr>
      <w:tr>
        <w:trPr>
          <w:cantSplit/>
        </w:trPr>
        <w:tc>
          <w:tcPr>
            <w:tcW w:type="dxa" w:w="214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2. Proven fingerprints</w:t>
            </w:r>
          </w:p>
        </w:tc>
        <w:tc>
          <w:tcPr>
            <w:tcW w:type="dxa" w:w="372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Real masters' fingerprints with the confound-test verdict for each craft</w:t>
            </w:r>
          </w:p>
        </w:tc>
        <w:tc>
          <w:tcPr>
            <w:tcW w:type="dxa" w:w="315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E0 and E1 reported, pass or fail</w:t>
            </w:r>
          </w:p>
        </w:tc>
      </w:tr>
      <w:tr>
        <w:trPr>
          <w:cantSplit/>
        </w:trPr>
        <w:tc>
          <w:tcPr>
            <w:tcW w:type="dxa" w:w="214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3. Device-off learning</w:t>
            </w:r>
          </w:p>
        </w:tc>
        <w:tc>
          <w:tcPr>
            <w:tcW w:type="dxa" w:w="37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Practises; cues fade; performs alone; sees the unaided score and the E5 result</w:t>
            </w:r>
          </w:p>
        </w:tc>
        <w:tc>
          <w:tcPr>
            <w:tcW w:type="dxa" w:w="315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Fade runs end to end; E5 reported with its CI</w:t>
            </w:r>
          </w:p>
        </w:tc>
      </w:tr>
    </w:tbl>
    <w:p>
      <w:pPr>
        <w:spacing w:after="80"/>
      </w:pPr>
    </w:p>
    <w:p>
      <w:pPr>
        <w:pStyle w:val="Heading2"/>
        <w:keepNext/>
      </w:pPr>
      <w:r>
        <w:rPr>
          <w:rFonts w:ascii="Arial" w:cs="Arial" w:eastAsia="Arial" w:hAnsi="Arial"/>
        </w:rPr>
        <w:t xml:space="preserve">8.3 Bill of materials (two sleeves, three tool kits)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967"/>
        <w:gridCol w:w="2257"/>
        <w:gridCol w:w="1289"/>
      </w:tblGrid>
      <w:tr>
        <w:trPr>
          <w:cantSplit/>
          <w:tblHeader/>
        </w:trPr>
        <w:tc>
          <w:tcPr>
            <w:tcW w:type="dxa" w:w="451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keepNext/>
              <w:spacing w:after="30" w:line="250"/>
            </w:pPr>
            <w:r>
              <w:rPr>
                <w:rFonts w:ascii="Arial" w:cs="Arial" w:eastAsia="Arial" w:hAnsi="Arial"/>
                <w:b/>
                <w:bCs/>
                <w:color w:val="FFFFFF"/>
                <w:sz w:val="15"/>
                <w:szCs w:val="15"/>
              </w:rPr>
              <w:t xml:space="preserve">Item</w:t>
            </w:r>
          </w:p>
        </w:tc>
        <w:tc>
          <w:tcPr>
            <w:tcW w:type="dxa" w:w="96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keepNext/>
              <w:spacing w:after="30" w:line="250"/>
            </w:pPr>
            <w:r>
              <w:rPr>
                <w:rFonts w:ascii="Arial" w:cs="Arial" w:eastAsia="Arial" w:hAnsi="Arial"/>
                <w:b/>
                <w:bCs/>
                <w:color w:val="FFFFFF"/>
                <w:sz w:val="15"/>
                <w:szCs w:val="15"/>
              </w:rPr>
              <w:t xml:space="preserve">Qty</w:t>
            </w:r>
          </w:p>
        </w:tc>
        <w:tc>
          <w:tcPr>
            <w:tcW w:type="dxa" w:w="225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keepNext/>
              <w:spacing w:after="30" w:line="250"/>
            </w:pPr>
            <w:r>
              <w:rPr>
                <w:rFonts w:ascii="Arial" w:cs="Arial" w:eastAsia="Arial" w:hAnsi="Arial"/>
                <w:b/>
                <w:bCs/>
                <w:color w:val="FFFFFF"/>
                <w:sz w:val="15"/>
                <w:szCs w:val="15"/>
              </w:rPr>
              <w:t xml:space="preserve">Approx. ₹ [Estimate]</w:t>
            </w:r>
          </w:p>
        </w:tc>
        <w:tc>
          <w:tcPr>
            <w:tcW w:type="dxa" w:w="128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keepNext/>
              <w:spacing w:after="30" w:line="250"/>
            </w:pPr>
            <w:r>
              <w:rPr>
                <w:rFonts w:ascii="Arial" w:cs="Arial" w:eastAsia="Arial" w:hAnsi="Arial"/>
                <w:b/>
                <w:bCs/>
                <w:color w:val="FFFFFF"/>
                <w:sz w:val="15"/>
                <w:szCs w:val="15"/>
              </w:rPr>
              <w:t xml:space="preserve">Source</w:t>
            </w:r>
          </w:p>
        </w:tc>
      </w:tr>
      <w:tr>
        <w:trPr>
          <w:cantSplit/>
        </w:trPr>
        <w:tc>
          <w:tcPr>
            <w:tcW w:type="dxa" w:w="451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BMI270 IMUs (US$1.26 each at volume)</w:t>
            </w:r>
          </w:p>
        </w:tc>
        <w:tc>
          <w:tcPr>
            <w:tcW w:type="dxa" w:w="96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18</w:t>
            </w:r>
          </w:p>
        </w:tc>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2,000–3,000</w:t>
            </w:r>
          </w:p>
        </w:tc>
        <w:tc>
          <w:tcPr>
            <w:tcW w:type="dxa" w:w="128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b w:val="false"/>
                <w:bCs w:val="false"/>
                <w:color w:val="1F4E79"/>
                <w:sz w:val="15"/>
                <w:szCs w:val="15"/>
              </w:rPr>
              <w:t xml:space="preserve">[52]</w:t>
            </w:r>
          </w:p>
        </w:tc>
      </w:tr>
      <w:tr>
        <w:trPr>
          <w:cantSplit/>
        </w:trPr>
        <w:tc>
          <w:tcPr>
            <w:tcW w:type="dxa" w:w="451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DRV2605L drivers (US$0.72 each at volume)</w:t>
            </w:r>
          </w:p>
        </w:tc>
        <w:tc>
          <w:tcPr>
            <w:tcW w:type="dxa" w:w="96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16</w:t>
            </w:r>
          </w:p>
        </w:tc>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1,000–2,000</w:t>
            </w:r>
          </w:p>
        </w:tc>
        <w:tc>
          <w:tcPr>
            <w:tcW w:type="dxa" w:w="128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b w:val="false"/>
                <w:bCs w:val="false"/>
                <w:color w:val="1F4E79"/>
                <w:sz w:val="15"/>
                <w:szCs w:val="15"/>
              </w:rPr>
              <w:t xml:space="preserve">[52]</w:t>
            </w:r>
          </w:p>
        </w:tc>
      </w:tr>
      <w:tr>
        <w:trPr>
          <w:cantSplit/>
        </w:trPr>
        <w:tc>
          <w:tcPr>
            <w:tcW w:type="dxa" w:w="451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TCA9548A switches</w:t>
            </w:r>
          </w:p>
        </w:tc>
        <w:tc>
          <w:tcPr>
            <w:tcW w:type="dxa" w:w="96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4</w:t>
            </w:r>
          </w:p>
        </w:tc>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300–600</w:t>
            </w:r>
          </w:p>
        </w:tc>
        <w:tc>
          <w:tcPr>
            <w:tcW w:type="dxa" w:w="128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b w:val="false"/>
                <w:bCs w:val="false"/>
                <w:color w:val="1F4E79"/>
                <w:sz w:val="15"/>
                <w:szCs w:val="15"/>
              </w:rPr>
              <w:t xml:space="preserve">[80]</w:t>
            </w:r>
          </w:p>
        </w:tc>
      </w:tr>
      <w:tr>
        <w:trPr>
          <w:cantSplit/>
        </w:trPr>
        <w:tc>
          <w:tcPr>
            <w:tcW w:type="dxa" w:w="451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ESP32-S3-MINI-1 modules (hubs) and ESP32 boards (tool nodes, receiver)</w:t>
            </w:r>
          </w:p>
        </w:tc>
        <w:tc>
          <w:tcPr>
            <w:tcW w:type="dxa" w:w="96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2 + 4</w:t>
            </w:r>
          </w:p>
        </w:tc>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2,500–3,500</w:t>
            </w:r>
          </w:p>
        </w:tc>
        <w:tc>
          <w:tcPr>
            <w:tcW w:type="dxa" w:w="128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b w:val="false"/>
                <w:bCs w:val="false"/>
                <w:color w:val="1F4E79"/>
                <w:sz w:val="15"/>
                <w:szCs w:val="15"/>
              </w:rPr>
              <w:t xml:space="preserve">[81]</w:t>
            </w:r>
          </w:p>
        </w:tc>
      </w:tr>
      <w:tr>
        <w:trPr>
          <w:cantSplit/>
        </w:trPr>
        <w:tc>
          <w:tcPr>
            <w:tcW w:type="dxa" w:w="451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Coin LRAs 8 mm (US$5.15 at 1–9 units; cheaper in volume)</w:t>
            </w:r>
          </w:p>
        </w:tc>
        <w:tc>
          <w:tcPr>
            <w:tcW w:type="dxa" w:w="96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16</w:t>
            </w:r>
          </w:p>
        </w:tc>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3,000–7,000</w:t>
            </w:r>
          </w:p>
        </w:tc>
        <w:tc>
          <w:tcPr>
            <w:tcW w:type="dxa" w:w="128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b w:val="false"/>
                <w:bCs w:val="false"/>
                <w:color w:val="1F4E79"/>
                <w:sz w:val="15"/>
                <w:szCs w:val="15"/>
              </w:rPr>
              <w:t xml:space="preserve">[52, 84]</w:t>
            </w:r>
          </w:p>
        </w:tc>
      </w:tr>
      <w:tr>
        <w:trPr>
          <w:cantSplit/>
        </w:trPr>
        <w:tc>
          <w:tcPr>
            <w:tcW w:type="dxa" w:w="451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LiPo 1,000 mAh cells, MCP73831 chargers, microSD cards</w:t>
            </w:r>
          </w:p>
        </w:tc>
        <w:tc>
          <w:tcPr>
            <w:tcW w:type="dxa" w:w="96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2 sets</w:t>
            </w:r>
          </w:p>
        </w:tc>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1,500–2,200</w:t>
            </w:r>
          </w:p>
        </w:tc>
        <w:tc>
          <w:tcPr>
            <w:tcW w:type="dxa" w:w="128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b w:val="false"/>
                <w:bCs w:val="false"/>
                <w:color w:val="1F4E79"/>
                <w:sz w:val="15"/>
                <w:szCs w:val="15"/>
              </w:rPr>
              <w:t xml:space="preserve">[85]</w:t>
            </w:r>
          </w:p>
        </w:tc>
      </w:tr>
      <w:tr>
        <w:trPr>
          <w:cantSplit/>
        </w:trPr>
        <w:tc>
          <w:tcPr>
            <w:tcW w:type="dxa" w:w="451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Circuit boards made and assembled by a PCB service (ring, joint, hand and hub boards)</w:t>
            </w:r>
          </w:p>
        </w:tc>
        <w:tc>
          <w:tcPr>
            <w:tcW w:type="dxa" w:w="96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 20 boards</w:t>
            </w:r>
          </w:p>
        </w:tc>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4,000–6,000</w:t>
            </w:r>
          </w:p>
        </w:tc>
        <w:tc>
          <w:tcPr>
            <w:tcW w:type="dxa" w:w="128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w:t>
            </w:r>
          </w:p>
        </w:tc>
      </w:tr>
      <w:tr>
        <w:trPr>
          <w:cantSplit/>
        </w:trPr>
        <w:tc>
          <w:tcPr>
            <w:tcW w:type="dxa" w:w="451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3D-printed PA12 housings, silicone straps, fabric sleeves, flat cables</w:t>
            </w:r>
          </w:p>
        </w:tc>
        <w:tc>
          <w:tcPr>
            <w:tcW w:type="dxa" w:w="96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2 sleeves</w:t>
            </w:r>
          </w:p>
        </w:tc>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3,000–4,000</w:t>
            </w:r>
          </w:p>
        </w:tc>
        <w:tc>
          <w:tcPr>
            <w:tcW w:type="dxa" w:w="128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w:t>
            </w:r>
          </w:p>
        </w:tc>
      </w:tr>
      <w:tr>
        <w:trPr>
          <w:cantSplit/>
        </w:trPr>
        <w:tc>
          <w:tcPr>
            <w:tcW w:type="dxa" w:w="451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Tool kits: piezo discs and base unit; beater IMU and treadle switches; puppet pod</w:t>
            </w:r>
          </w:p>
        </w:tc>
        <w:tc>
          <w:tcPr>
            <w:tcW w:type="dxa" w:w="96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3</w:t>
            </w:r>
          </w:p>
        </w:tc>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color w:val="222222"/>
                <w:sz w:val="15"/>
                <w:szCs w:val="15"/>
              </w:rPr>
              <w:t xml:space="preserve">2,500–3,700</w:t>
            </w:r>
          </w:p>
        </w:tc>
        <w:tc>
          <w:tcPr>
            <w:tcW w:type="dxa" w:w="128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keepNext/>
              <w:spacing w:after="30" w:line="250"/>
            </w:pPr>
            <w:r>
              <w:rPr>
                <w:rFonts w:ascii="Arial" w:cs="Arial" w:eastAsia="Arial" w:hAnsi="Arial"/>
                <w:b w:val="false"/>
                <w:bCs w:val="false"/>
                <w:color w:val="1F4E79"/>
                <w:sz w:val="15"/>
                <w:szCs w:val="15"/>
              </w:rPr>
              <w:t xml:space="preserve">[86]</w:t>
            </w:r>
          </w:p>
        </w:tc>
      </w:tr>
      <w:tr>
        <w:trPr>
          <w:cantSplit/>
        </w:trPr>
        <w:tc>
          <w:tcPr>
            <w:tcW w:type="dxa" w:w="4513"/>
            <w:tcBorders>
              <w:top w:val="single" w:color="D9CFC0" w:sz="4"/>
              <w:left w:val="single" w:color="D9CFC0" w:sz="4"/>
              <w:bottom w:val="single" w:color="D9CFC0" w:sz="4"/>
              <w:right w:val="single" w:color="D9CFC0" w:sz="4"/>
            </w:tcBorders>
            <w:shd w:fill="EAF1F8" w:color="auto" w:val="clear"/>
            <w:tcMar>
              <w:top w:type="dxa" w:w="60"/>
              <w:left w:type="dxa" w:w="90"/>
              <w:bottom w:type="dxa" w:w="60"/>
              <w:right w:type="dxa" w:w="90"/>
            </w:tcMar>
            <w:vAlign w:val="top"/>
          </w:tcPr>
          <w:p>
            <w:pPr>
              <w:keepNext w:val="false"/>
              <w:spacing w:after="30" w:line="250"/>
            </w:pPr>
            <w:r>
              <w:rPr>
                <w:rFonts w:ascii="Arial" w:cs="Arial" w:eastAsia="Arial" w:hAnsi="Arial"/>
                <w:b/>
                <w:bCs/>
                <w:color w:val="222222"/>
                <w:sz w:val="15"/>
                <w:szCs w:val="15"/>
              </w:rPr>
              <w:t xml:space="preserve">Total prototype</w:t>
            </w:r>
          </w:p>
        </w:tc>
        <w:tc>
          <w:tcPr>
            <w:tcW w:type="dxa" w:w="967"/>
            <w:tcBorders>
              <w:top w:val="single" w:color="D9CFC0" w:sz="4"/>
              <w:left w:val="single" w:color="D9CFC0" w:sz="4"/>
              <w:bottom w:val="single" w:color="D9CFC0" w:sz="4"/>
              <w:right w:val="single" w:color="D9CFC0" w:sz="4"/>
            </w:tcBorders>
            <w:shd w:fill="EAF1F8" w:color="auto" w:val="clear"/>
            <w:tcMar>
              <w:top w:type="dxa" w:w="60"/>
              <w:left w:type="dxa" w:w="90"/>
              <w:bottom w:type="dxa" w:w="60"/>
              <w:right w:type="dxa" w:w="90"/>
            </w:tcMar>
            <w:vAlign w:val="top"/>
          </w:tcPr>
          <w:p>
            <w:pPr>
              <w:keepNext w:val="false"/>
              <w:spacing w:after="30" w:line="250"/>
            </w:pPr>
          </w:p>
        </w:tc>
        <w:tc>
          <w:tcPr>
            <w:tcW w:type="dxa" w:w="2257"/>
            <w:tcBorders>
              <w:top w:val="single" w:color="D9CFC0" w:sz="4"/>
              <w:left w:val="single" w:color="D9CFC0" w:sz="4"/>
              <w:bottom w:val="single" w:color="D9CFC0" w:sz="4"/>
              <w:right w:val="single" w:color="D9CFC0" w:sz="4"/>
            </w:tcBorders>
            <w:shd w:fill="EAF1F8" w:color="auto" w:val="clear"/>
            <w:tcMar>
              <w:top w:type="dxa" w:w="60"/>
              <w:left w:type="dxa" w:w="90"/>
              <w:bottom w:type="dxa" w:w="60"/>
              <w:right w:type="dxa" w:w="90"/>
            </w:tcMar>
            <w:vAlign w:val="top"/>
          </w:tcPr>
          <w:p>
            <w:pPr>
              <w:keepNext w:val="false"/>
              <w:spacing w:after="30" w:line="250"/>
            </w:pPr>
            <w:r>
              <w:rPr>
                <w:rFonts w:ascii="Arial" w:cs="Arial" w:eastAsia="Arial" w:hAnsi="Arial"/>
                <w:b/>
                <w:bCs/>
                <w:color w:val="222222"/>
                <w:sz w:val="15"/>
                <w:szCs w:val="15"/>
              </w:rPr>
              <w:t xml:space="preserve">≈ 20,000–32,000</w:t>
            </w:r>
          </w:p>
        </w:tc>
        <w:tc>
          <w:tcPr>
            <w:tcW w:type="dxa" w:w="1289"/>
            <w:tcBorders>
              <w:top w:val="single" w:color="D9CFC0" w:sz="4"/>
              <w:left w:val="single" w:color="D9CFC0" w:sz="4"/>
              <w:bottom w:val="single" w:color="D9CFC0" w:sz="4"/>
              <w:right w:val="single" w:color="D9CFC0" w:sz="4"/>
            </w:tcBorders>
            <w:shd w:fill="EAF1F8" w:color="auto" w:val="clear"/>
            <w:tcMar>
              <w:top w:type="dxa" w:w="60"/>
              <w:left w:type="dxa" w:w="90"/>
              <w:bottom w:type="dxa" w:w="60"/>
              <w:right w:type="dxa" w:w="90"/>
            </w:tcMar>
            <w:vAlign w:val="top"/>
          </w:tcPr>
          <w:p>
            <w:pPr>
              <w:keepNext w:val="false"/>
              <w:spacing w:after="30" w:line="250"/>
            </w:pPr>
          </w:p>
        </w:tc>
      </w:tr>
    </w:tbl>
    <w:p>
      <w:pPr>
        <w:spacing w:after="80"/>
      </w:pPr>
    </w:p>
    <w:p>
      <w:pPr>
        <w:spacing w:after="120" w:before="0" w:line="276"/>
        <w:jc w:val="left"/>
      </w:pPr>
      <w:r>
        <w:rPr>
          <w:rFonts w:ascii="Arial" w:cs="Arial" w:eastAsia="Arial" w:hAnsi="Arial"/>
          <w:color w:val="222222"/>
          <w:sz w:val="20"/>
          <w:szCs w:val="20"/>
        </w:rPr>
        <w:t xml:space="preserve">US$ prices converted at about ₹85 per US$. A whole kit costs less than one Teslasuit (about US$5,000) by a factor of more than ten </w:t>
      </w:r>
      <w:r>
        <w:rPr>
          <w:rFonts w:ascii="Arial" w:cs="Arial" w:eastAsia="Arial" w:hAnsi="Arial"/>
          <w:b w:val="false"/>
          <w:bCs w:val="false"/>
          <w:color w:val="1F4E79"/>
          <w:sz w:val="20"/>
          <w:szCs w:val="20"/>
        </w:rPr>
        <w:t xml:space="preserve">[64]</w:t>
      </w:r>
      <w:r>
        <w:rPr>
          <w:rFonts w:ascii="Arial" w:cs="Arial" w:eastAsia="Arial" w:hAnsi="Arial"/>
          <w:color w:val="222222"/>
          <w:sz w:val="20"/>
          <w:szCs w:val="20"/>
        </w:rPr>
        <w:t xml:space="preserve">; at volume, one sleeve could cost about ₹5,000–7,000 [Target].</w:t>
      </w:r>
    </w:p>
    <w:p>
      <w:pPr>
        <w:pStyle w:val="Heading1"/>
        <w:keepNext/>
        <w:spacing w:after="200" w:before="480"/>
      </w:pPr>
      <w:r>
        <w:rPr>
          <w:rFonts w:ascii="Arial" w:cs="Arial" w:eastAsia="Arial" w:hAnsi="Arial"/>
        </w:rPr>
        <w:t xml:space="preserve">9. Evidence from published research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69"/>
        <w:gridCol w:w="3112"/>
        <w:gridCol w:w="1245"/>
      </w:tblGrid>
      <w:tr>
        <w:trPr>
          <w:cantSplit/>
          <w:tblHeader/>
        </w:trPr>
        <w:tc>
          <w:tcPr>
            <w:tcW w:type="dxa" w:w="466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Finding</w:t>
            </w:r>
          </w:p>
        </w:tc>
        <w:tc>
          <w:tcPr>
            <w:tcW w:type="dxa" w:w="311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Key number</w:t>
            </w:r>
          </w:p>
        </w:tc>
        <w:tc>
          <w:tcPr>
            <w:tcW w:type="dxa" w:w="124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Source</w:t>
            </w:r>
          </w:p>
        </w:tc>
      </w:tr>
      <w:tr>
        <w:trPr>
          <w:cantSplit/>
        </w:trPr>
        <w:tc>
          <w:tcPr>
            <w:tcW w:type="dxa" w:w="466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Joint-level vibration suit while copying a teacher</w:t>
            </w:r>
          </w:p>
        </w:tc>
        <w:tc>
          <w:tcPr>
            <w:tcW w:type="dxa" w:w="311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Error down up to 27%; learning up to 23% faster</w:t>
            </w:r>
          </w:p>
        </w:tc>
        <w:tc>
          <w:tcPr>
            <w:tcW w:type="dxa" w:w="124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[59]</w:t>
            </w:r>
          </w:p>
        </w:tc>
      </w:tr>
      <w:tr>
        <w:trPr>
          <w:cantSplit/>
        </w:trPr>
        <w:tc>
          <w:tcPr>
            <w:tcW w:type="dxa" w:w="466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Haptic guidance added to audio training (drumming task)</w:t>
            </w:r>
          </w:p>
        </w:tc>
        <w:tc>
          <w:tcPr>
            <w:tcW w:type="dxa" w:w="311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−17% loudness error; −18% early timing error</w:t>
            </w:r>
          </w:p>
        </w:tc>
        <w:tc>
          <w:tcPr>
            <w:tcW w:type="dxa" w:w="124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[1]</w:t>
            </w:r>
          </w:p>
        </w:tc>
      </w:tr>
      <w:tr>
        <w:trPr>
          <w:cantSplit/>
        </w:trPr>
        <w:tc>
          <w:tcPr>
            <w:tcW w:type="dxa" w:w="466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Haptic vs visual training of a movement</w:t>
            </w:r>
          </w:p>
        </w:tc>
        <w:tc>
          <w:tcPr>
            <w:tcW w:type="dxa" w:w="311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Timing learned better from haptics</w:t>
            </w:r>
          </w:p>
        </w:tc>
        <w:tc>
          <w:tcPr>
            <w:tcW w:type="dxa" w:w="124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[3]</w:t>
            </w:r>
          </w:p>
        </w:tc>
      </w:tr>
      <w:tr>
        <w:trPr>
          <w:cantSplit/>
        </w:trPr>
        <w:tc>
          <w:tcPr>
            <w:tcW w:type="dxa" w:w="466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Beginners learned drum patterns from vibration alone</w:t>
            </w:r>
          </w:p>
        </w:tc>
        <w:tc>
          <w:tcPr>
            <w:tcW w:type="dxa" w:w="311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Haptic Drum Kit</w:t>
            </w:r>
          </w:p>
        </w:tc>
        <w:tc>
          <w:tcPr>
            <w:tcW w:type="dxa" w:w="124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[4]</w:t>
            </w:r>
          </w:p>
        </w:tc>
      </w:tr>
      <w:tr>
        <w:trPr>
          <w:cantSplit/>
        </w:trPr>
        <w:tc>
          <w:tcPr>
            <w:tcW w:type="dxa" w:w="466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Violin bowing with vibration feedback</w:t>
            </w:r>
          </w:p>
        </w:tc>
        <w:tc>
          <w:tcPr>
            <w:tcW w:type="dxa" w:w="311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Improved; half kept the gain without feedback</w:t>
            </w:r>
          </w:p>
        </w:tc>
        <w:tc>
          <w:tcPr>
            <w:tcW w:type="dxa" w:w="124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[6]</w:t>
            </w:r>
          </w:p>
        </w:tc>
      </w:tr>
      <w:tr>
        <w:trPr>
          <w:cantSplit/>
        </w:trPr>
        <w:tc>
          <w:tcPr>
            <w:tcW w:type="dxa" w:w="466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Feeling a drum and strength cue on the body</w:t>
            </w:r>
          </w:p>
        </w:tc>
        <w:tc>
          <w:tcPr>
            <w:tcW w:type="dxa" w:w="311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96.18% recognised</w:t>
            </w:r>
          </w:p>
        </w:tc>
        <w:tc>
          <w:tcPr>
            <w:tcW w:type="dxa" w:w="124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[7]</w:t>
            </w:r>
          </w:p>
        </w:tc>
      </w:tr>
      <w:tr>
        <w:trPr>
          <w:cantSplit/>
        </w:trPr>
        <w:tc>
          <w:tcPr>
            <w:tcW w:type="dxa" w:w="466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Piano: vibration vs visual cues (n = 14)</w:t>
            </w:r>
          </w:p>
        </w:tc>
        <w:tc>
          <w:tcPr>
            <w:tcW w:type="dxa" w:w="311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Timing error 12.1% vs 22.3%</w:t>
            </w:r>
          </w:p>
        </w:tc>
        <w:tc>
          <w:tcPr>
            <w:tcW w:type="dxa" w:w="124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[8]</w:t>
            </w:r>
          </w:p>
        </w:tc>
      </w:tr>
      <w:tr>
        <w:trPr>
          <w:cantSplit/>
        </w:trPr>
        <w:tc>
          <w:tcPr>
            <w:tcW w:type="dxa" w:w="466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Feedback on half the trials vs every trial</w:t>
            </w:r>
          </w:p>
        </w:tc>
        <w:tc>
          <w:tcPr>
            <w:tcW w:type="dxa" w:w="311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Better retention</w:t>
            </w:r>
          </w:p>
        </w:tc>
        <w:tc>
          <w:tcPr>
            <w:tcW w:type="dxa" w:w="124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[14]</w:t>
            </w:r>
          </w:p>
        </w:tc>
      </w:tr>
      <w:tr>
        <w:trPr>
          <w:cantSplit/>
        </w:trPr>
        <w:tc>
          <w:tcPr>
            <w:tcW w:type="dxa" w:w="466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Low-cost orientation filter</w:t>
            </w:r>
          </w:p>
        </w:tc>
        <w:tc>
          <w:tcPr>
            <w:tcW w:type="dxa" w:w="311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Below 0.8° static, 1.7° dynamic</w:t>
            </w:r>
          </w:p>
        </w:tc>
        <w:tc>
          <w:tcPr>
            <w:tcW w:type="dxa" w:w="124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[61]</w:t>
            </w:r>
          </w:p>
        </w:tc>
      </w:tr>
      <w:tr>
        <w:trPr>
          <w:cantSplit/>
        </w:trPr>
        <w:tc>
          <w:tcPr>
            <w:tcW w:type="dxa" w:w="466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Open-palm glove, fingertips free</w:t>
            </w:r>
          </w:p>
        </w:tc>
        <w:tc>
          <w:tcPr>
            <w:tcW w:type="dxa" w:w="311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Finger error 1.25°</w:t>
            </w:r>
          </w:p>
        </w:tc>
        <w:tc>
          <w:tcPr>
            <w:tcW w:type="dxa" w:w="124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[60]</w:t>
            </w:r>
          </w:p>
        </w:tc>
      </w:tr>
    </w:tbl>
    <w:p>
      <w:pPr>
        <w:spacing w:after="80"/>
      </w:pPr>
    </w:p>
    <w:p>
      <w:pPr>
        <w:pStyle w:val="Heading3"/>
        <w:keepNext/>
      </w:pPr>
      <w:r>
        <w:rPr>
          <w:rFonts w:ascii="Arial" w:cs="Arial" w:eastAsia="Arial" w:hAnsi="Arial"/>
        </w:rPr>
        <w:t xml:space="preserve">What we will not claim</w:t>
      </w:r>
    </w:p>
    <w:p>
      <w:pPr>
        <w:pStyle w:val="ListParagraph"/>
        <w:numPr>
          <w:ilvl w:val="0"/>
          <w:numId w:val="2"/>
        </w:numPr>
        <w:spacing w:after="60" w:line="268"/>
      </w:pPr>
      <w:r>
        <w:rPr>
          <w:rFonts w:ascii="Arial" w:cs="Arial" w:eastAsia="Arial" w:hAnsi="Arial"/>
          <w:color w:val="222222"/>
          <w:sz w:val="20"/>
          <w:szCs w:val="20"/>
        </w:rPr>
        <w:t xml:space="preserve">That PARAMPARA transmits a master's 'soul'. We measure and teach </w:t>
      </w:r>
      <w:r>
        <w:rPr>
          <w:rFonts w:ascii="Arial" w:cs="Arial" w:eastAsia="Arial" w:hAnsi="Arial"/>
          <w:b/>
          <w:bCs/>
          <w:color w:val="222222"/>
          <w:sz w:val="20"/>
          <w:szCs w:val="20"/>
        </w:rPr>
        <w:t xml:space="preserve">observable</w:t>
      </w:r>
      <w:r>
        <w:rPr>
          <w:rFonts w:ascii="Arial" w:cs="Arial" w:eastAsia="Arial" w:hAnsi="Arial"/>
          <w:color w:val="222222"/>
          <w:sz w:val="20"/>
          <w:szCs w:val="20"/>
        </w:rPr>
        <w:t xml:space="preserve"> parts of their skill.</w:t>
      </w:r>
    </w:p>
    <w:p>
      <w:pPr>
        <w:pStyle w:val="ListParagraph"/>
        <w:numPr>
          <w:ilvl w:val="0"/>
          <w:numId w:val="2"/>
        </w:numPr>
        <w:spacing w:after="60" w:line="268"/>
      </w:pPr>
      <w:r>
        <w:rPr>
          <w:rFonts w:ascii="Arial" w:cs="Arial" w:eastAsia="Arial" w:hAnsi="Arial"/>
          <w:color w:val="222222"/>
          <w:sz w:val="20"/>
          <w:szCs w:val="20"/>
        </w:rPr>
        <w:t xml:space="preserve">That it replaces the master. The master records, approves and controls.</w:t>
      </w:r>
    </w:p>
    <w:p>
      <w:pPr>
        <w:pStyle w:val="ListParagraph"/>
        <w:numPr>
          <w:ilvl w:val="0"/>
          <w:numId w:val="2"/>
        </w:numPr>
        <w:spacing w:after="60" w:line="268"/>
      </w:pPr>
      <w:r>
        <w:rPr>
          <w:rFonts w:ascii="Arial" w:cs="Arial" w:eastAsia="Arial" w:hAnsi="Arial"/>
          <w:color w:val="222222"/>
          <w:sz w:val="20"/>
          <w:szCs w:val="20"/>
        </w:rPr>
        <w:t xml:space="preserve">That a 16-person pilot proves long-term learning, or that the sleeve reduces weavers' pain.</w:t>
      </w:r>
    </w:p>
    <w:p>
      <w:pPr>
        <w:pStyle w:val="ListParagraph"/>
        <w:numPr>
          <w:ilvl w:val="0"/>
          <w:numId w:val="2"/>
        </w:numPr>
        <w:spacing w:after="60" w:line="268"/>
      </w:pPr>
      <w:r>
        <w:rPr>
          <w:rFonts w:ascii="Arial" w:cs="Arial" w:eastAsia="Arial" w:hAnsi="Arial"/>
          <w:color w:val="222222"/>
          <w:sz w:val="20"/>
          <w:szCs w:val="20"/>
        </w:rPr>
        <w:t xml:space="preserve">That the drummer test proves a tabla fingerprint. It shows the method works on real performers and calibrates our risk.</w:t>
      </w:r>
    </w:p>
    <w:p>
      <w:pPr>
        <w:pStyle w:val="Heading1"/>
        <w:keepNext/>
        <w:spacing w:after="200" w:before="480"/>
      </w:pPr>
      <w:r>
        <w:rPr>
          <w:rFonts w:ascii="Arial" w:cs="Arial" w:eastAsia="Arial" w:hAnsi="Arial"/>
        </w:rPr>
        <w:t xml:space="preserve">10. Feasibility</w:t>
      </w:r>
    </w:p>
    <w:p>
      <w:pPr>
        <w:pStyle w:val="Heading2"/>
        <w:keepNext/>
      </w:pPr>
      <w:r>
        <w:rPr>
          <w:rFonts w:ascii="Arial" w:cs="Arial" w:eastAsia="Arial" w:hAnsi="Arial"/>
        </w:rPr>
        <w:t xml:space="preserve">10.1 Eight-week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36"/>
        <w:gridCol w:w="4735"/>
        <w:gridCol w:w="3255"/>
      </w:tblGrid>
      <w:tr>
        <w:trPr>
          <w:cantSplit/>
          <w:tblHeader/>
        </w:trPr>
        <w:tc>
          <w:tcPr>
            <w:tcW w:type="dxa" w:w="103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Week</w:t>
            </w:r>
          </w:p>
        </w:tc>
        <w:tc>
          <w:tcPr>
            <w:tcW w:type="dxa" w:w="473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Build and record</w:t>
            </w:r>
          </w:p>
        </w:tc>
        <w:tc>
          <w:tcPr>
            <w:tcW w:type="dxa" w:w="325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Proof produced</w:t>
            </w:r>
          </w:p>
        </w:tc>
      </w:tr>
      <w:tr>
        <w:trPr>
          <w:cantSplit/>
        </w:trPr>
        <w:tc>
          <w:tcPr>
            <w:tcW w:type="dxa" w:w="103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1</w:t>
            </w:r>
          </w:p>
        </w:tc>
        <w:tc>
          <w:tcPr>
            <w:tcW w:type="dxa" w:w="473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Order boards from a PCB assembly service; print housings; first sleeve on breakout boards. Partner outreach (Appendix A); ethics application; pass rules registered.</w:t>
            </w:r>
          </w:p>
        </w:tc>
        <w:tc>
          <w:tcPr>
            <w:tcW w:type="dxa" w:w="325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H1 on breakout boards</w:t>
            </w:r>
          </w:p>
        </w:tc>
      </w:tr>
      <w:tr>
        <w:trPr>
          <w:cantSplit/>
        </w:trPr>
        <w:tc>
          <w:tcPr>
            <w:tcW w:type="dxa" w:w="103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2</w:t>
            </w:r>
          </w:p>
        </w:tc>
        <w:tc>
          <w:tcPr>
            <w:tcW w:type="dxa" w:w="473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Hub firmware: two buses, FIFO reads, motors, microSD, radio; tabla kit</w:t>
            </w:r>
          </w:p>
        </w:tc>
        <w:tc>
          <w:tcPr>
            <w:tcW w:type="dxa" w:w="325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H2, H3, H8</w:t>
            </w:r>
          </w:p>
        </w:tc>
      </w:tr>
      <w:tr>
        <w:trPr>
          <w:cantSplit/>
        </w:trPr>
        <w:tc>
          <w:tcPr>
            <w:tcW w:type="dxa" w:w="103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3</w:t>
            </w:r>
          </w:p>
        </w:tc>
        <w:tc>
          <w:tcPr>
            <w:tcW w:type="dxa" w:w="473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Assembled boards arrive (fallback: breakout boards in larger rings); both sleeves built</w:t>
            </w:r>
          </w:p>
        </w:tc>
        <w:tc>
          <w:tcPr>
            <w:tcW w:type="dxa" w:w="325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H4–H7; E2 and E4 on volunteers</w:t>
            </w:r>
          </w:p>
        </w:tc>
      </w:tr>
      <w:tr>
        <w:trPr>
          <w:cantSplit/>
        </w:trPr>
        <w:tc>
          <w:tcPr>
            <w:tcW w:type="dxa" w:w="103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4</w:t>
            </w:r>
          </w:p>
        </w:tc>
        <w:tc>
          <w:tcPr>
            <w:tcW w:type="dxa" w:w="473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Fingerprint pipeline and ghost arm; tabla masters, day 1</w:t>
            </w:r>
          </w:p>
        </w:tc>
        <w:tc>
          <w:tcPr>
            <w:tcW w:type="dxa" w:w="325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E0 (tabla); E1 day 1</w:t>
            </w:r>
          </w:p>
        </w:tc>
      </w:tr>
      <w:tr>
        <w:trPr>
          <w:cantSplit/>
        </w:trPr>
        <w:tc>
          <w:tcPr>
            <w:tcW w:type="dxa" w:w="103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5</w:t>
            </w:r>
          </w:p>
        </w:tc>
        <w:tc>
          <w:tcPr>
            <w:tcW w:type="dxa" w:w="473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Tabla masters, day 2 (instruments swapped, sleeve re-fitted); puppeteers, days 1–2</w:t>
            </w:r>
          </w:p>
        </w:tc>
        <w:tc>
          <w:tcPr>
            <w:tcW w:type="dxa" w:w="325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E1 verdict (tabla); E0 and E1 (puppetry); E3</w:t>
            </w:r>
          </w:p>
        </w:tc>
      </w:tr>
      <w:tr>
        <w:trPr>
          <w:cantSplit/>
        </w:trPr>
        <w:tc>
          <w:tcPr>
            <w:tcW w:type="dxa" w:w="103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6</w:t>
            </w:r>
          </w:p>
        </w:tc>
        <w:tc>
          <w:tcPr>
            <w:tcW w:type="dxa" w:w="473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Weavers at a weaving centre, days 1–2; learning pilot starts</w:t>
            </w:r>
          </w:p>
        </w:tc>
        <w:tc>
          <w:tcPr>
            <w:tcW w:type="dxa" w:w="325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E0 and E1 (handloom)</w:t>
            </w:r>
          </w:p>
        </w:tc>
      </w:tr>
      <w:tr>
        <w:trPr>
          <w:cantSplit/>
        </w:trPr>
        <w:tc>
          <w:tcPr>
            <w:tcW w:type="dxa" w:w="103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7</w:t>
            </w:r>
          </w:p>
        </w:tc>
        <w:tc>
          <w:tcPr>
            <w:tcW w:type="dxa" w:w="473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Learning pilot: 16 beginners, 3 sessions each, retention test</w:t>
            </w:r>
          </w:p>
        </w:tc>
        <w:tc>
          <w:tcPr>
            <w:tcW w:type="dxa" w:w="325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E5 with confidence interval</w:t>
            </w:r>
          </w:p>
        </w:tc>
      </w:tr>
      <w:tr>
        <w:trPr>
          <w:cantSplit/>
        </w:trPr>
        <w:tc>
          <w:tcPr>
            <w:tcW w:type="dxa" w:w="103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8</w:t>
            </w:r>
          </w:p>
        </w:tc>
        <w:tc>
          <w:tcPr>
            <w:tcW w:type="dxa" w:w="473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Full demo; three rehearsals without help; backup video; deck with real numbers</w:t>
            </w:r>
          </w:p>
        </w:tc>
        <w:tc>
          <w:tcPr>
            <w:tcW w:type="dxa" w:w="325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Demo runs end to end</w:t>
            </w:r>
          </w:p>
        </w:tc>
      </w:tr>
    </w:tbl>
    <w:p>
      <w:pPr>
        <w:spacing w:after="80"/>
      </w:pPr>
    </w:p>
    <w:p>
      <w:pPr>
        <w:pStyle w:val="Heading2"/>
        <w:keepNext/>
      </w:pPr>
      <w:r>
        <w:rPr>
          <w:rFonts w:ascii="Arial" w:cs="Arial" w:eastAsia="Arial" w:hAnsi="Arial"/>
        </w:rPr>
        <w:t xml:space="preserve">10.2 Team of six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cantSplit/>
          <w:tblHeader/>
        </w:trPr>
        <w:tc>
          <w:tcPr>
            <w:tcW w:type="dxa" w:w="225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Role</w:t>
            </w:r>
          </w:p>
        </w:tc>
        <w:tc>
          <w:tcPr>
            <w:tcW w:type="dxa" w:w="676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Owns</w:t>
            </w:r>
          </w:p>
        </w:tc>
      </w:tr>
      <w:tr>
        <w:trPr>
          <w:cantSplit/>
        </w:trPr>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Hardware</w:t>
            </w:r>
          </w:p>
        </w:tc>
        <w:tc>
          <w:tcPr>
            <w:tcW w:type="dxa" w:w="676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Boards, housings, sleeves, tool kits, bench tests H1–H8</w:t>
            </w:r>
          </w:p>
        </w:tc>
      </w:tr>
      <w:tr>
        <w:trPr>
          <w:cantSplit/>
        </w:trPr>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Firmware</w:t>
            </w:r>
          </w:p>
        </w:tc>
        <w:tc>
          <w:tcPr>
            <w:tcW w:type="dxa" w:w="676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Buses, cue timing, radio, clock sync, logging</w:t>
            </w:r>
          </w:p>
        </w:tc>
      </w:tr>
      <w:tr>
        <w:trPr>
          <w:cantSplit/>
        </w:trPr>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App</w:t>
            </w:r>
          </w:p>
        </w:tc>
        <w:tc>
          <w:tcPr>
            <w:tcW w:type="dxa" w:w="676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Ghost arm, lessons, scores, consent screens</w:t>
            </w:r>
          </w:p>
        </w:tc>
      </w:tr>
      <w:tr>
        <w:trPr>
          <w:cantSplit/>
        </w:trPr>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Analysis</w:t>
            </w:r>
          </w:p>
        </w:tc>
        <w:tc>
          <w:tcPr>
            <w:tcW w:type="dxa" w:w="676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Fingerprint features, confound test, fade rule, statistics</w:t>
            </w:r>
          </w:p>
        </w:tc>
      </w:tr>
      <w:tr>
        <w:trPr>
          <w:cantSplit/>
        </w:trPr>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Research and partner liaison</w:t>
            </w:r>
          </w:p>
        </w:tc>
        <w:tc>
          <w:tcPr>
            <w:tcW w:type="dxa" w:w="676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Outreach to masters, consent, recording sessions</w:t>
            </w:r>
          </w:p>
        </w:tc>
      </w:tr>
      <w:tr>
        <w:trPr>
          <w:cantSplit/>
        </w:trPr>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Pitch</w:t>
            </w:r>
          </w:p>
        </w:tc>
        <w:tc>
          <w:tcPr>
            <w:tcW w:type="dxa" w:w="676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Deck, demo script, backup video</w:t>
            </w:r>
          </w:p>
        </w:tc>
      </w:tr>
    </w:tbl>
    <w:p>
      <w:pPr>
        <w:spacing w:after="80"/>
      </w:pPr>
    </w:p>
    <w:p>
      <w:pPr>
        <w:pStyle w:val="Heading2"/>
        <w:keepNext/>
      </w:pPr>
      <w:r>
        <w:rPr>
          <w:rFonts w:ascii="Arial" w:cs="Arial" w:eastAsia="Arial" w:hAnsi="Arial"/>
        </w:rPr>
        <w:t xml:space="preserve">10.3 Top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35"/>
        <w:gridCol w:w="3556"/>
        <w:gridCol w:w="2735"/>
      </w:tblGrid>
      <w:tr>
        <w:trPr>
          <w:cantSplit/>
          <w:tblHeader/>
        </w:trPr>
        <w:tc>
          <w:tcPr>
            <w:tcW w:type="dxa" w:w="273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Risk</w:t>
            </w:r>
          </w:p>
        </w:tc>
        <w:tc>
          <w:tcPr>
            <w:tcW w:type="dxa" w:w="355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we do</w:t>
            </w:r>
          </w:p>
        </w:tc>
        <w:tc>
          <w:tcPr>
            <w:tcW w:type="dxa" w:w="273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Fallback</w:t>
            </w:r>
          </w:p>
        </w:tc>
      </w:tr>
      <w:tr>
        <w:trPr>
          <w:cantSplit/>
        </w:trPr>
        <w:tc>
          <w:tcPr>
            <w:tcW w:type="dxa" w:w="273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No masters available in time</w:t>
            </w:r>
          </w:p>
        </w:tc>
        <w:tc>
          <w:tcPr>
            <w:tcW w:type="dxa" w:w="35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Outreach in week 1 through Zonal Cultural Centres, Weavers' Service Centres, music colleges and puppeteer communities</w:t>
            </w:r>
          </w:p>
        </w:tc>
        <w:tc>
          <w:tcPr>
            <w:tcW w:type="dxa" w:w="273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Senior practitioners of different teachers, stated clearly</w:t>
            </w:r>
          </w:p>
        </w:tc>
      </w:tr>
      <w:tr>
        <w:trPr>
          <w:cantSplit/>
        </w:trPr>
        <w:tc>
          <w:tcPr>
            <w:tcW w:type="dxa" w:w="273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Assembled boards late</w:t>
            </w:r>
          </w:p>
        </w:tc>
        <w:tc>
          <w:tcPr>
            <w:tcW w:type="dxa" w:w="355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Order in week 1; breakout boards from day 1</w:t>
            </w:r>
          </w:p>
        </w:tc>
        <w:tc>
          <w:tcPr>
            <w:tcW w:type="dxa" w:w="273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Larger rings on breakout boards for E0–E4</w:t>
            </w:r>
          </w:p>
        </w:tc>
      </w:tr>
      <w:tr>
        <w:trPr>
          <w:cantSplit/>
        </w:trPr>
        <w:tc>
          <w:tcPr>
            <w:tcW w:type="dxa" w:w="273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Sleeve changes how masters perform (E0)</w:t>
            </w:r>
          </w:p>
        </w:tc>
        <w:tc>
          <w:tcPr>
            <w:tcW w:type="dxa" w:w="35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Lighter rings; adjust positions with the master</w:t>
            </w:r>
          </w:p>
        </w:tc>
        <w:tc>
          <w:tcPr>
            <w:tcW w:type="dxa" w:w="273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Hand, wrist and elbow sensors only</w:t>
            </w:r>
          </w:p>
        </w:tc>
      </w:tr>
      <w:tr>
        <w:trPr>
          <w:cantSplit/>
        </w:trPr>
        <w:tc>
          <w:tcPr>
            <w:tcW w:type="dxa" w:w="273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Fingerprint near the pass mark (as in Section 6)</w:t>
            </w:r>
          </w:p>
        </w:tc>
        <w:tc>
          <w:tcPr>
            <w:tcW w:type="dxa" w:w="355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Add movement features; record 30 cycles</w:t>
            </w:r>
          </w:p>
        </w:tc>
        <w:tc>
          <w:tcPr>
            <w:tcW w:type="dxa" w:w="273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Graded claim (Section 7.1)</w:t>
            </w:r>
          </w:p>
        </w:tc>
      </w:tr>
      <w:tr>
        <w:trPr>
          <w:cantSplit/>
        </w:trPr>
        <w:tc>
          <w:tcPr>
            <w:tcW w:type="dxa" w:w="273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Finger cues not felt while striking (E2)</w:t>
            </w:r>
          </w:p>
        </w:tc>
        <w:tc>
          <w:tcPr>
            <w:tcW w:type="dxa" w:w="35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Cue before the movement; stronger pulse</w:t>
            </w:r>
          </w:p>
        </w:tc>
        <w:tc>
          <w:tcPr>
            <w:tcW w:type="dxa" w:w="273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Move the cue to the wrist</w:t>
            </w:r>
          </w:p>
        </w:tc>
      </w:tr>
      <w:tr>
        <w:trPr>
          <w:cantSplit/>
        </w:trPr>
        <w:tc>
          <w:tcPr>
            <w:tcW w:type="dxa" w:w="273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Radio trouble at the venue</w:t>
            </w:r>
          </w:p>
        </w:tc>
        <w:tc>
          <w:tcPr>
            <w:tcW w:type="dxa" w:w="355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microSD log; cues stored on the sleeve</w:t>
            </w:r>
          </w:p>
        </w:tc>
        <w:tc>
          <w:tcPr>
            <w:tcW w:type="dxa" w:w="273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USB cable; backup video</w:t>
            </w:r>
          </w:p>
        </w:tc>
      </w:tr>
    </w:tbl>
    <w:p>
      <w:pPr>
        <w:spacing w:after="80"/>
      </w:pPr>
    </w:p>
    <w:p>
      <w:pPr>
        <w:pStyle w:val="Heading1"/>
        <w:keepNext/>
        <w:spacing w:after="200" w:before="480"/>
      </w:pPr>
      <w:r>
        <w:rPr>
          <w:rFonts w:ascii="Arial" w:cs="Arial" w:eastAsia="Arial" w:hAnsi="Arial"/>
        </w:rPr>
        <w:t xml:space="preserve">11. Viability: institution-first, craft by craft</w:t>
      </w:r>
    </w:p>
    <w:p>
      <w:pPr>
        <w:spacing w:after="120" w:before="0" w:line="276"/>
        <w:jc w:val="left"/>
      </w:pPr>
      <w:r>
        <w:rPr>
          <w:rFonts w:ascii="Arial" w:cs="Arial" w:eastAsia="Arial" w:hAnsi="Arial"/>
          <w:b/>
          <w:bCs/>
          <w:color w:val="222222"/>
          <w:sz w:val="20"/>
          <w:szCs w:val="20"/>
        </w:rPr>
        <w:t xml:space="preserve">Our first customers are institutions, because hardware cost and the need to protect masters' content make direct consumer sales premature.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76"/>
        <w:gridCol w:w="3725"/>
        <w:gridCol w:w="3725"/>
      </w:tblGrid>
      <w:tr>
        <w:trPr>
          <w:cantSplit/>
          <w:tblHeader/>
        </w:trPr>
        <w:tc>
          <w:tcPr>
            <w:tcW w:type="dxa" w:w="157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Craft</w:t>
            </w:r>
          </w:p>
        </w:tc>
        <w:tc>
          <w:tcPr>
            <w:tcW w:type="dxa" w:w="372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already exists</w:t>
            </w:r>
          </w:p>
        </w:tc>
        <w:tc>
          <w:tcPr>
            <w:tcW w:type="dxa" w:w="372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PARAMPARA adds</w:t>
            </w:r>
          </w:p>
        </w:tc>
      </w:tr>
      <w:tr>
        <w:trPr>
          <w:cantSplit/>
        </w:trPr>
        <w:tc>
          <w:tcPr>
            <w:tcW w:type="dxa" w:w="157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Tabla</w:t>
            </w:r>
          </w:p>
        </w:tc>
        <w:tc>
          <w:tcPr>
            <w:tcW w:type="dxa" w:w="37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Guru-Shishya Parampara honoraria (e.g. ₹7,500 a month for a guru) </w:t>
            </w:r>
            <w:r>
              <w:rPr>
                <w:rFonts w:ascii="Arial" w:cs="Arial" w:eastAsia="Arial" w:hAnsi="Arial"/>
                <w:b w:val="false"/>
                <w:bCs w:val="false"/>
                <w:color w:val="1F4E79"/>
                <w:sz w:val="16"/>
                <w:szCs w:val="16"/>
              </w:rPr>
              <w:t xml:space="preserve">[28]</w:t>
            </w:r>
            <w:r>
              <w:rPr>
                <w:rFonts w:ascii="Arial" w:cs="Arial" w:eastAsia="Arial" w:hAnsi="Arial"/>
                <w:b w:val="false"/>
                <w:bCs w:val="false"/>
                <w:color w:val="222222"/>
                <w:sz w:val="16"/>
                <w:szCs w:val="16"/>
              </w:rPr>
              <w:t xml:space="preserve">; CBSE subject 036 </w:t>
            </w:r>
            <w:r>
              <w:rPr>
                <w:rFonts w:ascii="Arial" w:cs="Arial" w:eastAsia="Arial" w:hAnsi="Arial"/>
                <w:b w:val="false"/>
                <w:bCs w:val="false"/>
                <w:color w:val="1F4E79"/>
                <w:sz w:val="16"/>
                <w:szCs w:val="16"/>
              </w:rPr>
              <w:t xml:space="preserve">[53]</w:t>
            </w:r>
            <w:r>
              <w:rPr>
                <w:rFonts w:ascii="Arial" w:cs="Arial" w:eastAsia="Arial" w:hAnsi="Arial"/>
                <w:b w:val="false"/>
                <w:bCs w:val="false"/>
                <w:color w:val="222222"/>
                <w:sz w:val="16"/>
                <w:szCs w:val="16"/>
              </w:rPr>
              <w:t xml:space="preserve">; ABGMVM exam centres </w:t>
            </w:r>
            <w:r>
              <w:rPr>
                <w:rFonts w:ascii="Arial" w:cs="Arial" w:eastAsia="Arial" w:hAnsi="Arial"/>
                <w:b w:val="false"/>
                <w:bCs w:val="false"/>
                <w:color w:val="1F4E79"/>
                <w:sz w:val="16"/>
                <w:szCs w:val="16"/>
              </w:rPr>
              <w:t xml:space="preserve">[31]</w:t>
            </w:r>
          </w:p>
        </w:tc>
        <w:tc>
          <w:tcPr>
            <w:tcW w:type="dxa" w:w="37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A kit per guru or music room; fingerprints as lasting output of state-funded teaching</w:t>
            </w:r>
          </w:p>
        </w:tc>
      </w:tr>
      <w:tr>
        <w:trPr>
          <w:cantSplit/>
        </w:trPr>
        <w:tc>
          <w:tcPr>
            <w:tcW w:type="dxa" w:w="157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Handloom</w:t>
            </w:r>
          </w:p>
        </w:tc>
        <w:tc>
          <w:tcPr>
            <w:tcW w:type="dxa" w:w="372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28 Weavers' Service Centres and SAMARTH training </w:t>
            </w:r>
            <w:r>
              <w:rPr>
                <w:rFonts w:ascii="Arial" w:cs="Arial" w:eastAsia="Arial" w:hAnsi="Arial"/>
                <w:b w:val="false"/>
                <w:bCs w:val="false"/>
                <w:color w:val="1F4E79"/>
                <w:sz w:val="16"/>
                <w:szCs w:val="16"/>
              </w:rPr>
              <w:t xml:space="preserve">[67]</w:t>
            </w:r>
            <w:r>
              <w:rPr>
                <w:rFonts w:ascii="Arial" w:cs="Arial" w:eastAsia="Arial" w:hAnsi="Arial"/>
                <w:b w:val="false"/>
                <w:bCs w:val="false"/>
                <w:color w:val="222222"/>
                <w:sz w:val="16"/>
                <w:szCs w:val="16"/>
              </w:rPr>
              <w:t xml:space="preserve">; a 315-hour NSQF qualification </w:t>
            </w:r>
            <w:r>
              <w:rPr>
                <w:rFonts w:ascii="Arial" w:cs="Arial" w:eastAsia="Arial" w:hAnsi="Arial"/>
                <w:b w:val="false"/>
                <w:bCs w:val="false"/>
                <w:color w:val="1F4E79"/>
                <w:sz w:val="16"/>
                <w:szCs w:val="16"/>
              </w:rPr>
              <w:t xml:space="preserve">[68]</w:t>
            </w:r>
          </w:p>
        </w:tc>
        <w:tc>
          <w:tcPr>
            <w:tcW w:type="dxa" w:w="372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A training aid with device-off scores as evidence of skill; shoulder feedback for weaver health</w:t>
            </w:r>
          </w:p>
        </w:tc>
      </w:tr>
      <w:tr>
        <w:trPr>
          <w:cantSplit/>
        </w:trPr>
        <w:tc>
          <w:tcPr>
            <w:tcW w:type="dxa" w:w="157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Puppetry</w:t>
            </w:r>
          </w:p>
        </w:tc>
        <w:tc>
          <w:tcPr>
            <w:tcW w:type="dxa" w:w="37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Intangible heritage scheme through Sangeet Natak Akademi </w:t>
            </w:r>
            <w:r>
              <w:rPr>
                <w:rFonts w:ascii="Arial" w:cs="Arial" w:eastAsia="Arial" w:hAnsi="Arial"/>
                <w:b w:val="false"/>
                <w:bCs w:val="false"/>
                <w:color w:val="1F4E79"/>
                <w:sz w:val="16"/>
                <w:szCs w:val="16"/>
              </w:rPr>
              <w:t xml:space="preserve">[27]</w:t>
            </w:r>
            <w:r>
              <w:rPr>
                <w:rFonts w:ascii="Arial" w:cs="Arial" w:eastAsia="Arial" w:hAnsi="Arial"/>
                <w:b w:val="false"/>
                <w:bCs w:val="false"/>
                <w:color w:val="222222"/>
                <w:sz w:val="16"/>
                <w:szCs w:val="16"/>
              </w:rPr>
              <w:t xml:space="preserve">; artists in schools </w:t>
            </w:r>
            <w:r>
              <w:rPr>
                <w:rFonts w:ascii="Arial" w:cs="Arial" w:eastAsia="Arial" w:hAnsi="Arial"/>
                <w:b w:val="false"/>
                <w:bCs w:val="false"/>
                <w:color w:val="1F4E79"/>
                <w:sz w:val="16"/>
                <w:szCs w:val="16"/>
              </w:rPr>
              <w:t xml:space="preserve">[55]</w:t>
            </w:r>
            <w:r>
              <w:rPr>
                <w:rFonts w:ascii="Arial" w:cs="Arial" w:eastAsia="Arial" w:hAnsi="Arial"/>
                <w:b w:val="false"/>
                <w:bCs w:val="false"/>
                <w:color w:val="222222"/>
                <w:sz w:val="16"/>
                <w:szCs w:val="16"/>
              </w:rPr>
              <w:t xml:space="preserve">; artists-in-residence </w:t>
            </w:r>
            <w:r>
              <w:rPr>
                <w:rFonts w:ascii="Arial" w:cs="Arial" w:eastAsia="Arial" w:hAnsi="Arial"/>
                <w:b w:val="false"/>
                <w:bCs w:val="false"/>
                <w:color w:val="1F4E79"/>
                <w:sz w:val="16"/>
                <w:szCs w:val="16"/>
              </w:rPr>
              <w:t xml:space="preserve">[29]</w:t>
            </w:r>
          </w:p>
        </w:tc>
        <w:tc>
          <w:tcPr>
            <w:tcW w:type="dxa" w:w="37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Recorded, credited fingerprints of puppeteers; a teaching kit for workshops</w:t>
            </w:r>
          </w:p>
        </w:tc>
      </w:tr>
      <w:tr>
        <w:trPr>
          <w:cantSplit/>
        </w:trPr>
        <w:tc>
          <w:tcPr>
            <w:tcW w:type="dxa" w:w="157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All</w:t>
            </w:r>
          </w:p>
        </w:tc>
        <w:tc>
          <w:tcPr>
            <w:tcW w:type="dxa" w:w="372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National audiovisual archive </w:t>
            </w:r>
            <w:r>
              <w:rPr>
                <w:rFonts w:ascii="Arial" w:cs="Arial" w:eastAsia="Arial" w:hAnsi="Arial"/>
                <w:b w:val="false"/>
                <w:bCs w:val="false"/>
                <w:color w:val="1F4E79"/>
                <w:sz w:val="16"/>
                <w:szCs w:val="16"/>
              </w:rPr>
              <w:t xml:space="preserve">[50]</w:t>
            </w:r>
          </w:p>
        </w:tc>
        <w:tc>
          <w:tcPr>
            <w:tcW w:type="dxa" w:w="372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A new kind of record: how masters move</w:t>
            </w:r>
          </w:p>
        </w:tc>
      </w:tr>
    </w:tbl>
    <w:p>
      <w:pPr>
        <w:spacing w:after="80"/>
      </w:pPr>
    </w:p>
    <w:p>
      <w:pPr>
        <w:pStyle w:val="ListParagraph"/>
        <w:numPr>
          <w:ilvl w:val="0"/>
          <w:numId w:val="2"/>
        </w:numPr>
        <w:spacing w:after="60" w:line="268"/>
      </w:pPr>
      <w:r>
        <w:rPr>
          <w:rFonts w:ascii="Arial" w:cs="Arial" w:eastAsia="Arial" w:hAnsi="Arial"/>
          <w:b/>
          <w:bCs/>
          <w:color w:val="222222"/>
          <w:sz w:val="20"/>
          <w:szCs w:val="20"/>
        </w:rPr>
        <w:t xml:space="preserve">Cost:</w:t>
      </w:r>
      <w:r>
        <w:rPr>
          <w:rFonts w:ascii="Arial" w:cs="Arial" w:eastAsia="Arial" w:hAnsi="Arial"/>
          <w:color w:val="222222"/>
          <w:sz w:val="20"/>
          <w:szCs w:val="20"/>
        </w:rPr>
        <w:t xml:space="preserve"> about ₹20,000–32,000 for the two-sleeve prototype; less than four months of a guru's state honorarium </w:t>
      </w:r>
      <w:r>
        <w:rPr>
          <w:rFonts w:ascii="Arial" w:cs="Arial" w:eastAsia="Arial" w:hAnsi="Arial"/>
          <w:b w:val="false"/>
          <w:bCs w:val="false"/>
          <w:color w:val="1F4E79"/>
          <w:sz w:val="20"/>
          <w:szCs w:val="20"/>
        </w:rPr>
        <w:t xml:space="preserve">[28]</w:t>
      </w:r>
      <w:r>
        <w:rPr>
          <w:rFonts w:ascii="Arial" w:cs="Arial" w:eastAsia="Arial" w:hAnsi="Arial"/>
          <w:color w:val="222222"/>
          <w:sz w:val="20"/>
          <w:szCs w:val="20"/>
        </w:rPr>
        <w:t xml:space="preserve"> and a small fraction of a motion-capture suit </w:t>
      </w:r>
      <w:r>
        <w:rPr>
          <w:rFonts w:ascii="Arial" w:cs="Arial" w:eastAsia="Arial" w:hAnsi="Arial"/>
          <w:b w:val="false"/>
          <w:bCs w:val="false"/>
          <w:color w:val="1F4E79"/>
          <w:sz w:val="20"/>
          <w:szCs w:val="20"/>
        </w:rPr>
        <w:t xml:space="preserve">[65]</w:t>
      </w:r>
      <w:r>
        <w:rPr>
          <w:rFonts w:ascii="Arial" w:cs="Arial" w:eastAsia="Arial" w:hAnsi="Arial"/>
          <w:color w:val="222222"/>
          <w:sz w:val="20"/>
          <w:szCs w:val="20"/>
        </w:rPr>
        <w:t xml:space="preserve">.</w:t>
      </w:r>
    </w:p>
    <w:p>
      <w:pPr>
        <w:pStyle w:val="ListParagraph"/>
        <w:numPr>
          <w:ilvl w:val="0"/>
          <w:numId w:val="2"/>
        </w:numPr>
        <w:spacing w:after="60" w:line="268"/>
      </w:pPr>
      <w:r>
        <w:rPr>
          <w:rFonts w:ascii="Arial" w:cs="Arial" w:eastAsia="Arial" w:hAnsi="Arial"/>
          <w:b/>
          <w:bCs/>
          <w:color w:val="222222"/>
          <w:sz w:val="20"/>
          <w:szCs w:val="20"/>
        </w:rPr>
        <w:t xml:space="preserve">Who pays:</w:t>
      </w:r>
      <w:r>
        <w:rPr>
          <w:rFonts w:ascii="Arial" w:cs="Arial" w:eastAsia="Arial" w:hAnsi="Arial"/>
          <w:color w:val="222222"/>
          <w:sz w:val="20"/>
          <w:szCs w:val="20"/>
        </w:rPr>
        <w:t xml:space="preserve"> institutions buy kits and a yearly licence; consenting masters receive a share whenever their fingerprints are used; grants and CSR support preservation. </w:t>
      </w:r>
      <w:r>
        <w:rPr>
          <w:rFonts w:ascii="Arial" w:cs="Arial" w:eastAsia="Arial" w:hAnsi="Arial"/>
          <w:b/>
          <w:bCs/>
          <w:color w:val="222222"/>
          <w:sz w:val="20"/>
          <w:szCs w:val="20"/>
        </w:rPr>
        <w:t xml:space="preserve">These are hypotheses: our first-year test is three signed letters of intent.</w:t>
      </w:r>
    </w:p>
    <w:p>
      <w:pPr>
        <w:pStyle w:val="ListParagraph"/>
        <w:numPr>
          <w:ilvl w:val="0"/>
          <w:numId w:val="2"/>
        </w:numPr>
        <w:spacing w:after="60" w:line="268"/>
      </w:pPr>
      <w:r>
        <w:rPr>
          <w:rFonts w:ascii="Arial" w:cs="Arial" w:eastAsia="Arial" w:hAnsi="Arial"/>
          <w:b/>
          <w:bCs/>
          <w:color w:val="222222"/>
          <w:sz w:val="20"/>
          <w:szCs w:val="20"/>
        </w:rPr>
        <w:t xml:space="preserve">Rules:</w:t>
      </w:r>
      <w:r>
        <w:rPr>
          <w:rFonts w:ascii="Arial" w:cs="Arial" w:eastAsia="Arial" w:hAnsi="Arial"/>
          <w:color w:val="222222"/>
          <w:sz w:val="20"/>
          <w:szCs w:val="20"/>
        </w:rPr>
        <w:t xml:space="preserve"> explicit, recorded consent; data stays on the device or the user's app by default </w:t>
      </w:r>
      <w:r>
        <w:rPr>
          <w:rFonts w:ascii="Arial" w:cs="Arial" w:eastAsia="Arial" w:hAnsi="Arial"/>
          <w:b w:val="false"/>
          <w:bCs w:val="false"/>
          <w:color w:val="1F4E79"/>
          <w:sz w:val="20"/>
          <w:szCs w:val="20"/>
        </w:rPr>
        <w:t xml:space="preserve">[35]</w:t>
      </w:r>
      <w:r>
        <w:rPr>
          <w:rFonts w:ascii="Arial" w:cs="Arial" w:eastAsia="Arial" w:hAnsi="Arial"/>
          <w:color w:val="222222"/>
          <w:sz w:val="20"/>
          <w:szCs w:val="20"/>
        </w:rPr>
        <w:t xml:space="preserve">; performers' rights respected </w:t>
      </w:r>
      <w:r>
        <w:rPr>
          <w:rFonts w:ascii="Arial" w:cs="Arial" w:eastAsia="Arial" w:hAnsi="Arial"/>
          <w:b w:val="false"/>
          <w:bCs w:val="false"/>
          <w:color w:val="1F4E79"/>
          <w:sz w:val="20"/>
          <w:szCs w:val="20"/>
        </w:rPr>
        <w:t xml:space="preserve">[36]</w:t>
      </w:r>
      <w:r>
        <w:rPr>
          <w:rFonts w:ascii="Arial" w:cs="Arial" w:eastAsia="Arial" w:hAnsi="Arial"/>
          <w:color w:val="222222"/>
          <w:sz w:val="20"/>
          <w:szCs w:val="20"/>
        </w:rPr>
        <w:t xml:space="preserve">.</w:t>
      </w:r>
    </w:p>
    <w:p>
      <w:pPr>
        <w:pStyle w:val="Heading1"/>
        <w:keepNext/>
        <w:spacing w:after="200" w:before="480"/>
      </w:pPr>
      <w:r>
        <w:rPr>
          <w:rFonts w:ascii="Arial" w:cs="Arial" w:eastAsia="Arial" w:hAnsi="Arial"/>
        </w:rPr>
        <w:t xml:space="preserve">12. Impact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63"/>
        <w:gridCol w:w="3868"/>
        <w:gridCol w:w="3295"/>
      </w:tblGrid>
      <w:tr>
        <w:trPr>
          <w:cantSplit/>
          <w:tblHeader/>
        </w:trPr>
        <w:tc>
          <w:tcPr>
            <w:tcW w:type="dxa" w:w="186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Who</w:t>
            </w:r>
          </w:p>
        </w:tc>
        <w:tc>
          <w:tcPr>
            <w:tcW w:type="dxa" w:w="386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Benefit</w:t>
            </w:r>
          </w:p>
        </w:tc>
        <w:tc>
          <w:tcPr>
            <w:tcW w:type="dxa" w:w="329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How we will measure it</w:t>
            </w:r>
          </w:p>
        </w:tc>
      </w:tr>
      <w:tr>
        <w:trPr>
          <w:cantSplit/>
        </w:trPr>
        <w:tc>
          <w:tcPr>
            <w:tcW w:type="dxa" w:w="186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Masters</w:t>
            </w:r>
          </w:p>
        </w:tc>
        <w:tc>
          <w:tcPr>
            <w:tcW w:type="dxa" w:w="38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Their own way of playing, weaving or puppeteering preserved, credited and shared on their terms</w:t>
            </w:r>
          </w:p>
        </w:tc>
        <w:tc>
          <w:tcPr>
            <w:tcW w:type="dxa" w:w="329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Masters recorded; their feedback</w:t>
            </w:r>
          </w:p>
        </w:tc>
      </w:tr>
      <w:tr>
        <w:trPr>
          <w:cantSplit/>
        </w:trPr>
        <w:tc>
          <w:tcPr>
            <w:tcW w:type="dxa" w:w="186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Learners</w:t>
            </w:r>
          </w:p>
        </w:tc>
        <w:tc>
          <w:tcPr>
            <w:tcW w:type="dxa" w:w="386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Practise against a real master between lessons, and see honest progress</w:t>
            </w:r>
          </w:p>
        </w:tc>
        <w:tc>
          <w:tcPr>
            <w:tcW w:type="dxa" w:w="329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Unaided score after a break</w:t>
            </w:r>
          </w:p>
        </w:tc>
      </w:tr>
      <w:tr>
        <w:trPr>
          <w:cantSplit/>
        </w:trPr>
        <w:tc>
          <w:tcPr>
            <w:tcW w:type="dxa" w:w="186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Weavers</w:t>
            </w:r>
          </w:p>
        </w:tc>
        <w:tc>
          <w:tcPr>
            <w:tcW w:type="dxa" w:w="38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Feedback on shoulder posture during long hours </w:t>
            </w:r>
            <w:r>
              <w:rPr>
                <w:rFonts w:ascii="Arial" w:cs="Arial" w:eastAsia="Arial" w:hAnsi="Arial"/>
                <w:b w:val="false"/>
                <w:bCs w:val="false"/>
                <w:color w:val="1F4E79"/>
                <w:sz w:val="16"/>
                <w:szCs w:val="16"/>
              </w:rPr>
              <w:t xml:space="preserve">[69]</w:t>
            </w:r>
          </w:p>
        </w:tc>
        <w:tc>
          <w:tcPr>
            <w:tcW w:type="dxa" w:w="329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Time with the shoulder raised (to be tested)</w:t>
            </w:r>
          </w:p>
        </w:tc>
      </w:tr>
      <w:tr>
        <w:trPr>
          <w:cantSplit/>
        </w:trPr>
        <w:tc>
          <w:tcPr>
            <w:tcW w:type="dxa" w:w="186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Archives</w:t>
            </w:r>
          </w:p>
        </w:tc>
        <w:tc>
          <w:tcPr>
            <w:tcW w:type="dxa" w:w="386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A record of how masters move, not only how they sound and look</w:t>
            </w:r>
          </w:p>
        </w:tc>
        <w:tc>
          <w:tcPr>
            <w:tcW w:type="dxa" w:w="329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Consented fingerprints deposited</w:t>
            </w:r>
          </w:p>
        </w:tc>
      </w:tr>
      <w:tr>
        <w:trPr>
          <w:cantSplit/>
        </w:trPr>
        <w:tc>
          <w:tcPr>
            <w:tcW w:type="dxa" w:w="186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Researchers</w:t>
            </w:r>
          </w:p>
        </w:tc>
        <w:tc>
          <w:tcPr>
            <w:tcW w:type="dxa" w:w="38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A consented dataset linking masters' fingerprints with learners' progress</w:t>
            </w:r>
          </w:p>
        </w:tc>
        <w:tc>
          <w:tcPr>
            <w:tcW w:type="dxa" w:w="329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Dataset and publications</w:t>
            </w:r>
          </w:p>
        </w:tc>
      </w:tr>
    </w:tbl>
    <w:p>
      <w:pPr>
        <w:spacing w:after="80"/>
      </w:pPr>
    </w:p>
    <w:p>
      <w:pPr>
        <w:spacing w:after="120" w:before="0" w:line="276"/>
        <w:jc w:val="left"/>
      </w:pPr>
      <w:r>
        <w:rPr>
          <w:rFonts w:ascii="Arial" w:cs="Arial" w:eastAsia="Arial" w:hAnsi="Arial"/>
          <w:b/>
          <w:bCs/>
          <w:color w:val="222222"/>
          <w:sz w:val="20"/>
          <w:szCs w:val="20"/>
        </w:rPr>
        <w:t xml:space="preserve">Possible wider benefit, not yet tested:</w:t>
      </w:r>
      <w:r>
        <w:rPr>
          <w:rFonts w:ascii="Arial" w:cs="Arial" w:eastAsia="Arial" w:hAnsi="Arial"/>
          <w:color w:val="222222"/>
          <w:sz w:val="20"/>
          <w:szCs w:val="20"/>
        </w:rPr>
        <w:t xml:space="preserve"> deaf people can follow a beat through vibration </w:t>
      </w:r>
      <w:r>
        <w:rPr>
          <w:rFonts w:ascii="Arial" w:cs="Arial" w:eastAsia="Arial" w:hAnsi="Arial"/>
          <w:b w:val="false"/>
          <w:bCs w:val="false"/>
          <w:color w:val="1F4E79"/>
          <w:sz w:val="20"/>
          <w:szCs w:val="20"/>
        </w:rPr>
        <w:t xml:space="preserve">[9]</w:t>
      </w:r>
      <w:r>
        <w:rPr>
          <w:rFonts w:ascii="Arial" w:cs="Arial" w:eastAsia="Arial" w:hAnsi="Arial"/>
          <w:color w:val="222222"/>
          <w:sz w:val="20"/>
          <w:szCs w:val="20"/>
        </w:rPr>
        <w:t xml:space="preserve">; India has about 50.7 lakh people with hearing disability </w:t>
      </w:r>
      <w:r>
        <w:rPr>
          <w:rFonts w:ascii="Arial" w:cs="Arial" w:eastAsia="Arial" w:hAnsi="Arial"/>
          <w:b w:val="false"/>
          <w:bCs w:val="false"/>
          <w:color w:val="1F4E79"/>
          <w:sz w:val="20"/>
          <w:szCs w:val="20"/>
        </w:rPr>
        <w:t xml:space="preserve">[32]</w:t>
      </w:r>
      <w:r>
        <w:rPr>
          <w:rFonts w:ascii="Arial" w:cs="Arial" w:eastAsia="Arial" w:hAnsi="Arial"/>
          <w:color w:val="222222"/>
          <w:sz w:val="20"/>
          <w:szCs w:val="20"/>
        </w:rPr>
        <w:t xml:space="preserve">.</w:t>
      </w:r>
    </w:p>
    <w:p>
      <w:pPr>
        <w:pStyle w:val="Heading1"/>
        <w:keepNext/>
        <w:spacing w:after="200" w:before="480"/>
      </w:pPr>
      <w:r>
        <w:rPr>
          <w:rFonts w:ascii="Arial" w:cs="Arial" w:eastAsia="Arial" w:hAnsi="Arial"/>
        </w:rPr>
        <w:t xml:space="preserve">13. The pitch</w:t>
      </w:r>
    </w:p>
    <w:p>
      <w:pPr>
        <w:pStyle w:val="Heading2"/>
        <w:keepNext/>
      </w:pPr>
      <w:r>
        <w:rPr>
          <w:rFonts w:ascii="Arial" w:cs="Arial" w:eastAsia="Arial" w:hAnsi="Arial"/>
        </w:rPr>
        <w:t xml:space="preserve">13.1 Six things the jury should remember</w:t>
      </w:r>
    </w:p>
    <w:p>
      <w:pPr>
        <w:pStyle w:val="ListParagraph"/>
        <w:numPr>
          <w:ilvl w:val="0"/>
          <w:numId w:val="4"/>
        </w:numPr>
        <w:spacing w:after="60" w:line="268"/>
      </w:pPr>
      <w:r>
        <w:rPr>
          <w:rFonts w:ascii="Arial" w:cs="Arial" w:eastAsia="Arial" w:hAnsi="Arial"/>
          <w:color w:val="222222"/>
          <w:sz w:val="20"/>
          <w:szCs w:val="20"/>
        </w:rPr>
        <w:t xml:space="preserve">A master's skill lives in the fingers, wrist, elbow and shoulder.</w:t>
      </w:r>
    </w:p>
    <w:p>
      <w:pPr>
        <w:pStyle w:val="ListParagraph"/>
        <w:numPr>
          <w:ilvl w:val="0"/>
          <w:numId w:val="4"/>
        </w:numPr>
        <w:spacing w:after="60" w:line="268"/>
      </w:pPr>
      <w:r>
        <w:rPr>
          <w:rFonts w:ascii="Arial" w:cs="Arial" w:eastAsia="Arial" w:hAnsi="Arial"/>
          <w:color w:val="222222"/>
          <w:sz w:val="20"/>
          <w:szCs w:val="20"/>
        </w:rPr>
        <w:t xml:space="preserve">We measure it with one low-cost sleeve; tabla is proven, handloom and puppetry show it generalises.</w:t>
      </w:r>
    </w:p>
    <w:p>
      <w:pPr>
        <w:pStyle w:val="ListParagraph"/>
        <w:numPr>
          <w:ilvl w:val="0"/>
          <w:numId w:val="4"/>
        </w:numPr>
        <w:spacing w:after="60" w:line="268"/>
      </w:pPr>
      <w:r>
        <w:rPr>
          <w:rFonts w:ascii="Arial" w:cs="Arial" w:eastAsia="Arial" w:hAnsi="Arial"/>
          <w:color w:val="222222"/>
          <w:sz w:val="20"/>
          <w:szCs w:val="20"/>
        </w:rPr>
        <w:t xml:space="preserve">We prove the fingerprint is the master's, not the instrument's; on real drummers our method already finds it.</w:t>
      </w:r>
    </w:p>
    <w:p>
      <w:pPr>
        <w:pStyle w:val="ListParagraph"/>
        <w:numPr>
          <w:ilvl w:val="0"/>
          <w:numId w:val="4"/>
        </w:numPr>
        <w:spacing w:after="60" w:line="268"/>
      </w:pPr>
      <w:r>
        <w:rPr>
          <w:rFonts w:ascii="Arial" w:cs="Arial" w:eastAsia="Arial" w:hAnsi="Arial"/>
          <w:color w:val="222222"/>
          <w:sz w:val="20"/>
          <w:szCs w:val="20"/>
        </w:rPr>
        <w:t xml:space="preserve">We teach it through touch, sound and a ghost arm.</w:t>
      </w:r>
    </w:p>
    <w:p>
      <w:pPr>
        <w:pStyle w:val="ListParagraph"/>
        <w:numPr>
          <w:ilvl w:val="0"/>
          <w:numId w:val="4"/>
        </w:numPr>
        <w:spacing w:after="60" w:line="268"/>
      </w:pPr>
      <w:r>
        <w:rPr>
          <w:rFonts w:ascii="Arial" w:cs="Arial" w:eastAsia="Arial" w:hAnsi="Arial"/>
          <w:color w:val="222222"/>
          <w:sz w:val="20"/>
          <w:szCs w:val="20"/>
        </w:rPr>
        <w:t xml:space="preserve">We remove the help and count only what the learner does alone.</w:t>
      </w:r>
    </w:p>
    <w:p>
      <w:pPr>
        <w:pStyle w:val="ListParagraph"/>
        <w:numPr>
          <w:ilvl w:val="0"/>
          <w:numId w:val="4"/>
        </w:numPr>
        <w:spacing w:after="60" w:line="268"/>
      </w:pPr>
      <w:r>
        <w:rPr>
          <w:rFonts w:ascii="Arial" w:cs="Arial" w:eastAsia="Arial" w:hAnsi="Arial"/>
          <w:color w:val="222222"/>
          <w:sz w:val="20"/>
          <w:szCs w:val="20"/>
        </w:rPr>
        <w:t xml:space="preserve">The master owns and controls the recorded legacy.</w:t>
      </w:r>
    </w:p>
    <w:p>
      <w:pPr>
        <w:pStyle w:val="Heading2"/>
        <w:keepNext/>
      </w:pPr>
      <w:r>
        <w:rPr>
          <w:rFonts w:ascii="Arial" w:cs="Arial" w:eastAsia="Arial" w:hAnsi="Arial"/>
        </w:rPr>
        <w:t xml:space="preserve">13.2 Three-minute demo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25"/>
        <w:gridCol w:w="7601"/>
      </w:tblGrid>
      <w:tr>
        <w:trPr>
          <w:cantSplit/>
          <w:tblHeader/>
        </w:trPr>
        <w:tc>
          <w:tcPr>
            <w:tcW w:type="dxa" w:w="142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Time</w:t>
            </w:r>
          </w:p>
        </w:tc>
        <w:tc>
          <w:tcPr>
            <w:tcW w:type="dxa" w:w="760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What happens</w:t>
            </w:r>
          </w:p>
        </w:tc>
      </w:tr>
      <w:tr>
        <w:trPr>
          <w:cantSplit/>
        </w:trPr>
        <w:tc>
          <w:tcPr>
            <w:tcW w:type="dxa" w:w="14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0:00–0:20</w:t>
            </w:r>
          </w:p>
        </w:tc>
        <w:tc>
          <w:tcPr>
            <w:tcW w:type="dxa" w:w="760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'Archives keep how masters sound and look. Nothing keeps how their hands move.'</w:t>
            </w:r>
          </w:p>
        </w:tc>
      </w:tr>
      <w:tr>
        <w:trPr>
          <w:cantSplit/>
        </w:trPr>
        <w:tc>
          <w:tcPr>
            <w:tcW w:type="dxa" w:w="142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0:20–0:50</w:t>
            </w:r>
          </w:p>
        </w:tc>
        <w:tc>
          <w:tcPr>
            <w:tcW w:type="dxa" w:w="760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Two tabla masters' fingerprints and the E1 verdict: still recognised on a new day and on a swapped tabla.</w:t>
            </w:r>
          </w:p>
        </w:tc>
      </w:tr>
      <w:tr>
        <w:trPr>
          <w:cantSplit/>
        </w:trPr>
        <w:tc>
          <w:tcPr>
            <w:tcW w:type="dxa" w:w="14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0:50–1:50</w:t>
            </w:r>
          </w:p>
        </w:tc>
        <w:tc>
          <w:tcPr>
            <w:tcW w:type="dxa" w:w="760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The judge wears the sleeve and plays along. Cues fade. A check cycle runs with the device silent; the unaided score appears. 'The device succeeds only when it is no longer needed.'</w:t>
            </w:r>
          </w:p>
        </w:tc>
      </w:tr>
      <w:tr>
        <w:trPr>
          <w:cantSplit/>
        </w:trPr>
        <w:tc>
          <w:tcPr>
            <w:tcW w:type="dxa" w:w="142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1:50–2:20</w:t>
            </w:r>
          </w:p>
        </w:tc>
        <w:tc>
          <w:tcPr>
            <w:tcW w:type="dxa" w:w="760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The judge moves a Kathputli and feels the string-finger cues; a weaver's recording replays on the ghost arm.</w:t>
            </w:r>
          </w:p>
        </w:tc>
      </w:tr>
      <w:tr>
        <w:trPr>
          <w:cantSplit/>
        </w:trPr>
        <w:tc>
          <w:tcPr>
            <w:tcW w:type="dxa" w:w="14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2:20–2:40</w:t>
            </w:r>
          </w:p>
        </w:tc>
        <w:tc>
          <w:tcPr>
            <w:tcW w:type="dxa" w:w="760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The master's consent: approved with a phone fingerprint; an edited copy is rejected.</w:t>
            </w:r>
          </w:p>
        </w:tc>
      </w:tr>
      <w:tr>
        <w:trPr>
          <w:cantSplit/>
        </w:trPr>
        <w:tc>
          <w:tcPr>
            <w:tcW w:type="dxa" w:w="142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2:40–3:00</w:t>
            </w:r>
          </w:p>
        </w:tc>
        <w:tc>
          <w:tcPr>
            <w:tcW w:type="dxa" w:w="760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E0–E5 results and the drummer test; institutions first.</w:t>
            </w:r>
          </w:p>
        </w:tc>
      </w:tr>
    </w:tbl>
    <w:p>
      <w:pPr>
        <w:spacing w:after="80"/>
      </w:pPr>
    </w:p>
    <w:p>
      <w:pPr>
        <w:pStyle w:val="Heading2"/>
        <w:keepNext/>
      </w:pPr>
      <w:r>
        <w:rPr>
          <w:rFonts w:ascii="Arial" w:cs="Arial" w:eastAsia="Arial" w:hAnsi="Arial"/>
        </w:rPr>
        <w:t xml:space="preserve">13.3 Hard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3"/>
        <w:gridCol w:w="5923"/>
      </w:tblGrid>
      <w:tr>
        <w:trPr>
          <w:cantSplit/>
          <w:tblHeader/>
        </w:trPr>
        <w:tc>
          <w:tcPr>
            <w:tcW w:type="dxa" w:w="310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Question</w:t>
            </w:r>
          </w:p>
        </w:tc>
        <w:tc>
          <w:tcPr>
            <w:tcW w:type="dxa" w:w="592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Answer</w:t>
            </w:r>
          </w:p>
        </w:tc>
      </w:tr>
      <w:tr>
        <w:trPr>
          <w:cantSplit/>
        </w:trPr>
        <w:tc>
          <w:tcPr>
            <w:tcW w:type="dxa" w:w="31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Are you identifying the master, or the instrument, tuning, session or sensor placement?</w:t>
            </w:r>
          </w:p>
        </w:tc>
        <w:tc>
          <w:tcPr>
            <w:tcW w:type="dxa" w:w="592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We test exactly that: two days with the sleeve re-fitted and two instruments. A fingerprint counts only if it names the master on a new day </w:t>
            </w:r>
            <w:r>
              <w:rPr>
                <w:rFonts w:ascii="Arial" w:cs="Arial" w:eastAsia="Arial" w:hAnsi="Arial"/>
                <w:b/>
                <w:bCs/>
                <w:color w:val="222222"/>
                <w:sz w:val="16"/>
                <w:szCs w:val="16"/>
              </w:rPr>
              <w:t xml:space="preserve">and</w:t>
            </w:r>
            <w:r>
              <w:rPr>
                <w:rFonts w:ascii="Arial" w:cs="Arial" w:eastAsia="Arial" w:hAnsi="Arial"/>
                <w:color w:val="222222"/>
                <w:sz w:val="16"/>
                <w:szCs w:val="16"/>
              </w:rPr>
              <w:t xml:space="preserve"> a new instrument (Section 7). On real drummers, the method already separates performer from session and style (Section 6).</w:t>
            </w:r>
          </w:p>
        </w:tc>
      </w:tr>
      <w:tr>
        <w:trPr>
          <w:cantSplit/>
        </w:trPr>
        <w:tc>
          <w:tcPr>
            <w:tcW w:type="dxa" w:w="31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Show me proof, not plans.</w:t>
            </w:r>
          </w:p>
        </w:tc>
        <w:tc>
          <w:tcPr>
            <w:tcW w:type="dxa" w:w="592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The drummer test is real data. The equipment is fully specified with datasheets, budgets and bench tests. Master recordings and E0–E5 are scheduled with pass rules fixed in advance, and we report them whichever way they go.</w:t>
            </w:r>
          </w:p>
        </w:tc>
      </w:tr>
      <w:tr>
        <w:trPr>
          <w:cantSplit/>
        </w:trPr>
        <w:tc>
          <w:tcPr>
            <w:tcW w:type="dxa" w:w="31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Three crafts: isn't that spreading thin?</w:t>
            </w:r>
          </w:p>
        </w:tc>
        <w:tc>
          <w:tcPr>
            <w:tcW w:type="dxa" w:w="592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Tabla is the flagship and gets every test. Handloom and puppetry get only E0 and E1, to show the platform generalises.</w:t>
            </w:r>
          </w:p>
        </w:tc>
      </w:tr>
      <w:tr>
        <w:trPr>
          <w:cantSplit/>
        </w:trPr>
        <w:tc>
          <w:tcPr>
            <w:tcW w:type="dxa" w:w="31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Doesn't the sleeve change how a master plays?</w:t>
            </w:r>
          </w:p>
        </w:tc>
        <w:tc>
          <w:tcPr>
            <w:tcW w:type="dxa" w:w="592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Fingertips and palm stay free, about 30 g sits on the hand, and E0 measures performance with and without it.</w:t>
            </w:r>
          </w:p>
        </w:tc>
      </w:tr>
      <w:tr>
        <w:trPr>
          <w:cantSplit/>
        </w:trPr>
        <w:tc>
          <w:tcPr>
            <w:tcW w:type="dxa" w:w="31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Does PARAMPARA teach better than video?</w:t>
            </w:r>
          </w:p>
        </w:tc>
        <w:tc>
          <w:tcPr>
            <w:tcW w:type="dxa" w:w="592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Not yet shown. E5 is a randomised pilot with a device-off retention test; the 120-person trial follows.</w:t>
            </w:r>
          </w:p>
        </w:tc>
      </w:tr>
      <w:tr>
        <w:trPr>
          <w:cantSplit/>
        </w:trPr>
        <w:tc>
          <w:tcPr>
            <w:tcW w:type="dxa" w:w="31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Why not a motion-capture suit?</w:t>
            </w:r>
          </w:p>
        </w:tc>
        <w:tc>
          <w:tcPr>
            <w:tcW w:type="dxa" w:w="592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Suits cost US$5,000 or more and do not teach </w:t>
            </w:r>
            <w:r>
              <w:rPr>
                <w:rFonts w:ascii="Arial" w:cs="Arial" w:eastAsia="Arial" w:hAnsi="Arial"/>
                <w:b w:val="false"/>
                <w:bCs w:val="false"/>
                <w:color w:val="1F4E79"/>
                <w:sz w:val="16"/>
                <w:szCs w:val="16"/>
              </w:rPr>
              <w:t xml:space="preserve">[64, 65]</w:t>
            </w:r>
            <w:r>
              <w:rPr>
                <w:rFonts w:ascii="Arial" w:cs="Arial" w:eastAsia="Arial" w:hAnsi="Arial"/>
                <w:color w:val="222222"/>
                <w:sz w:val="16"/>
                <w:szCs w:val="16"/>
              </w:rPr>
              <w:t xml:space="preserve">.</w:t>
            </w:r>
          </w:p>
        </w:tc>
      </w:tr>
      <w:tr>
        <w:trPr>
          <w:cantSplit/>
        </w:trPr>
        <w:tc>
          <w:tcPr>
            <w:tcW w:type="dxa" w:w="31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Can vibration carry tiny timing?</w:t>
            </w:r>
          </w:p>
        </w:tc>
        <w:tc>
          <w:tcPr>
            <w:tcW w:type="dxa" w:w="592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No, and we don't ask it to: touch carries which finger, which joint and how strong; the ear carries timing </w:t>
            </w:r>
            <w:r>
              <w:rPr>
                <w:rFonts w:ascii="Arial" w:cs="Arial" w:eastAsia="Arial" w:hAnsi="Arial"/>
                <w:b w:val="false"/>
                <w:bCs w:val="false"/>
                <w:color w:val="1F4E79"/>
                <w:sz w:val="16"/>
                <w:szCs w:val="16"/>
              </w:rPr>
              <w:t xml:space="preserve">[43, 46]</w:t>
            </w:r>
            <w:r>
              <w:rPr>
                <w:rFonts w:ascii="Arial" w:cs="Arial" w:eastAsia="Arial" w:hAnsi="Arial"/>
                <w:color w:val="222222"/>
                <w:sz w:val="16"/>
                <w:szCs w:val="16"/>
              </w:rPr>
              <w:t xml:space="preserve">.</w:t>
            </w:r>
          </w:p>
        </w:tc>
      </w:tr>
      <w:tr>
        <w:trPr>
          <w:cantSplit/>
        </w:trPr>
        <w:tc>
          <w:tcPr>
            <w:tcW w:type="dxa" w:w="31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Can we meet the masters?</w:t>
            </w:r>
          </w:p>
        </w:tc>
        <w:tc>
          <w:tcPr>
            <w:tcW w:type="dxa" w:w="592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They are named in the deck with signed consent; with their agreement we invite them or share their contact through our institute.</w:t>
            </w:r>
          </w:p>
        </w:tc>
      </w:tr>
      <w:tr>
        <w:trPr>
          <w:cantSplit/>
        </w:trPr>
        <w:tc>
          <w:tcPr>
            <w:tcW w:type="dxa" w:w="31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What if E1 fails?</w:t>
            </w:r>
          </w:p>
        </w:tc>
        <w:tc>
          <w:tcPr>
            <w:tcW w:type="dxa" w:w="592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We follow the graded claim table in Section 7.1 and say so.</w:t>
            </w:r>
          </w:p>
        </w:tc>
      </w:tr>
    </w:tbl>
    <w:p>
      <w:pPr>
        <w:spacing w:after="80"/>
      </w:pPr>
    </w:p>
    <w:p>
      <w:pPr>
        <w:pStyle w:val="Heading1"/>
        <w:keepNext/>
        <w:spacing w:after="200" w:before="480"/>
      </w:pPr>
      <w:r>
        <w:rPr>
          <w:rFonts w:ascii="Arial" w:cs="Arial" w:eastAsia="Arial" w:hAnsi="Arial"/>
        </w:rPr>
        <w:t xml:space="preserve">14. Limits we state openly</w:t>
      </w:r>
    </w:p>
    <w:p>
      <w:pPr>
        <w:pStyle w:val="ListParagraph"/>
        <w:numPr>
          <w:ilvl w:val="0"/>
          <w:numId w:val="2"/>
        </w:numPr>
        <w:spacing w:after="60" w:line="268"/>
      </w:pPr>
      <w:r>
        <w:rPr>
          <w:rFonts w:ascii="Arial" w:cs="Arial" w:eastAsia="Arial" w:hAnsi="Arial"/>
          <w:b/>
          <w:bCs/>
          <w:color w:val="222222"/>
          <w:sz w:val="20"/>
          <w:szCs w:val="20"/>
        </w:rPr>
        <w:t xml:space="preserve">Body sensors have limits:</w:t>
      </w:r>
      <w:r>
        <w:rPr>
          <w:rFonts w:ascii="Arial" w:cs="Arial" w:eastAsia="Arial" w:hAnsi="Arial"/>
          <w:color w:val="222222"/>
          <w:sz w:val="20"/>
          <w:szCs w:val="20"/>
        </w:rPr>
        <w:t xml:space="preserve"> shoulder angles can be off by many degrees </w:t>
      </w:r>
      <w:r>
        <w:rPr>
          <w:rFonts w:ascii="Arial" w:cs="Arial" w:eastAsia="Arial" w:hAnsi="Arial"/>
          <w:b w:val="false"/>
          <w:bCs w:val="false"/>
          <w:color w:val="1F4E79"/>
          <w:sz w:val="20"/>
          <w:szCs w:val="20"/>
        </w:rPr>
        <w:t xml:space="preserve">[62]</w:t>
      </w:r>
      <w:r>
        <w:rPr>
          <w:rFonts w:ascii="Arial" w:cs="Arial" w:eastAsia="Arial" w:hAnsi="Arial"/>
          <w:color w:val="222222"/>
          <w:sz w:val="20"/>
          <w:szCs w:val="20"/>
        </w:rPr>
        <w:t xml:space="preserve">; we rely on timing, order and speed.</w:t>
      </w:r>
    </w:p>
    <w:p>
      <w:pPr>
        <w:pStyle w:val="ListParagraph"/>
        <w:numPr>
          <w:ilvl w:val="0"/>
          <w:numId w:val="2"/>
        </w:numPr>
        <w:spacing w:after="60" w:line="268"/>
      </w:pPr>
      <w:r>
        <w:rPr>
          <w:rFonts w:ascii="Arial" w:cs="Arial" w:eastAsia="Arial" w:hAnsi="Arial"/>
          <w:b/>
          <w:bCs/>
          <w:color w:val="222222"/>
          <w:sz w:val="20"/>
          <w:szCs w:val="20"/>
        </w:rPr>
        <w:t xml:space="preserve">The real-data test is not tabla:</w:t>
      </w:r>
      <w:r>
        <w:rPr>
          <w:rFonts w:ascii="Arial" w:cs="Arial" w:eastAsia="Arial" w:hAnsi="Arial"/>
          <w:color w:val="222222"/>
          <w:sz w:val="20"/>
          <w:szCs w:val="20"/>
        </w:rPr>
        <w:t xml:space="preserve"> Western drummers, MIDI, one kit; it cannot test an instrument swap.</w:t>
      </w:r>
    </w:p>
    <w:p>
      <w:pPr>
        <w:pStyle w:val="ListParagraph"/>
        <w:numPr>
          <w:ilvl w:val="0"/>
          <w:numId w:val="2"/>
        </w:numPr>
        <w:spacing w:after="60" w:line="268"/>
      </w:pPr>
      <w:r>
        <w:rPr>
          <w:rFonts w:ascii="Arial" w:cs="Arial" w:eastAsia="Arial" w:hAnsi="Arial"/>
          <w:b/>
          <w:bCs/>
          <w:color w:val="222222"/>
          <w:sz w:val="20"/>
          <w:szCs w:val="20"/>
        </w:rPr>
        <w:t xml:space="preserve">Timing alone is near the pass mark</w:t>
      </w:r>
      <w:r>
        <w:rPr>
          <w:rFonts w:ascii="Arial" w:cs="Arial" w:eastAsia="Arial" w:hAnsi="Arial"/>
          <w:color w:val="222222"/>
          <w:sz w:val="20"/>
          <w:szCs w:val="20"/>
        </w:rPr>
        <w:t xml:space="preserve"> (Section 6); the style claim depends on the sleeve's movement data.</w:t>
      </w:r>
    </w:p>
    <w:p>
      <w:pPr>
        <w:pStyle w:val="ListParagraph"/>
        <w:numPr>
          <w:ilvl w:val="0"/>
          <w:numId w:val="2"/>
        </w:numPr>
        <w:spacing w:after="60" w:line="268"/>
      </w:pPr>
      <w:r>
        <w:rPr>
          <w:rFonts w:ascii="Arial" w:cs="Arial" w:eastAsia="Arial" w:hAnsi="Arial"/>
          <w:b/>
          <w:bCs/>
          <w:color w:val="222222"/>
          <w:sz w:val="20"/>
          <w:szCs w:val="20"/>
        </w:rPr>
        <w:t xml:space="preserve">Not captured:</w:t>
      </w:r>
      <w:r>
        <w:rPr>
          <w:rFonts w:ascii="Arial" w:cs="Arial" w:eastAsia="Arial" w:hAnsi="Arial"/>
          <w:color w:val="222222"/>
          <w:sz w:val="20"/>
          <w:szCs w:val="20"/>
        </w:rPr>
        <w:t xml:space="preserve"> grip force inside the hand, tone colour, thread tension.</w:t>
      </w:r>
    </w:p>
    <w:p>
      <w:pPr>
        <w:pStyle w:val="ListParagraph"/>
        <w:numPr>
          <w:ilvl w:val="0"/>
          <w:numId w:val="2"/>
        </w:numPr>
        <w:spacing w:after="60" w:line="268"/>
      </w:pPr>
      <w:r>
        <w:rPr>
          <w:rFonts w:ascii="Arial" w:cs="Arial" w:eastAsia="Arial" w:hAnsi="Arial"/>
          <w:b/>
          <w:bCs/>
          <w:color w:val="222222"/>
          <w:sz w:val="20"/>
          <w:szCs w:val="20"/>
        </w:rPr>
        <w:t xml:space="preserve">Small first studies:</w:t>
      </w:r>
      <w:r>
        <w:rPr>
          <w:rFonts w:ascii="Arial" w:cs="Arial" w:eastAsia="Arial" w:hAnsi="Arial"/>
          <w:color w:val="222222"/>
          <w:sz w:val="20"/>
          <w:szCs w:val="20"/>
        </w:rPr>
        <w:t xml:space="preserve"> E0–E5 test feasibility and estimate effects.</w:t>
      </w:r>
    </w:p>
    <w:p>
      <w:pPr>
        <w:pStyle w:val="ListParagraph"/>
        <w:numPr>
          <w:ilvl w:val="0"/>
          <w:numId w:val="2"/>
        </w:numPr>
        <w:spacing w:after="60" w:line="268"/>
      </w:pPr>
      <w:r>
        <w:rPr>
          <w:rFonts w:ascii="Arial" w:cs="Arial" w:eastAsia="Arial" w:hAnsi="Arial"/>
          <w:b/>
          <w:bCs/>
          <w:color w:val="222222"/>
          <w:sz w:val="20"/>
          <w:szCs w:val="20"/>
        </w:rPr>
        <w:t xml:space="preserve">Looms are not portable:</w:t>
      </w:r>
      <w:r>
        <w:rPr>
          <w:rFonts w:ascii="Arial" w:cs="Arial" w:eastAsia="Arial" w:hAnsi="Arial"/>
          <w:color w:val="222222"/>
          <w:sz w:val="20"/>
          <w:szCs w:val="20"/>
        </w:rPr>
        <w:t xml:space="preserve"> handloom work happens at weaving centres; the finale shows recordings.</w:t>
      </w:r>
    </w:p>
    <w:p>
      <w:pPr>
        <w:pStyle w:val="ListParagraph"/>
        <w:numPr>
          <w:ilvl w:val="0"/>
          <w:numId w:val="2"/>
        </w:numPr>
        <w:spacing w:after="60" w:line="268"/>
      </w:pPr>
      <w:r>
        <w:rPr>
          <w:rFonts w:ascii="Arial" w:cs="Arial" w:eastAsia="Arial" w:hAnsi="Arial"/>
          <w:b/>
          <w:bCs/>
          <w:color w:val="222222"/>
          <w:sz w:val="20"/>
          <w:szCs w:val="20"/>
        </w:rPr>
        <w:t xml:space="preserve">Some masters may not want to be recorded.</w:t>
      </w:r>
      <w:r>
        <w:rPr>
          <w:rFonts w:ascii="Arial" w:cs="Arial" w:eastAsia="Arial" w:hAnsi="Arial"/>
          <w:color w:val="222222"/>
          <w:sz w:val="20"/>
          <w:szCs w:val="20"/>
        </w:rPr>
        <w:t xml:space="preserve"> Their choice decides what we do.</w:t>
      </w:r>
    </w:p>
    <w:p>
      <w:pPr>
        <w:pStyle w:val="Heading1"/>
        <w:keepNext/>
        <w:spacing w:after="200" w:before="480"/>
      </w:pPr>
      <w:r>
        <w:rPr>
          <w:rFonts w:ascii="Arial" w:cs="Arial" w:eastAsia="Arial" w:hAnsi="Arial"/>
        </w:rPr>
        <w:t xml:space="preserve">15. Roadmap after SIH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83"/>
        <w:gridCol w:w="4444"/>
        <w:gridCol w:w="2499"/>
      </w:tblGrid>
      <w:tr>
        <w:trPr>
          <w:cantSplit/>
          <w:tblHeader/>
        </w:trPr>
        <w:tc>
          <w:tcPr>
            <w:tcW w:type="dxa" w:w="208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When</w:t>
            </w:r>
          </w:p>
        </w:tc>
        <w:tc>
          <w:tcPr>
            <w:tcW w:type="dxa" w:w="444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w:t>
            </w:r>
          </w:p>
        </w:tc>
        <w:tc>
          <w:tcPr>
            <w:tcW w:type="dxa" w:w="249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Starts only if</w:t>
            </w:r>
          </w:p>
        </w:tc>
      </w:tr>
      <w:tr>
        <w:trPr>
          <w:cantSplit/>
        </w:trPr>
        <w:tc>
          <w:tcPr>
            <w:tcW w:type="dxa" w:w="2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0–6 months</w:t>
            </w:r>
          </w:p>
        </w:tc>
        <w:tc>
          <w:tcPr>
            <w:tcW w:type="dxa" w:w="444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Tabla learning trial with about 120 people (detects d ≈ 0.52) </w:t>
            </w:r>
            <w:r>
              <w:rPr>
                <w:rFonts w:ascii="Arial" w:cs="Arial" w:eastAsia="Arial" w:hAnsi="Arial"/>
                <w:b w:val="false"/>
                <w:bCs w:val="false"/>
                <w:color w:val="1F4E79"/>
                <w:sz w:val="16"/>
                <w:szCs w:val="16"/>
              </w:rPr>
              <w:t xml:space="preserve">[92]</w:t>
            </w:r>
          </w:p>
        </w:tc>
        <w:tc>
          <w:tcPr>
            <w:tcW w:type="dxa" w:w="249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E0–E5 pass for tabla</w:t>
            </w:r>
          </w:p>
        </w:tc>
      </w:tr>
      <w:tr>
        <w:trPr>
          <w:cantSplit/>
        </w:trPr>
        <w:tc>
          <w:tcPr>
            <w:tcW w:type="dxa" w:w="2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0–6 months</w:t>
            </w:r>
          </w:p>
        </w:tc>
        <w:tc>
          <w:tcPr>
            <w:tcW w:type="dxa" w:w="444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Handloom training pilot at a Weavers' Service Centre, with shoulder feedback</w:t>
            </w:r>
          </w:p>
        </w:tc>
        <w:tc>
          <w:tcPr>
            <w:tcW w:type="dxa" w:w="249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E0 and E1 pass for handloom</w:t>
            </w:r>
          </w:p>
        </w:tc>
      </w:tr>
      <w:tr>
        <w:trPr>
          <w:cantSplit/>
        </w:trPr>
        <w:tc>
          <w:tcPr>
            <w:tcW w:type="dxa" w:w="2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0–6 months</w:t>
            </w:r>
          </w:p>
        </w:tc>
        <w:tc>
          <w:tcPr>
            <w:tcW w:type="dxa" w:w="444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Flexible-circuit sleeve; volume cost about ₹5,000–7,000; on-device stroke recognition </w:t>
            </w:r>
            <w:r>
              <w:rPr>
                <w:rFonts w:ascii="Arial" w:cs="Arial" w:eastAsia="Arial" w:hAnsi="Arial"/>
                <w:b w:val="false"/>
                <w:bCs w:val="false"/>
                <w:color w:val="1F4E79"/>
                <w:sz w:val="16"/>
                <w:szCs w:val="16"/>
              </w:rPr>
              <w:t xml:space="preserve">[17]</w:t>
            </w:r>
          </w:p>
        </w:tc>
        <w:tc>
          <w:tcPr>
            <w:tcW w:type="dxa" w:w="249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Bench tests stable</w:t>
            </w:r>
          </w:p>
        </w:tc>
      </w:tr>
      <w:tr>
        <w:trPr>
          <w:cantSplit/>
        </w:trPr>
        <w:tc>
          <w:tcPr>
            <w:tcW w:type="dxa" w:w="2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6–12 months</w:t>
            </w:r>
          </w:p>
        </w:tc>
        <w:tc>
          <w:tcPr>
            <w:tcW w:type="dxa" w:w="444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Style level where E1 passes; archive pilot with NCAA </w:t>
            </w:r>
            <w:r>
              <w:rPr>
                <w:rFonts w:ascii="Arial" w:cs="Arial" w:eastAsia="Arial" w:hAnsi="Arial"/>
                <w:b w:val="false"/>
                <w:bCs w:val="false"/>
                <w:color w:val="1F4E79"/>
                <w:sz w:val="16"/>
                <w:szCs w:val="16"/>
              </w:rPr>
              <w:t xml:space="preserve">[50]</w:t>
            </w:r>
          </w:p>
        </w:tc>
        <w:tc>
          <w:tcPr>
            <w:tcW w:type="dxa" w:w="249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Clear fingerprints in E1</w:t>
            </w:r>
          </w:p>
        </w:tc>
      </w:tr>
      <w:tr>
        <w:trPr>
          <w:cantSplit/>
        </w:trPr>
        <w:tc>
          <w:tcPr>
            <w:tcW w:type="dxa" w:w="2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12+ months</w:t>
            </w:r>
          </w:p>
        </w:tc>
        <w:tc>
          <w:tcPr>
            <w:tcW w:type="dxa" w:w="444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Glove and shadow puppetry, kathak footwork, pottery </w:t>
            </w:r>
            <w:r>
              <w:rPr>
                <w:rFonts w:ascii="Arial" w:cs="Arial" w:eastAsia="Arial" w:hAnsi="Arial"/>
                <w:b w:val="false"/>
                <w:bCs w:val="false"/>
                <w:color w:val="1F4E79"/>
                <w:sz w:val="16"/>
                <w:szCs w:val="16"/>
              </w:rPr>
              <w:t xml:space="preserve">[22, 72]</w:t>
            </w:r>
          </w:p>
        </w:tc>
        <w:tc>
          <w:tcPr>
            <w:tcW w:type="dxa" w:w="249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Three-craft deployment working</w:t>
            </w:r>
          </w:p>
        </w:tc>
      </w:tr>
    </w:tbl>
    <w:p>
      <w:pPr>
        <w:spacing w:after="80"/>
      </w:pPr>
    </w:p>
    <w:p>
      <w:pPr>
        <w:pStyle w:val="Heading1"/>
        <w:keepNext/>
        <w:pageBreakBefore/>
        <w:spacing w:after="200" w:before="0"/>
      </w:pPr>
      <w:r>
        <w:rPr>
          <w:rFonts w:ascii="Arial" w:cs="Arial" w:eastAsia="Arial" w:hAnsi="Arial"/>
        </w:rPr>
        <w:t xml:space="preserve">16. References</w:t>
      </w:r>
    </w:p>
    <w:p>
      <w:pPr>
        <w:spacing w:after="120" w:before="0" w:line="276"/>
        <w:jc w:val="left"/>
      </w:pPr>
      <w:r>
        <w:rPr>
          <w:rFonts w:ascii="Arial" w:cs="Arial" w:eastAsia="Arial" w:hAnsi="Arial"/>
          <w:color w:val="222222"/>
          <w:sz w:val="20"/>
          <w:szCs w:val="20"/>
        </w:rPr>
        <w:t xml:space="preserve">Status at the end of each entry: </w:t>
      </w:r>
      <w:r>
        <w:rPr>
          <w:rFonts w:ascii="Arial" w:cs="Arial" w:eastAsia="Arial" w:hAnsi="Arial"/>
          <w:b/>
          <w:bCs/>
          <w:color w:val="222222"/>
          <w:sz w:val="20"/>
          <w:szCs w:val="20"/>
        </w:rPr>
        <w:t xml:space="preserve">V</w:t>
      </w:r>
      <w:r>
        <w:rPr>
          <w:rFonts w:ascii="Arial" w:cs="Arial" w:eastAsia="Arial" w:hAnsi="Arial"/>
          <w:color w:val="222222"/>
          <w:sz w:val="20"/>
          <w:szCs w:val="20"/>
        </w:rPr>
        <w:t xml:space="preserve"> verified by live web search in October 2026; </w:t>
      </w:r>
      <w:r>
        <w:rPr>
          <w:rFonts w:ascii="Arial" w:cs="Arial" w:eastAsia="Arial" w:hAnsi="Arial"/>
          <w:b/>
          <w:bCs/>
          <w:color w:val="222222"/>
          <w:sz w:val="20"/>
          <w:szCs w:val="20"/>
        </w:rPr>
        <w:t xml:space="preserve">P</w:t>
      </w:r>
      <w:r>
        <w:rPr>
          <w:rFonts w:ascii="Arial" w:cs="Arial" w:eastAsia="Arial" w:hAnsi="Arial"/>
          <w:color w:val="222222"/>
          <w:sz w:val="20"/>
          <w:szCs w:val="20"/>
        </w:rPr>
        <w:t xml:space="preserve"> existence verified, some details from memory (check before quoting); </w:t>
      </w:r>
      <w:r>
        <w:rPr>
          <w:rFonts w:ascii="Arial" w:cs="Arial" w:eastAsia="Arial" w:hAnsi="Arial"/>
          <w:b/>
          <w:bCs/>
          <w:color w:val="222222"/>
          <w:sz w:val="20"/>
          <w:szCs w:val="20"/>
        </w:rPr>
        <w:t xml:space="preserve">S</w:t>
      </w:r>
      <w:r>
        <w:rPr>
          <w:rFonts w:ascii="Arial" w:cs="Arial" w:eastAsia="Arial" w:hAnsi="Arial"/>
          <w:color w:val="222222"/>
          <w:sz w:val="20"/>
          <w:szCs w:val="20"/>
        </w:rPr>
        <w:t xml:space="preserve"> standard textbook or classic paper. Only references cited in this document are listed.</w:t>
      </w:r>
    </w:p>
    <w:p>
      <w:pPr>
        <w:pStyle w:val="Heading3"/>
        <w:keepNext/>
      </w:pPr>
      <w:r>
        <w:rPr>
          <w:rFonts w:ascii="Arial" w:cs="Arial" w:eastAsia="Arial" w:hAnsi="Arial"/>
        </w:rPr>
        <w:t xml:space="preserve">A. Haptic guidance and music learning</w:t>
      </w:r>
    </w:p>
    <w:p>
      <w:pPr>
        <w:spacing w:after="70" w:line="252"/>
        <w:ind w:left="520" w:hanging="520"/>
      </w:pPr>
      <w:r>
        <w:rPr>
          <w:rFonts w:ascii="Arial" w:cs="Arial" w:eastAsia="Arial" w:hAnsi="Arial"/>
          <w:b/>
          <w:bCs/>
          <w:color w:val="1F4E79"/>
          <w:sz w:val="17"/>
          <w:szCs w:val="17"/>
        </w:rPr>
        <w:t xml:space="preserve">[1]  </w:t>
      </w:r>
      <w:r>
        <w:rPr>
          <w:rFonts w:ascii="Arial" w:cs="Arial" w:eastAsia="Arial" w:hAnsi="Arial"/>
          <w:color w:val="222222"/>
          <w:sz w:val="17"/>
          <w:szCs w:val="17"/>
        </w:rPr>
        <w:t xml:space="preserve">Grindlay, G. (2008). Haptic guidance benefits musical motor learning. Proc. IEEE Symposium on Haptic Interfaces for Virtual Environment and Teleoperator Systems (HAPTICS 2008). Finding used: adding haptic guidance to audio training reduced final velocity error by 17% and early-stage timing error by 18% compared with audio alone.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xzl-m1jbgmztk9zzucifc">
        <w:r>
          <w:rPr>
            <w:rFonts w:ascii="Arial" w:cs="Arial" w:eastAsia="Arial" w:hAnsi="Arial"/>
            <w:color w:val="1F4E79"/>
            <w:sz w:val="15"/>
            <w:szCs w:val="15"/>
            <w:u w:val="single"/>
          </w:rPr>
          <w:t xml:space="preserve">https://www.ee.columbia.edu/~grindlay/pubs/Haptics_2008.pdf</w:t>
        </w:r>
      </w:hyperlink>
    </w:p>
    <w:p>
      <w:pPr>
        <w:spacing w:after="70" w:line="252"/>
        <w:ind w:left="520" w:hanging="520"/>
      </w:pPr>
      <w:r>
        <w:rPr>
          <w:rFonts w:ascii="Arial" w:cs="Arial" w:eastAsia="Arial" w:hAnsi="Arial"/>
          <w:b/>
          <w:bCs/>
          <w:color w:val="1F4E79"/>
          <w:sz w:val="17"/>
          <w:szCs w:val="17"/>
        </w:rPr>
        <w:t xml:space="preserve">[2]  </w:t>
      </w:r>
      <w:r>
        <w:rPr>
          <w:rFonts w:ascii="Arial" w:cs="Arial" w:eastAsia="Arial" w:hAnsi="Arial"/>
          <w:color w:val="222222"/>
          <w:sz w:val="17"/>
          <w:szCs w:val="17"/>
        </w:rPr>
        <w:t xml:space="preserve">Grindlay, G. (2007). The impact of haptic guidance on musical motor learning. S.M. thesis, MIT Media Lab.</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onq8uecay2yj9pfgfjpin">
        <w:r>
          <w:rPr>
            <w:rFonts w:ascii="Arial" w:cs="Arial" w:eastAsia="Arial" w:hAnsi="Arial"/>
            <w:color w:val="1F4E79"/>
            <w:sz w:val="15"/>
            <w:szCs w:val="15"/>
            <w:u w:val="single"/>
          </w:rPr>
          <w:t xml:space="preserve">https://dspace.mit.edu/handle/1721.1/41562</w:t>
        </w:r>
      </w:hyperlink>
    </w:p>
    <w:p>
      <w:pPr>
        <w:spacing w:after="70" w:line="252"/>
        <w:ind w:left="520" w:hanging="520"/>
      </w:pPr>
      <w:r>
        <w:rPr>
          <w:rFonts w:ascii="Arial" w:cs="Arial" w:eastAsia="Arial" w:hAnsi="Arial"/>
          <w:b/>
          <w:bCs/>
          <w:color w:val="1F4E79"/>
          <w:sz w:val="17"/>
          <w:szCs w:val="17"/>
        </w:rPr>
        <w:t xml:space="preserve">[3]  </w:t>
      </w:r>
      <w:r>
        <w:rPr>
          <w:rFonts w:ascii="Arial" w:cs="Arial" w:eastAsia="Arial" w:hAnsi="Arial"/>
          <w:color w:val="222222"/>
          <w:sz w:val="17"/>
          <w:szCs w:val="17"/>
        </w:rPr>
        <w:t xml:space="preserve">Feygin, D., Keehner, M., &amp; Tendick, F. (2002). Haptic guidance: experimental evaluation of a haptic training method for a perceptual motor skill. Proc. 10th Symposium on Haptic Interfaces for Virtual Environment and Teleoperator Systems (HAPTICS 2002), Orlando. Finding: timing accuracy was dominated by haptic training, position and shape by visual training.</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lw3owb_y_ckvsai81izz7">
        <w:r>
          <w:rPr>
            <w:rFonts w:ascii="Arial" w:cs="Arial" w:eastAsia="Arial" w:hAnsi="Arial"/>
            <w:color w:val="1F4E79"/>
            <w:sz w:val="15"/>
            <w:szCs w:val="15"/>
            <w:u w:val="single"/>
          </w:rPr>
          <w:t xml:space="preserve">https://www.semanticscholar.org/paper/14e629ead9528a9554b249bdc44134a4ac7c22c9</w:t>
        </w:r>
      </w:hyperlink>
    </w:p>
    <w:p>
      <w:pPr>
        <w:spacing w:after="70" w:line="252"/>
        <w:ind w:left="520" w:hanging="520"/>
      </w:pPr>
      <w:r>
        <w:rPr>
          <w:rFonts w:ascii="Arial" w:cs="Arial" w:eastAsia="Arial" w:hAnsi="Arial"/>
          <w:b/>
          <w:bCs/>
          <w:color w:val="1F4E79"/>
          <w:sz w:val="17"/>
          <w:szCs w:val="17"/>
        </w:rPr>
        <w:t xml:space="preserve">[4]  </w:t>
      </w:r>
      <w:r>
        <w:rPr>
          <w:rFonts w:ascii="Arial" w:cs="Arial" w:eastAsia="Arial" w:hAnsi="Arial"/>
          <w:color w:val="222222"/>
          <w:sz w:val="17"/>
          <w:szCs w:val="17"/>
        </w:rPr>
        <w:t xml:space="preserve">Holland, S., Bouwer, A. J., Dalgleish, M., &amp; Hurtig, T. M. (2010). Feeling the beat where it counts: fostering multi-limb rhythm skills with the Haptic Drum Kit. Proc. TEI 2010. Finding: beginning drummers learned intricate multi-limb patterns from haptic stimuli alone.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agvbn7r-w_evmr-ssldf">
        <w:r>
          <w:rPr>
            <w:rFonts w:ascii="Arial" w:cs="Arial" w:eastAsia="Arial" w:hAnsi="Arial"/>
            <w:color w:val="1F4E79"/>
            <w:sz w:val="15"/>
            <w:szCs w:val="15"/>
            <w:u w:val="single"/>
          </w:rPr>
          <w:t xml:space="preserve">https://oro.open.ac.uk/18900</w:t>
        </w:r>
      </w:hyperlink>
    </w:p>
    <w:p>
      <w:pPr>
        <w:spacing w:after="70" w:line="252"/>
        <w:ind w:left="520" w:hanging="520"/>
      </w:pPr>
      <w:r>
        <w:rPr>
          <w:rFonts w:ascii="Arial" w:cs="Arial" w:eastAsia="Arial" w:hAnsi="Arial"/>
          <w:b/>
          <w:bCs/>
          <w:color w:val="1F4E79"/>
          <w:sz w:val="17"/>
          <w:szCs w:val="17"/>
        </w:rPr>
        <w:t xml:space="preserve">[5]  </w:t>
      </w:r>
      <w:r>
        <w:rPr>
          <w:rFonts w:ascii="Arial" w:cs="Arial" w:eastAsia="Arial" w:hAnsi="Arial"/>
          <w:color w:val="222222"/>
          <w:sz w:val="17"/>
          <w:szCs w:val="17"/>
        </w:rPr>
        <w:t xml:space="preserve">Holland, S., Bouwer, A., &amp; Hödl, O. (2018). Haptics for the development of fundamental rhythm skills, including multi-limb coordination. In S. Papetti &amp; C. Saitis (Eds.), Musical Haptics. Springer (open access). Includes a teacher-and-learner bracelet set-up that lets a learner feel which limb a drummer uses in real time.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tya_wcwonderkhwqdamue">
        <w:r>
          <w:rPr>
            <w:rFonts w:ascii="Arial" w:cs="Arial" w:eastAsia="Arial" w:hAnsi="Arial"/>
            <w:color w:val="1F4E79"/>
            <w:sz w:val="15"/>
            <w:szCs w:val="15"/>
            <w:u w:val="single"/>
          </w:rPr>
          <w:t xml:space="preserve">https://oro.open.ac.uk/52571</w:t>
        </w:r>
      </w:hyperlink>
    </w:p>
    <w:p>
      <w:pPr>
        <w:spacing w:after="70" w:line="252"/>
        <w:ind w:left="520" w:hanging="520"/>
      </w:pPr>
      <w:r>
        <w:rPr>
          <w:rFonts w:ascii="Arial" w:cs="Arial" w:eastAsia="Arial" w:hAnsi="Arial"/>
          <w:b/>
          <w:bCs/>
          <w:color w:val="1F4E79"/>
          <w:sz w:val="17"/>
          <w:szCs w:val="17"/>
        </w:rPr>
        <w:t xml:space="preserve">[6]  </w:t>
      </w:r>
      <w:r>
        <w:rPr>
          <w:rFonts w:ascii="Arial" w:cs="Arial" w:eastAsia="Arial" w:hAnsi="Arial"/>
          <w:color w:val="222222"/>
          <w:sz w:val="17"/>
          <w:szCs w:val="17"/>
        </w:rPr>
        <w:t xml:space="preserve">van der Linden, J., Schoonderwaldt, E., Bird, J., &amp; Johnson, R. (2011). MusicJacket: combining motion capture and vibrotactile feedback to teach violin bowing. IEEE Transactions on Instrumentation and Measurement, 60(1), 104–113. Finding: vibrotactile feedback improved novices' straight bowing; half kept the improvement without feedback; no control learner improved comparably.</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wk_vibodj0egepqntgw0g">
        <w:r>
          <w:rPr>
            <w:rFonts w:ascii="Arial" w:cs="Arial" w:eastAsia="Arial" w:hAnsi="Arial"/>
            <w:color w:val="1F4E79"/>
            <w:sz w:val="15"/>
            <w:szCs w:val="15"/>
            <w:u w:val="single"/>
          </w:rPr>
          <w:t xml:space="preserve">https://oro.open.ac.uk/25275</w:t>
        </w:r>
      </w:hyperlink>
    </w:p>
    <w:p>
      <w:pPr>
        <w:spacing w:after="70" w:line="252"/>
        <w:ind w:left="520" w:hanging="520"/>
      </w:pPr>
      <w:r>
        <w:rPr>
          <w:rFonts w:ascii="Arial" w:cs="Arial" w:eastAsia="Arial" w:hAnsi="Arial"/>
          <w:b/>
          <w:bCs/>
          <w:color w:val="1F4E79"/>
          <w:sz w:val="17"/>
          <w:szCs w:val="17"/>
        </w:rPr>
        <w:t xml:space="preserve">[7]  </w:t>
      </w:r>
      <w:r>
        <w:rPr>
          <w:rFonts w:ascii="Arial" w:cs="Arial" w:eastAsia="Arial" w:hAnsi="Arial"/>
          <w:color w:val="222222"/>
          <w:sz w:val="17"/>
          <w:szCs w:val="17"/>
        </w:rPr>
        <w:t xml:space="preserve">Lee, I., &amp; Choi, S. Vibrotactile guidance for drumming learning: method and perceptual assessment. IEEE haptics conference paper (IEEE Xplore document 6548471); and Lee, I. (2015). Vibrotactile guidance for motor skill learning and its application to drumming learning. PhD thesis, POSTECH. Finding: 96.18% accuracy (0.77 s) for identifying the target drum plus one of two strength levels per strike.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7eljrg7z14kvkfn-oomrn">
        <w:r>
          <w:rPr>
            <w:rFonts w:ascii="Arial" w:cs="Arial" w:eastAsia="Arial" w:hAnsi="Arial"/>
            <w:color w:val="1F4E79"/>
            <w:sz w:val="15"/>
            <w:szCs w:val="15"/>
            <w:u w:val="single"/>
          </w:rPr>
          <w:t xml:space="preserve">https://remotecenter.postech.ac.kr/handle/2014.oak/93484</w:t>
        </w:r>
      </w:hyperlink>
    </w:p>
    <w:p>
      <w:pPr>
        <w:spacing w:after="70" w:line="252"/>
        <w:ind w:left="520" w:hanging="520"/>
      </w:pPr>
      <w:r>
        <w:rPr>
          <w:rFonts w:ascii="Arial" w:cs="Arial" w:eastAsia="Arial" w:hAnsi="Arial"/>
          <w:b/>
          <w:bCs/>
          <w:color w:val="1F4E79"/>
          <w:sz w:val="17"/>
          <w:szCs w:val="17"/>
        </w:rPr>
        <w:t xml:space="preserve">[8]  </w:t>
      </w:r>
      <w:r>
        <w:rPr>
          <w:rFonts w:ascii="Arial" w:cs="Arial" w:eastAsia="Arial" w:hAnsi="Arial"/>
          <w:color w:val="222222"/>
          <w:sz w:val="17"/>
          <w:szCs w:val="17"/>
        </w:rPr>
        <w:t xml:space="preserve">Coscia, M. A., &amp; Al Borno, M. (2024). Vibrotactile versus visual stimulation in learning the piano. arXiv:2406.06720. Finding (n = 14, 14-note tune): timing error 12.1% (SD 6.0) with vibrotactile cues vs 22.3% (SD 10.3) with visual cues; note accuracy not significantly different.</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acddnh4yks7dkqhdebcvu">
        <w:r>
          <w:rPr>
            <w:rFonts w:ascii="Arial" w:cs="Arial" w:eastAsia="Arial" w:hAnsi="Arial"/>
            <w:color w:val="1F4E79"/>
            <w:sz w:val="15"/>
            <w:szCs w:val="15"/>
            <w:u w:val="single"/>
          </w:rPr>
          <w:t xml:space="preserve">https://arxiv.org/abs/2406.06720</w:t>
        </w:r>
      </w:hyperlink>
    </w:p>
    <w:p>
      <w:pPr>
        <w:spacing w:after="70" w:line="252"/>
        <w:ind w:left="520" w:hanging="520"/>
      </w:pPr>
      <w:r>
        <w:rPr>
          <w:rFonts w:ascii="Arial" w:cs="Arial" w:eastAsia="Arial" w:hAnsi="Arial"/>
          <w:b/>
          <w:bCs/>
          <w:color w:val="1F4E79"/>
          <w:sz w:val="17"/>
          <w:szCs w:val="17"/>
        </w:rPr>
        <w:t xml:space="preserve">[9]  </w:t>
      </w:r>
      <w:r>
        <w:rPr>
          <w:rFonts w:ascii="Arial" w:cs="Arial" w:eastAsia="Arial" w:hAnsi="Arial"/>
          <w:color w:val="222222"/>
          <w:sz w:val="17"/>
          <w:szCs w:val="17"/>
        </w:rPr>
        <w:t xml:space="preserve">Tranchant, P., Shiell, M. M., Giordano, M., Nadeau, A., Peretz, I., &amp; Zatorre, R. J. (2017). Feeling the beat: bouncing synchronization to vibrotactile music in hearing and early deaf people. Frontiers in Neuroscience, 11, 507.</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d7eudckzdz8pdldywjsnb">
        <w:r>
          <w:rPr>
            <w:rFonts w:ascii="Arial" w:cs="Arial" w:eastAsia="Arial" w:hAnsi="Arial"/>
            <w:color w:val="1F4E79"/>
            <w:sz w:val="15"/>
            <w:szCs w:val="15"/>
            <w:u w:val="single"/>
          </w:rPr>
          <w:t xml:space="preserve">https://www.frontiersin.org/articles/10.3389/fnins.2017.00507/full</w:t>
        </w:r>
      </w:hyperlink>
    </w:p>
    <w:p>
      <w:pPr>
        <w:spacing w:after="70" w:line="252"/>
        <w:ind w:left="520" w:hanging="520"/>
      </w:pPr>
      <w:r>
        <w:rPr>
          <w:rFonts w:ascii="Arial" w:cs="Arial" w:eastAsia="Arial" w:hAnsi="Arial"/>
          <w:b/>
          <w:bCs/>
          <w:color w:val="1F4E79"/>
          <w:sz w:val="17"/>
          <w:szCs w:val="17"/>
        </w:rPr>
        <w:t xml:space="preserve">[10]  </w:t>
      </w:r>
      <w:r>
        <w:rPr>
          <w:rFonts w:ascii="Arial" w:cs="Arial" w:eastAsia="Arial" w:hAnsi="Arial"/>
          <w:color w:val="222222"/>
          <w:sz w:val="17"/>
          <w:szCs w:val="17"/>
        </w:rPr>
        <w:t xml:space="preserve">Sigrist, R., Rauter, G., Riener, R., &amp; Wolf, P. (2013). Augmented visual, auditory, haptic, and multimodal feedback in motor learning: a review. Psychonomic Bulletin &amp; Review, 20(1), 21–53.</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[11]  </w:t>
      </w:r>
      <w:r>
        <w:rPr>
          <w:rFonts w:ascii="Arial" w:cs="Arial" w:eastAsia="Arial" w:hAnsi="Arial"/>
          <w:color w:val="222222"/>
          <w:sz w:val="17"/>
          <w:szCs w:val="17"/>
        </w:rPr>
        <w:t xml:space="preserve">Zahedi, E., et al. (2017). Gesture-based adaptive haptic guidance: a comparison of discriminative and generative modeling approaches. IEEE Robotics and Automation Letters (DOI 10.1109/LRA.2017.2660071). This is the real paper closest to the non-existent "Masur &amp; Sacks (2025)" citation found in an earlier team document.</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21we3kkqlxbp25-dii3lr">
        <w:r>
          <w:rPr>
            <w:rFonts w:ascii="Arial" w:cs="Arial" w:eastAsia="Arial" w:hAnsi="Arial"/>
            <w:color w:val="1F4E79"/>
            <w:sz w:val="15"/>
            <w:szCs w:val="15"/>
            <w:u w:val="single"/>
          </w:rPr>
          <w:t xml:space="preserve">https://api.openalex.org/works/doi:10.1109%2FLRA.2017.2660071</w:t>
        </w:r>
      </w:hyperlink>
    </w:p>
    <w:p>
      <w:pPr>
        <w:pStyle w:val="Heading3"/>
        <w:keepNext/>
      </w:pPr>
      <w:r>
        <w:rPr>
          <w:rFonts w:ascii="Arial" w:cs="Arial" w:eastAsia="Arial" w:hAnsi="Arial"/>
        </w:rPr>
        <w:t xml:space="preserve">B. Motor learning and assist-as-needed control</w:t>
      </w:r>
    </w:p>
    <w:p>
      <w:pPr>
        <w:spacing w:after="70" w:line="252"/>
        <w:ind w:left="520" w:hanging="520"/>
      </w:pPr>
      <w:r>
        <w:rPr>
          <w:rFonts w:ascii="Arial" w:cs="Arial" w:eastAsia="Arial" w:hAnsi="Arial"/>
          <w:b/>
          <w:bCs/>
          <w:color w:val="1F4E79"/>
          <w:sz w:val="17"/>
          <w:szCs w:val="17"/>
        </w:rPr>
        <w:t xml:space="preserve">[12]  </w:t>
      </w:r>
      <w:r>
        <w:rPr>
          <w:rFonts w:ascii="Arial" w:cs="Arial" w:eastAsia="Arial" w:hAnsi="Arial"/>
          <w:color w:val="222222"/>
          <w:sz w:val="17"/>
          <w:szCs w:val="17"/>
        </w:rPr>
        <w:t xml:space="preserve">Schmidt, R. A., &amp; Lee, T. D. Motor Control and Learning: A Behavioral Emphasis (use the latest edition). Human Kinetics.</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[13]  </w:t>
      </w:r>
      <w:r>
        <w:rPr>
          <w:rFonts w:ascii="Arial" w:cs="Arial" w:eastAsia="Arial" w:hAnsi="Arial"/>
          <w:color w:val="222222"/>
          <w:sz w:val="17"/>
          <w:szCs w:val="17"/>
        </w:rPr>
        <w:t xml:space="preserve">Salmoni, A. W., Schmidt, R. A., &amp; Walter, C. B. (1984). Knowledge of results and motor learning: a review and critical reappraisal. Psychological Bulletin, 95(3), 355–386.</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[14]  </w:t>
      </w:r>
      <w:r>
        <w:rPr>
          <w:rFonts w:ascii="Arial" w:cs="Arial" w:eastAsia="Arial" w:hAnsi="Arial"/>
          <w:color w:val="222222"/>
          <w:sz w:val="17"/>
          <w:szCs w:val="17"/>
        </w:rPr>
        <w:t xml:space="preserve">Winstein, C. J., &amp; Schmidt, R. A. (1990). Reduced frequency of knowledge of results enhances motor skill learning. Journal of Experimental Psychology: Learning, Memory, and Cognition, 16(4), 677–691. Finding: 50% feedback gave better retention than 100% feedback, although acquisition performance was worse.</w:t>
      </w:r>
      <w:r>
        <w:rPr>
          <w:rFonts w:ascii="Arial" w:cs="Arial" w:eastAsia="Arial" w:hAnsi="Arial"/>
          <w:b/>
          <w:bCs/>
          <w:color w:val="2E6B3A"/>
          <w:sz w:val="17"/>
          <w:szCs w:val="17"/>
        </w:rPr>
        <w:t xml:space="preserve">  Status: V.</w:t>
      </w:r>
    </w:p>
    <w:p>
      <w:pPr>
        <w:pStyle w:val="Heading3"/>
        <w:keepNext/>
      </w:pPr>
      <w:r>
        <w:rPr>
          <w:rFonts w:ascii="Arial" w:cs="Arial" w:eastAsia="Arial" w:hAnsi="Arial"/>
        </w:rPr>
        <w:t xml:space="preserve">C. Timing and sensorimotor synchronisation</w:t>
      </w:r>
    </w:p>
    <w:p>
      <w:pPr>
        <w:spacing w:after="70" w:line="252"/>
        <w:ind w:left="520" w:hanging="520"/>
      </w:pPr>
      <w:r>
        <w:rPr>
          <w:rFonts w:ascii="Arial" w:cs="Arial" w:eastAsia="Arial" w:hAnsi="Arial"/>
          <w:b/>
          <w:bCs/>
          <w:color w:val="1F4E79"/>
          <w:sz w:val="17"/>
          <w:szCs w:val="17"/>
        </w:rPr>
        <w:t xml:space="preserve">[15]  </w:t>
      </w:r>
      <w:r>
        <w:rPr>
          <w:rFonts w:ascii="Arial" w:cs="Arial" w:eastAsia="Arial" w:hAnsi="Arial"/>
          <w:color w:val="222222"/>
          <w:sz w:val="17"/>
          <w:szCs w:val="17"/>
        </w:rPr>
        <w:t xml:space="preserve">Repp, B. H. (2005). Sensorimotor synchronization: a review of the tapping literature. Psychonomic Bulletin &amp; Review, 12(6), 969–992. People tap tens of milliseconds before the pacing signal (negative mean asynchrony); musicians less so.</w:t>
      </w:r>
      <w:r>
        <w:rPr>
          <w:rFonts w:ascii="Arial" w:cs="Arial" w:eastAsia="Arial" w:hAnsi="Arial"/>
          <w:b/>
          <w:bCs/>
          <w:color w:val="2E6B3A"/>
          <w:sz w:val="17"/>
          <w:szCs w:val="17"/>
        </w:rPr>
        <w:t xml:space="preserve">  Status: V.</w:t>
      </w:r>
    </w:p>
    <w:p>
      <w:pPr>
        <w:pStyle w:val="Heading3"/>
        <w:keepNext/>
      </w:pPr>
      <w:r>
        <w:rPr>
          <w:rFonts w:ascii="Arial" w:cs="Arial" w:eastAsia="Arial" w:hAnsi="Arial"/>
        </w:rPr>
        <w:t xml:space="preserve">D. Touch perception and tactile design</w:t>
      </w:r>
    </w:p>
    <w:p>
      <w:pPr>
        <w:spacing w:after="70" w:line="252"/>
        <w:ind w:left="520" w:hanging="520"/>
      </w:pPr>
      <w:r>
        <w:rPr>
          <w:rFonts w:ascii="Arial" w:cs="Arial" w:eastAsia="Arial" w:hAnsi="Arial"/>
          <w:b/>
          <w:bCs/>
          <w:color w:val="1F4E79"/>
          <w:sz w:val="17"/>
          <w:szCs w:val="17"/>
        </w:rPr>
        <w:t xml:space="preserve">[16]  </w:t>
      </w:r>
      <w:r>
        <w:rPr>
          <w:rFonts w:ascii="Arial" w:cs="Arial" w:eastAsia="Arial" w:hAnsi="Arial"/>
          <w:color w:val="222222"/>
          <w:sz w:val="17"/>
          <w:szCs w:val="17"/>
        </w:rPr>
        <w:t xml:space="preserve">Bolanowski, S. J., Gescheider, G. A., Verrillo, R. T., &amp; Checkosky, C. M. (1988). Four channels mediate the mechanical aspects of touch. Journal of the Acoustical Society of America, 84(5), 1680–1694. Pacinian channel most sensitive near 250 Hz (sub-micrometre displacement thresholds).</w:t>
      </w:r>
      <w:r>
        <w:rPr>
          <w:rFonts w:ascii="Arial" w:cs="Arial" w:eastAsia="Arial" w:hAnsi="Arial"/>
          <w:b/>
          <w:bCs/>
          <w:color w:val="2E6B3A"/>
          <w:sz w:val="17"/>
          <w:szCs w:val="17"/>
        </w:rPr>
        <w:t xml:space="preserve">  Status: V.</w:t>
      </w:r>
    </w:p>
    <w:p>
      <w:pPr>
        <w:pStyle w:val="Heading3"/>
        <w:keepNext/>
      </w:pPr>
      <w:r>
        <w:rPr>
          <w:rFonts w:ascii="Arial" w:cs="Arial" w:eastAsia="Arial" w:hAnsi="Arial"/>
        </w:rPr>
        <w:t xml:space="preserve">E. Tabla, Indian music technology and music information research</w:t>
      </w:r>
    </w:p>
    <w:p>
      <w:pPr>
        <w:spacing w:after="70" w:line="252"/>
        <w:ind w:left="520" w:hanging="520"/>
      </w:pPr>
      <w:r>
        <w:rPr>
          <w:rFonts w:ascii="Arial" w:cs="Arial" w:eastAsia="Arial" w:hAnsi="Arial"/>
          <w:b/>
          <w:bCs/>
          <w:color w:val="1F4E79"/>
          <w:sz w:val="17"/>
          <w:szCs w:val="17"/>
        </w:rPr>
        <w:t xml:space="preserve">[17]  </w:t>
      </w:r>
      <w:r>
        <w:rPr>
          <w:rFonts w:ascii="Arial" w:cs="Arial" w:eastAsia="Arial" w:hAnsi="Arial"/>
          <w:color w:val="222222"/>
          <w:sz w:val="17"/>
          <w:szCs w:val="17"/>
        </w:rPr>
        <w:t xml:space="preserve">Rohit M. A., Bhattacharjee, A., &amp; Rao, P. (2023). Four-way classification of tabla strokes with transfer learning using Western drums. Transactions of the International Society for Music Information Retrieval. doi:10.5334/tismir.150. Uses atomic stroke classes: damped, resonant treble, resonant bass (and both).</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uhiayiuh2kkasyuoakh3c">
        <w:r>
          <w:rPr>
            <w:rFonts w:ascii="Arial" w:cs="Arial" w:eastAsia="Arial" w:hAnsi="Arial"/>
            <w:color w:val="1F4E79"/>
            <w:sz w:val="15"/>
            <w:szCs w:val="15"/>
            <w:u w:val="single"/>
          </w:rPr>
          <w:t xml:space="preserve">https://doi.org/10.5334/tismir.150</w:t>
        </w:r>
      </w:hyperlink>
    </w:p>
    <w:p>
      <w:pPr>
        <w:spacing w:after="70" w:line="252"/>
        <w:ind w:left="520" w:hanging="520"/>
      </w:pPr>
      <w:r>
        <w:rPr>
          <w:rFonts w:ascii="Arial" w:cs="Arial" w:eastAsia="Arial" w:hAnsi="Arial"/>
          <w:b/>
          <w:bCs/>
          <w:color w:val="1F4E79"/>
          <w:sz w:val="17"/>
          <w:szCs w:val="17"/>
        </w:rPr>
        <w:t xml:space="preserve">[18]  </w:t>
      </w:r>
      <w:r>
        <w:rPr>
          <w:rFonts w:ascii="Arial" w:cs="Arial" w:eastAsia="Arial" w:hAnsi="Arial"/>
          <w:color w:val="222222"/>
          <w:sz w:val="17"/>
          <w:szCs w:val="17"/>
        </w:rPr>
        <w:t xml:space="preserve">Bello, J. P., Daudet, L., Abdallah, S., Duxbury, C., Davies, M., &amp; Sandler, M. B. (2005). A tutorial on onset detection in music signals. IEEE Transactions on Speech and Audio Processing, 13(5), 1035–1047.</w:t>
      </w:r>
      <w:r>
        <w:rPr>
          <w:rFonts w:ascii="Arial" w:cs="Arial" w:eastAsia="Arial" w:hAnsi="Arial"/>
          <w:b/>
          <w:bCs/>
          <w:color w:val="2E6B3A"/>
          <w:sz w:val="17"/>
          <w:szCs w:val="17"/>
        </w:rPr>
        <w:t xml:space="preserve">  Status: V.</w:t>
      </w:r>
    </w:p>
    <w:p>
      <w:pPr>
        <w:pStyle w:val="Heading3"/>
        <w:keepNext/>
      </w:pPr>
      <w:r>
        <w:rPr>
          <w:rFonts w:ascii="Arial" w:cs="Arial" w:eastAsia="Arial" w:hAnsi="Arial"/>
        </w:rPr>
        <w:t xml:space="preserve">F. Craft, dance and puppetry capture; tacit knowledge</w:t>
      </w:r>
    </w:p>
    <w:p>
      <w:pPr>
        <w:spacing w:after="70" w:line="252"/>
        <w:ind w:left="520" w:hanging="520"/>
      </w:pPr>
      <w:r>
        <w:rPr>
          <w:rFonts w:ascii="Arial" w:cs="Arial" w:eastAsia="Arial" w:hAnsi="Arial"/>
          <w:b/>
          <w:bCs/>
          <w:color w:val="1F4E79"/>
          <w:sz w:val="17"/>
          <w:szCs w:val="17"/>
        </w:rPr>
        <w:t xml:space="preserve">[19]  </w:t>
      </w:r>
      <w:r>
        <w:rPr>
          <w:rFonts w:ascii="Arial" w:cs="Arial" w:eastAsia="Arial" w:hAnsi="Arial"/>
          <w:color w:val="222222"/>
          <w:sz w:val="17"/>
          <w:szCs w:val="17"/>
        </w:rPr>
        <w:t xml:space="preserve">Polanyi, M. (1966). The Tacit Dimension. Doubleday.</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[20]  </w:t>
      </w:r>
      <w:r>
        <w:rPr>
          <w:rFonts w:ascii="Arial" w:cs="Arial" w:eastAsia="Arial" w:hAnsi="Arial"/>
          <w:color w:val="222222"/>
          <w:sz w:val="17"/>
          <w:szCs w:val="17"/>
        </w:rPr>
        <w:t xml:space="preserve">Nonaka, I., &amp; Takeuchi, H. (1995). The Knowledge-Creating Company. Oxford University Press (SECI model: socialisation, externalisation, combination, internalisation).</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nw7f2mdi8jzzgaz-epdsa">
        <w:r>
          <w:rPr>
            <w:rFonts w:ascii="Arial" w:cs="Arial" w:eastAsia="Arial" w:hAnsi="Arial"/>
            <w:color w:val="1F4E79"/>
            <w:sz w:val="15"/>
            <w:szCs w:val="15"/>
            <w:u w:val="single"/>
          </w:rPr>
          <w:t xml:space="preserve">https://en.wikipedia.org/wiki/SECI_model_of_knowledge_dimensions</w:t>
        </w:r>
      </w:hyperlink>
    </w:p>
    <w:p>
      <w:pPr>
        <w:spacing w:after="70" w:line="252"/>
        <w:ind w:left="520" w:hanging="520"/>
      </w:pPr>
      <w:r>
        <w:rPr>
          <w:rFonts w:ascii="Arial" w:cs="Arial" w:eastAsia="Arial" w:hAnsi="Arial"/>
          <w:b/>
          <w:bCs/>
          <w:color w:val="1F4E79"/>
          <w:sz w:val="17"/>
          <w:szCs w:val="17"/>
        </w:rPr>
        <w:t xml:space="preserve">[21]  </w:t>
      </w:r>
      <w:r>
        <w:rPr>
          <w:rFonts w:ascii="Arial" w:cs="Arial" w:eastAsia="Arial" w:hAnsi="Arial"/>
          <w:color w:val="222222"/>
          <w:sz w:val="17"/>
          <w:szCs w:val="17"/>
        </w:rPr>
        <w:t xml:space="preserve">Dimitropoulos, K., et al. (2014). Capturing the intangible: an introduction to the i-Treasures project. Proc. VISAPP 2014. EU FP7 project 600676 (2013–2017): rare songs, rare dance, wheel-throwing pottery and music composition, using multisensory capture and sensorimotor learning.</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xr9tktcxuz7ujj3uh6z3l">
        <w:r>
          <w:rPr>
            <w:rFonts w:ascii="Arial" w:cs="Arial" w:eastAsia="Arial" w:hAnsi="Arial"/>
            <w:color w:val="1F4E79"/>
            <w:sz w:val="15"/>
            <w:szCs w:val="15"/>
            <w:u w:val="single"/>
          </w:rPr>
          <w:t xml:space="preserve">https://www.scitepress.org/Papers/2014/48716/</w:t>
        </w:r>
      </w:hyperlink>
    </w:p>
    <w:p>
      <w:pPr>
        <w:spacing w:after="70" w:line="252"/>
        <w:ind w:left="520" w:hanging="520"/>
      </w:pPr>
      <w:r>
        <w:rPr>
          <w:rFonts w:ascii="Arial" w:cs="Arial" w:eastAsia="Arial" w:hAnsi="Arial"/>
          <w:b/>
          <w:bCs/>
          <w:color w:val="1F4E79"/>
          <w:sz w:val="17"/>
          <w:szCs w:val="17"/>
        </w:rPr>
        <w:t xml:space="preserve">[22]  </w:t>
      </w:r>
      <w:r>
        <w:rPr>
          <w:rFonts w:ascii="Arial" w:cs="Arial" w:eastAsia="Arial" w:hAnsi="Arial"/>
          <w:color w:val="222222"/>
          <w:sz w:val="17"/>
          <w:szCs w:val="17"/>
        </w:rPr>
        <w:t xml:space="preserve">Manitsaris, S., Glushkova, A., Bevilacqua, F., &amp; Moutarde, F. (2014). Capture, modeling, and recognition of expert technical gestures in wheel-throwing art of pottery. ACM Journal on Computing and Cultural Heritage, 7(2). Wireless inertial sensors plus hidden Markov models; proposes real-time feedback on expert–learner differences.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rplvgqw3tqlntd-b-err6">
        <w:r>
          <w:rPr>
            <w:rFonts w:ascii="Arial" w:cs="Arial" w:eastAsia="Arial" w:hAnsi="Arial"/>
            <w:color w:val="1F4E79"/>
            <w:sz w:val="15"/>
            <w:szCs w:val="15"/>
            <w:u w:val="single"/>
          </w:rPr>
          <w:t xml:space="preserve">https://hal-mines-paristech.archives-ouvertes.fr/hal-00975857</w:t>
        </w:r>
      </w:hyperlink>
    </w:p>
    <w:p>
      <w:pPr>
        <w:spacing w:after="70" w:line="252"/>
        <w:ind w:left="520" w:hanging="520"/>
      </w:pPr>
      <w:r>
        <w:rPr>
          <w:rFonts w:ascii="Arial" w:cs="Arial" w:eastAsia="Arial" w:hAnsi="Arial"/>
          <w:b/>
          <w:bCs/>
          <w:color w:val="1F4E79"/>
          <w:sz w:val="17"/>
          <w:szCs w:val="17"/>
        </w:rPr>
        <w:t xml:space="preserve">[23]  </w:t>
      </w:r>
      <w:r>
        <w:rPr>
          <w:rFonts w:ascii="Arial" w:cs="Arial" w:eastAsia="Arial" w:hAnsi="Arial"/>
          <w:color w:val="222222"/>
          <w:sz w:val="17"/>
          <w:szCs w:val="17"/>
        </w:rPr>
        <w:t xml:space="preserve">Zabulis, X., et al. (2020). Representation and preservation of heritage crafts. Sustainability, 12(4), 1461 (EU H2020 Mingei project).</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cgiux6qsa3hmu4rwi2-58">
        <w:r>
          <w:rPr>
            <w:rFonts w:ascii="Arial" w:cs="Arial" w:eastAsia="Arial" w:hAnsi="Arial"/>
            <w:color w:val="1F4E79"/>
            <w:sz w:val="15"/>
            <w:szCs w:val="15"/>
            <w:u w:val="single"/>
          </w:rPr>
          <w:t xml:space="preserve">https://ideas.repec.org/a/gam/jsusta/v12y2020i4p1461-d321208.html</w:t>
        </w:r>
      </w:hyperlink>
    </w:p>
    <w:p>
      <w:pPr>
        <w:spacing w:after="70" w:line="252"/>
        <w:ind w:left="520" w:hanging="520"/>
      </w:pPr>
      <w:r>
        <w:rPr>
          <w:rFonts w:ascii="Arial" w:cs="Arial" w:eastAsia="Arial" w:hAnsi="Arial"/>
          <w:b/>
          <w:bCs/>
          <w:color w:val="1F4E79"/>
          <w:sz w:val="17"/>
          <w:szCs w:val="17"/>
        </w:rPr>
        <w:t xml:space="preserve">[24]  </w:t>
      </w:r>
      <w:r>
        <w:rPr>
          <w:rFonts w:ascii="Arial" w:cs="Arial" w:eastAsia="Arial" w:hAnsi="Arial"/>
          <w:color w:val="222222"/>
          <w:sz w:val="17"/>
          <w:szCs w:val="17"/>
        </w:rPr>
        <w:t xml:space="preserve">Live History India, "The unique craft of Rajasthan's puppeteers"; Herald Goa, "Dying string puppetry"; Sahapedia, "Tholu Bommalata: Telugu shadow puppet theatre". Journalistic and encyclopaedic sources on the Nat Bhatt community and decline.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oovchjxogfizbar0ozrk7">
        <w:r>
          <w:rPr>
            <w:rFonts w:ascii="Arial" w:cs="Arial" w:eastAsia="Arial" w:hAnsi="Arial"/>
            <w:color w:val="1F4E79"/>
            <w:sz w:val="15"/>
            <w:szCs w:val="15"/>
            <w:u w:val="single"/>
          </w:rPr>
          <w:t xml:space="preserve">https://livehistoryindia.com/story/living-culture/the-unique-craft-of-rajasthans-puppeteers</w:t>
        </w:r>
      </w:hyperlink>
    </w:p>
    <w:p>
      <w:pPr>
        <w:pStyle w:val="Heading3"/>
        <w:keepNext/>
      </w:pPr>
      <w:r>
        <w:rPr>
          <w:rFonts w:ascii="Arial" w:cs="Arial" w:eastAsia="Arial" w:hAnsi="Arial"/>
        </w:rPr>
        <w:t xml:space="preserve">G. Heritage policy, Indian programmes and data</w:t>
      </w:r>
    </w:p>
    <w:p>
      <w:pPr>
        <w:spacing w:after="70" w:line="252"/>
        <w:ind w:left="520" w:hanging="520"/>
      </w:pPr>
      <w:r>
        <w:rPr>
          <w:rFonts w:ascii="Arial" w:cs="Arial" w:eastAsia="Arial" w:hAnsi="Arial"/>
          <w:b/>
          <w:bCs/>
          <w:color w:val="1F4E79"/>
          <w:sz w:val="17"/>
          <w:szCs w:val="17"/>
        </w:rPr>
        <w:t xml:space="preserve">[25]  </w:t>
      </w:r>
      <w:r>
        <w:rPr>
          <w:rFonts w:ascii="Arial" w:cs="Arial" w:eastAsia="Arial" w:hAnsi="Arial"/>
          <w:color w:val="222222"/>
          <w:sz w:val="17"/>
          <w:szCs w:val="17"/>
        </w:rPr>
        <w:t xml:space="preserve">UNESCO (2015). Ethical Principles for Safeguarding Intangible Cultural Heritage, endorsed by the Intergovernmental Committee at its 10th session (Windhoek, December 2015). Interactions with practitioners must rest on their free, prior, sustained and informed consent.</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do2x3urjifcw8kma_ioz0">
        <w:r>
          <w:rPr>
            <w:rFonts w:ascii="Arial" w:cs="Arial" w:eastAsia="Arial" w:hAnsi="Arial"/>
            <w:color w:val="1F4E79"/>
            <w:sz w:val="15"/>
            <w:szCs w:val="15"/>
            <w:u w:val="single"/>
          </w:rPr>
          <w:t xml:space="preserve">https://ich.unesco.org/en/ethics-and-ich-00866</w:t>
        </w:r>
      </w:hyperlink>
    </w:p>
    <w:p>
      <w:pPr>
        <w:spacing w:after="70" w:line="252"/>
        <w:ind w:left="520" w:hanging="520"/>
      </w:pPr>
      <w:r>
        <w:rPr>
          <w:rFonts w:ascii="Arial" w:cs="Arial" w:eastAsia="Arial" w:hAnsi="Arial"/>
          <w:b/>
          <w:bCs/>
          <w:color w:val="1F4E79"/>
          <w:sz w:val="17"/>
          <w:szCs w:val="17"/>
        </w:rPr>
        <w:t xml:space="preserve">[26]  </w:t>
      </w:r>
      <w:r>
        <w:rPr>
          <w:rFonts w:ascii="Arial" w:cs="Arial" w:eastAsia="Arial" w:hAnsi="Arial"/>
          <w:color w:val="222222"/>
          <w:sz w:val="17"/>
          <w:szCs w:val="17"/>
        </w:rPr>
        <w:t xml:space="preserve">UNESCO 20th session of the Intergovernmental Committee for the Safeguarding of the Intangible Cultural Heritage, Red Fort, New Delhi, 8–13 December 2025: Deepavali inscribed as India's 16th element (press reports).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3l3xpz3mroz2dvjvkfrk1">
        <w:r>
          <w:rPr>
            <w:rFonts w:ascii="Arial" w:cs="Arial" w:eastAsia="Arial" w:hAnsi="Arial"/>
            <w:color w:val="1F4E79"/>
            <w:sz w:val="15"/>
            <w:szCs w:val="15"/>
            <w:u w:val="single"/>
          </w:rPr>
          <w:t xml:space="preserve">https://www.drishtiias.com/state-pcs-current-affairs/unesco-adds-deepavali-to-intangible-cultural-heritage-list/print_manually</w:t>
        </w:r>
      </w:hyperlink>
    </w:p>
    <w:p>
      <w:pPr>
        <w:spacing w:after="70" w:line="252"/>
        <w:ind w:left="520" w:hanging="520"/>
      </w:pPr>
      <w:r>
        <w:rPr>
          <w:rFonts w:ascii="Arial" w:cs="Arial" w:eastAsia="Arial" w:hAnsi="Arial"/>
          <w:b/>
          <w:bCs/>
          <w:color w:val="1F4E79"/>
          <w:sz w:val="17"/>
          <w:szCs w:val="17"/>
        </w:rPr>
        <w:t xml:space="preserve">[27]  </w:t>
      </w:r>
      <w:r>
        <w:rPr>
          <w:rFonts w:ascii="Arial" w:cs="Arial" w:eastAsia="Arial" w:hAnsi="Arial"/>
          <w:color w:val="222222"/>
          <w:sz w:val="17"/>
          <w:szCs w:val="17"/>
        </w:rPr>
        <w:t xml:space="preserve">Ministry of Culture. Scheme for Safeguarding the Intangible Cultural Heritage and Diverse Cultural Traditions of India; Sangeet Natak Akademi is the nodal agency (since 2013) and keeps the National ICH Inventory.</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iop8nxylypt733f3bjkzw">
        <w:r>
          <w:rPr>
            <w:rFonts w:ascii="Arial" w:cs="Arial" w:eastAsia="Arial" w:hAnsi="Arial"/>
            <w:color w:val="1F4E79"/>
            <w:sz w:val="15"/>
            <w:szCs w:val="15"/>
            <w:u w:val="single"/>
          </w:rPr>
          <w:t xml:space="preserve">https://www.indiaculture.gov.in/node/265</w:t>
        </w:r>
      </w:hyperlink>
    </w:p>
    <w:p>
      <w:pPr>
        <w:spacing w:after="70" w:line="252"/>
        <w:ind w:left="520" w:hanging="520"/>
      </w:pPr>
      <w:r>
        <w:rPr>
          <w:rFonts w:ascii="Arial" w:cs="Arial" w:eastAsia="Arial" w:hAnsi="Arial"/>
          <w:b/>
          <w:bCs/>
          <w:color w:val="1F4E79"/>
          <w:sz w:val="17"/>
          <w:szCs w:val="17"/>
        </w:rPr>
        <w:t xml:space="preserve">[28]  </w:t>
      </w:r>
      <w:r>
        <w:rPr>
          <w:rFonts w:ascii="Arial" w:cs="Arial" w:eastAsia="Arial" w:hAnsi="Arial"/>
          <w:color w:val="222222"/>
          <w:sz w:val="17"/>
          <w:szCs w:val="17"/>
        </w:rPr>
        <w:t xml:space="preserve">Ministry of Culture. Guru-Shishya Parampara scheme run by seven Zonal Cultural Centres (Prayagraj, Patiala, Nagpur, Udaipur, Kolkata, Dimapur, Thanjavur). Honoraria cited in Rajya Sabha answers: guru ₹7,500/month, one accompanist ₹3,750/month, four shishyas ₹1,500/month each, for one year.</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ch2tgb1yen1oz_b2cbwx7">
        <w:r>
          <w:rPr>
            <w:rFonts w:ascii="Arial" w:cs="Arial" w:eastAsia="Arial" w:hAnsi="Arial"/>
            <w:color w:val="1F4E79"/>
            <w:sz w:val="15"/>
            <w:szCs w:val="15"/>
            <w:u w:val="single"/>
          </w:rPr>
          <w:t xml:space="preserve">https://rsdebate.nic.in/bitstream/123456789/734815/1/PQ_258_22122022_U1778_p148_p170.pdf</w:t>
        </w:r>
      </w:hyperlink>
    </w:p>
    <w:p>
      <w:pPr>
        <w:spacing w:after="70" w:line="252"/>
        <w:ind w:left="520" w:hanging="520"/>
      </w:pPr>
      <w:r>
        <w:rPr>
          <w:rFonts w:ascii="Arial" w:cs="Arial" w:eastAsia="Arial" w:hAnsi="Arial"/>
          <w:b/>
          <w:bCs/>
          <w:color w:val="1F4E79"/>
          <w:sz w:val="17"/>
          <w:szCs w:val="17"/>
        </w:rPr>
        <w:t xml:space="preserve">[29]  </w:t>
      </w:r>
      <w:r>
        <w:rPr>
          <w:rFonts w:ascii="Arial" w:cs="Arial" w:eastAsia="Arial" w:hAnsi="Arial"/>
          <w:color w:val="222222"/>
          <w:sz w:val="17"/>
          <w:szCs w:val="17"/>
        </w:rPr>
        <w:t xml:space="preserve">UGC (2025). Guidelines for empanelment of Artists/Artisans-in-Residence in higher education institutions (as circulated by universities, March 2025).</w:t>
      </w:r>
      <w:r>
        <w:rPr>
          <w:rFonts w:ascii="Arial" w:cs="Arial" w:eastAsia="Arial" w:hAnsi="Arial"/>
          <w:b/>
          <w:bCs/>
          <w:color w:val="B8901A"/>
          <w:sz w:val="17"/>
          <w:szCs w:val="17"/>
        </w:rPr>
        <w:t xml:space="preserve">  Status: P.</w:t>
      </w:r>
    </w:p>
    <w:p>
      <w:pPr>
        <w:spacing w:after="70" w:line="252"/>
        <w:ind w:left="520" w:hanging="520"/>
      </w:pPr>
      <w:r>
        <w:rPr>
          <w:rFonts w:ascii="Arial" w:cs="Arial" w:eastAsia="Arial" w:hAnsi="Arial"/>
          <w:b/>
          <w:bCs/>
          <w:color w:val="1F4E79"/>
          <w:sz w:val="17"/>
          <w:szCs w:val="17"/>
        </w:rPr>
        <w:t xml:space="preserve">[30]  </w:t>
      </w:r>
      <w:r>
        <w:rPr>
          <w:rFonts w:ascii="Arial" w:cs="Arial" w:eastAsia="Arial" w:hAnsi="Arial"/>
          <w:color w:val="222222"/>
          <w:sz w:val="17"/>
          <w:szCs w:val="17"/>
        </w:rPr>
        <w:t xml:space="preserve">PIB (December 2025). Handloom and handicraft sector: about 64.66 lakh artisans; handicraft exports ₹33,122.79 crore in 2024–25.</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jyqbuobtea9zllde_ar0d">
        <w:r>
          <w:rPr>
            <w:rFonts w:ascii="Arial" w:cs="Arial" w:eastAsia="Arial" w:hAnsi="Arial"/>
            <w:color w:val="1F4E79"/>
            <w:sz w:val="15"/>
            <w:szCs w:val="15"/>
            <w:u w:val="single"/>
          </w:rPr>
          <w:t xml:space="preserve">https://static.pib.gov.in/WriteReadData/specificdocs/documents/2025/dec/doc2025129724401.pdf</w:t>
        </w:r>
      </w:hyperlink>
    </w:p>
    <w:p>
      <w:pPr>
        <w:spacing w:after="70" w:line="252"/>
        <w:ind w:left="520" w:hanging="520"/>
      </w:pPr>
      <w:r>
        <w:rPr>
          <w:rFonts w:ascii="Arial" w:cs="Arial" w:eastAsia="Arial" w:hAnsi="Arial"/>
          <w:b/>
          <w:bCs/>
          <w:color w:val="1F4E79"/>
          <w:sz w:val="17"/>
          <w:szCs w:val="17"/>
        </w:rPr>
        <w:t xml:space="preserve">[31]  </w:t>
      </w:r>
      <w:r>
        <w:rPr>
          <w:rFonts w:ascii="Arial" w:cs="Arial" w:eastAsia="Arial" w:hAnsi="Arial"/>
          <w:color w:val="222222"/>
          <w:sz w:val="17"/>
          <w:szCs w:val="17"/>
        </w:rPr>
        <w:t xml:space="preserve">Akhil Bharatiya Gandharva Mahavidyalaya Mandal: more than one lakh examinees every year, about 800 centres, two exam seasons. Secondary source plus official site.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4x5gxhlza5usbk6q-7c23">
        <w:r>
          <w:rPr>
            <w:rFonts w:ascii="Arial" w:cs="Arial" w:eastAsia="Arial" w:hAnsi="Arial"/>
            <w:color w:val="1F4E79"/>
            <w:sz w:val="15"/>
            <w:szCs w:val="15"/>
            <w:u w:val="single"/>
          </w:rPr>
          <w:t xml:space="preserve">https://en.wikipedia.org/wiki/Akhil_Bharatiya_Gandharva_Mahavidyalaya_Mandal</w:t>
        </w:r>
      </w:hyperlink>
    </w:p>
    <w:p>
      <w:pPr>
        <w:spacing w:after="70" w:line="252"/>
        <w:ind w:left="520" w:hanging="520"/>
      </w:pPr>
      <w:r>
        <w:rPr>
          <w:rFonts w:ascii="Arial" w:cs="Arial" w:eastAsia="Arial" w:hAnsi="Arial"/>
          <w:b/>
          <w:bCs/>
          <w:color w:val="1F4E79"/>
          <w:sz w:val="17"/>
          <w:szCs w:val="17"/>
        </w:rPr>
        <w:t xml:space="preserve">[32]  </w:t>
      </w:r>
      <w:r>
        <w:rPr>
          <w:rFonts w:ascii="Arial" w:cs="Arial" w:eastAsia="Arial" w:hAnsi="Arial"/>
          <w:color w:val="222222"/>
          <w:sz w:val="17"/>
          <w:szCs w:val="17"/>
        </w:rPr>
        <w:t xml:space="preserve">Census of India 2011: 2.68 crore persons with disabilities; 50.71 lakh persons with hearing disability.</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stvcp2zwzcjjosyjoqpon">
        <w:r>
          <w:rPr>
            <w:rFonts w:ascii="Arial" w:cs="Arial" w:eastAsia="Arial" w:hAnsi="Arial"/>
            <w:color w:val="1F4E79"/>
            <w:sz w:val="15"/>
            <w:szCs w:val="15"/>
            <w:u w:val="single"/>
          </w:rPr>
          <w:t xml:space="preserve">https://aikosh.indiaai.gov.in/home/datasets/details/population_of_persons_with_disabilities_census_2011.html</w:t>
        </w:r>
      </w:hyperlink>
    </w:p>
    <w:p>
      <w:pPr>
        <w:spacing w:after="70" w:line="252"/>
        <w:ind w:left="520" w:hanging="520"/>
      </w:pPr>
      <w:r>
        <w:rPr>
          <w:rFonts w:ascii="Arial" w:cs="Arial" w:eastAsia="Arial" w:hAnsi="Arial"/>
          <w:b/>
          <w:bCs/>
          <w:color w:val="1F4E79"/>
          <w:sz w:val="17"/>
          <w:szCs w:val="17"/>
        </w:rPr>
        <w:t xml:space="preserve">[33]  </w:t>
      </w:r>
      <w:r>
        <w:rPr>
          <w:rFonts w:ascii="Arial" w:cs="Arial" w:eastAsia="Arial" w:hAnsi="Arial"/>
          <w:color w:val="222222"/>
          <w:sz w:val="17"/>
          <w:szCs w:val="17"/>
        </w:rPr>
        <w:t xml:space="preserve">Ustad Zakir Hussain (1951–2024), tabla maestro, died 15 December 2024 in San Francisco.</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bxsdrqwpkhjhshdcswt3e">
        <w:r>
          <w:rPr>
            <w:rFonts w:ascii="Arial" w:cs="Arial" w:eastAsia="Arial" w:hAnsi="Arial"/>
            <w:color w:val="1F4E79"/>
            <w:sz w:val="15"/>
            <w:szCs w:val="15"/>
            <w:u w:val="single"/>
          </w:rPr>
          <w:t xml:space="preserve">https://en.wikipedia.org/wiki/Zakir_Hussain_(musician)</w:t>
        </w:r>
      </w:hyperlink>
    </w:p>
    <w:p>
      <w:pPr>
        <w:spacing w:after="70" w:line="252"/>
        <w:ind w:left="520" w:hanging="520"/>
      </w:pPr>
      <w:r>
        <w:rPr>
          <w:rFonts w:ascii="Arial" w:cs="Arial" w:eastAsia="Arial" w:hAnsi="Arial"/>
          <w:b/>
          <w:bCs/>
          <w:color w:val="1F4E79"/>
          <w:sz w:val="17"/>
          <w:szCs w:val="17"/>
        </w:rPr>
        <w:t xml:space="preserve">[34]  </w:t>
      </w:r>
      <w:r>
        <w:rPr>
          <w:rFonts w:ascii="Arial" w:cs="Arial" w:eastAsia="Arial" w:hAnsi="Arial"/>
          <w:color w:val="222222"/>
          <w:sz w:val="17"/>
          <w:szCs w:val="17"/>
        </w:rPr>
        <w:t xml:space="preserve">Online Indian classical music platforms, e.g. Darbar Academy (live classes incl. tabla) and myGurukul (masterclasses).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cfbm0bpsurp4ge0-kx3wb">
        <w:r>
          <w:rPr>
            <w:rFonts w:ascii="Arial" w:cs="Arial" w:eastAsia="Arial" w:hAnsi="Arial"/>
            <w:color w:val="1F4E79"/>
            <w:sz w:val="15"/>
            <w:szCs w:val="15"/>
            <w:u w:val="single"/>
          </w:rPr>
          <w:t xml:space="preserve">https://academy.darbar.org/about</w:t>
        </w:r>
      </w:hyperlink>
    </w:p>
    <w:p>
      <w:pPr>
        <w:pStyle w:val="Heading3"/>
        <w:keepNext/>
      </w:pPr>
      <w:r>
        <w:rPr>
          <w:rFonts w:ascii="Arial" w:cs="Arial" w:eastAsia="Arial" w:hAnsi="Arial"/>
        </w:rPr>
        <w:t xml:space="preserve">H. Trust, cryptography and law</w:t>
      </w:r>
    </w:p>
    <w:p>
      <w:pPr>
        <w:spacing w:after="70" w:line="252"/>
        <w:ind w:left="520" w:hanging="520"/>
      </w:pPr>
      <w:r>
        <w:rPr>
          <w:rFonts w:ascii="Arial" w:cs="Arial" w:eastAsia="Arial" w:hAnsi="Arial"/>
          <w:b/>
          <w:bCs/>
          <w:color w:val="1F4E79"/>
          <w:sz w:val="17"/>
          <w:szCs w:val="17"/>
        </w:rPr>
        <w:t xml:space="preserve">[35]  </w:t>
      </w:r>
      <w:r>
        <w:rPr>
          <w:rFonts w:ascii="Arial" w:cs="Arial" w:eastAsia="Arial" w:hAnsi="Arial"/>
          <w:color w:val="222222"/>
          <w:sz w:val="17"/>
          <w:szCs w:val="17"/>
        </w:rPr>
        <w:t xml:space="preserve">Digital Personal Data Protection Act, 2023; DPDP Rules, 2025, notified 13 November 2025 (consent-manager rule effective after one year; most obligations after 18 months).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5se0wcsjgki6pvy4nw8ft">
        <w:r>
          <w:rPr>
            <w:rFonts w:ascii="Arial" w:cs="Arial" w:eastAsia="Arial" w:hAnsi="Arial"/>
            <w:color w:val="1F4E79"/>
            <w:sz w:val="15"/>
            <w:szCs w:val="15"/>
            <w:u w:val="single"/>
          </w:rPr>
          <w:t xml:space="preserve">https://lawrbit.com/article/digital-personal-data-protection-rules-2025</w:t>
        </w:r>
      </w:hyperlink>
    </w:p>
    <w:p>
      <w:pPr>
        <w:spacing w:after="70" w:line="252"/>
        <w:ind w:left="520" w:hanging="520"/>
      </w:pPr>
      <w:r>
        <w:rPr>
          <w:rFonts w:ascii="Arial" w:cs="Arial" w:eastAsia="Arial" w:hAnsi="Arial"/>
          <w:b/>
          <w:bCs/>
          <w:color w:val="1F4E79"/>
          <w:sz w:val="17"/>
          <w:szCs w:val="17"/>
        </w:rPr>
        <w:t xml:space="preserve">[36]  </w:t>
      </w:r>
      <w:r>
        <w:rPr>
          <w:rFonts w:ascii="Arial" w:cs="Arial" w:eastAsia="Arial" w:hAnsi="Arial"/>
          <w:color w:val="222222"/>
          <w:sz w:val="17"/>
          <w:szCs w:val="17"/>
        </w:rPr>
        <w:t xml:space="preserve">Copyright Act, 1957 (India), performers' rights, sections 38, 38A, 38B. Read the current official text and take legal advice.</w:t>
      </w:r>
      <w:r>
        <w:rPr>
          <w:rFonts w:ascii="Arial" w:cs="Arial" w:eastAsia="Arial" w:hAnsi="Arial"/>
          <w:b/>
          <w:bCs/>
          <w:color w:val="5E5E5E"/>
          <w:sz w:val="17"/>
          <w:szCs w:val="17"/>
        </w:rPr>
        <w:t xml:space="preserve">  Status: S.</w:t>
      </w:r>
    </w:p>
    <w:p>
      <w:pPr>
        <w:pStyle w:val="Heading3"/>
        <w:keepNext/>
      </w:pPr>
      <w:r>
        <w:rPr>
          <w:rFonts w:ascii="Arial" w:cs="Arial" w:eastAsia="Arial" w:hAnsi="Arial"/>
        </w:rPr>
        <w:t xml:space="preserve">I. Hardware, platforms and market</w:t>
      </w:r>
    </w:p>
    <w:p>
      <w:pPr>
        <w:spacing w:after="70" w:line="252"/>
        <w:ind w:left="520" w:hanging="520"/>
      </w:pPr>
      <w:r>
        <w:rPr>
          <w:rFonts w:ascii="Arial" w:cs="Arial" w:eastAsia="Arial" w:hAnsi="Arial"/>
          <w:b/>
          <w:bCs/>
          <w:color w:val="1F4E79"/>
          <w:sz w:val="17"/>
          <w:szCs w:val="17"/>
        </w:rPr>
        <w:t xml:space="preserve">[37]  </w:t>
      </w:r>
      <w:r>
        <w:rPr>
          <w:rFonts w:ascii="Arial" w:cs="Arial" w:eastAsia="Arial" w:hAnsi="Arial"/>
          <w:color w:val="222222"/>
          <w:sz w:val="17"/>
          <w:szCs w:val="17"/>
        </w:rPr>
        <w:t xml:space="preserve">Texas Instruments. DRV2605L haptic driver for ERM and LRA: smart-loop closed-loop drive with LRA auto-resonance, automatic overdrive and braking, real-time playback over I²C, licensed effect library.</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2-2glxusjbbbgygq00jog">
        <w:r>
          <w:rPr>
            <w:rFonts w:ascii="Arial" w:cs="Arial" w:eastAsia="Arial" w:hAnsi="Arial"/>
            <w:color w:val="1F4E79"/>
            <w:sz w:val="15"/>
            <w:szCs w:val="15"/>
            <w:u w:val="single"/>
          </w:rPr>
          <w:t xml:space="preserve">https://www.ti.com/product/DRV2605L</w:t>
        </w:r>
      </w:hyperlink>
    </w:p>
    <w:p>
      <w:pPr>
        <w:pStyle w:val="Heading3"/>
        <w:keepNext/>
      </w:pPr>
      <w:r>
        <w:rPr>
          <w:rFonts w:ascii="Arial" w:cs="Arial" w:eastAsia="Arial" w:hAnsi="Arial"/>
        </w:rPr>
        <w:t xml:space="preserve">J. Style, micro-timing and performer identification</w:t>
      </w:r>
    </w:p>
    <w:p>
      <w:pPr>
        <w:spacing w:after="70" w:line="252"/>
        <w:ind w:left="520" w:hanging="520"/>
      </w:pPr>
      <w:r>
        <w:rPr>
          <w:rFonts w:ascii="Arial" w:cs="Arial" w:eastAsia="Arial" w:hAnsi="Arial"/>
          <w:b/>
          <w:bCs/>
          <w:color w:val="1F4E79"/>
          <w:sz w:val="17"/>
          <w:szCs w:val="17"/>
        </w:rPr>
        <w:t xml:space="preserve">[38]  </w:t>
      </w:r>
      <w:r>
        <w:rPr>
          <w:rFonts w:ascii="Arial" w:cs="Arial" w:eastAsia="Arial" w:hAnsi="Arial"/>
          <w:color w:val="222222"/>
          <w:sz w:val="17"/>
          <w:szCs w:val="17"/>
        </w:rPr>
        <w:t xml:space="preserve">Srinivasamurthy, A., Holzapfel, A., Ganguli, K. K., &amp; Serra, X. (2017). Aspects of tempo and rhythmic elaboration in Hindustani music: a corpus study. Frontiers in Digital Humanities, 4, 20. Large-corpus analysis of intra-cycle tempo patterns and percussion accent (stress) patterns at different positions of the tal cycle.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nilol3b0ad0kjgkrv8eow">
        <w:r>
          <w:rPr>
            <w:rFonts w:ascii="Arial" w:cs="Arial" w:eastAsia="Arial" w:hAnsi="Arial"/>
            <w:color w:val="1F4E79"/>
            <w:sz w:val="15"/>
            <w:szCs w:val="15"/>
            <w:u w:val="single"/>
          </w:rPr>
          <w:t xml:space="preserve">https://compmusic.upf.edu/corpus-analysis-hindustani</w:t>
        </w:r>
      </w:hyperlink>
    </w:p>
    <w:p>
      <w:pPr>
        <w:spacing w:after="70" w:line="252"/>
        <w:ind w:left="520" w:hanging="520"/>
      </w:pPr>
      <w:r>
        <w:rPr>
          <w:rFonts w:ascii="Arial" w:cs="Arial" w:eastAsia="Arial" w:hAnsi="Arial"/>
          <w:b/>
          <w:bCs/>
          <w:color w:val="1F4E79"/>
          <w:sz w:val="17"/>
          <w:szCs w:val="17"/>
        </w:rPr>
        <w:t xml:space="preserve">[39]  </w:t>
      </w:r>
      <w:r>
        <w:rPr>
          <w:rFonts w:ascii="Arial" w:cs="Arial" w:eastAsia="Arial" w:hAnsi="Arial"/>
          <w:color w:val="222222"/>
          <w:sz w:val="17"/>
          <w:szCs w:val="17"/>
        </w:rPr>
        <w:t xml:space="preserve">Gowriprasad, R., Venkatesh, V., Murthy, H. A., Aravind, R., &amp; Murty, K. S. R. (2021). Tabla gharana recognition from audio music recordings of tabla solo performances. Proc. ISMIR 2021. Gharana recognised from audio using pattern search and CNN-LSTM models; dataset of over 38 hours of tabla solos.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phuihx5k0gqu2s7jrolkn">
        <w:r>
          <w:rPr>
            <w:rFonts w:ascii="Arial" w:cs="Arial" w:eastAsia="Arial" w:hAnsi="Arial"/>
            <w:color w:val="1F4E79"/>
            <w:sz w:val="15"/>
            <w:szCs w:val="15"/>
            <w:u w:val="single"/>
          </w:rPr>
          <w:t xml:space="preserve">https://publications.iith.ac.in/publication/tabla-gharana-recognition-from-tabla-solo-recordings</w:t>
        </w:r>
      </w:hyperlink>
    </w:p>
    <w:p>
      <w:pPr>
        <w:spacing w:after="70" w:line="252"/>
        <w:ind w:left="520" w:hanging="520"/>
      </w:pPr>
      <w:r>
        <w:rPr>
          <w:rFonts w:ascii="Arial" w:cs="Arial" w:eastAsia="Arial" w:hAnsi="Arial"/>
          <w:b/>
          <w:bCs/>
          <w:color w:val="1F4E79"/>
          <w:sz w:val="17"/>
          <w:szCs w:val="17"/>
        </w:rPr>
        <w:t xml:space="preserve">[40]  </w:t>
      </w:r>
      <w:r>
        <w:rPr>
          <w:rFonts w:ascii="Arial" w:cs="Arial" w:eastAsia="Arial" w:hAnsi="Arial"/>
          <w:color w:val="222222"/>
          <w:sz w:val="17"/>
          <w:szCs w:val="17"/>
        </w:rPr>
        <w:t xml:space="preserve">Stamatatos, E., &amp; Widmer, G. (2005). Automatic identification of music performers with learning ensembles. Artificial Intelligence, 165(1), 37–56.</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[41]  </w:t>
      </w:r>
      <w:r>
        <w:rPr>
          <w:rFonts w:ascii="Arial" w:cs="Arial" w:eastAsia="Arial" w:hAnsi="Arial"/>
          <w:color w:val="222222"/>
          <w:sz w:val="17"/>
          <w:szCs w:val="17"/>
        </w:rPr>
        <w:t xml:space="preserve">Repp, B. H. (1992). Diversity and commonality in music performance: an analysis of timing microstructure in Schumann's 'Träumerei'. Journal of the Acoustical Society of America, 92, 2546–2568. 28 recorded performances: shared timing principles plus individual timing signatures.</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[42]  </w:t>
      </w:r>
      <w:r>
        <w:rPr>
          <w:rFonts w:ascii="Arial" w:cs="Arial" w:eastAsia="Arial" w:hAnsi="Arial"/>
          <w:color w:val="222222"/>
          <w:sz w:val="17"/>
          <w:szCs w:val="17"/>
        </w:rPr>
        <w:t xml:space="preserve">Carter, D. S., &amp; von Appen, R. (2025). Finding a fingerprint: microtiming and tempo variability in five renowned rock drummers. Revue musicale OICRM, 12(2). 79 recordings; each drummer showed a distinctive timing profile (e.g. delayed vs early backbeats).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iq4gjnu-3yehaiw_y5x4g">
        <w:r>
          <w:rPr>
            <w:rFonts w:ascii="Arial" w:cs="Arial" w:eastAsia="Arial" w:hAnsi="Arial"/>
            <w:color w:val="1F4E79"/>
            <w:sz w:val="15"/>
            <w:szCs w:val="15"/>
            <w:u w:val="single"/>
          </w:rPr>
          <w:t xml:space="preserve">https://revuemusicaleoicrm.org/vol12-n2/microtiming-tempo-variability-rock-drummers/</w:t>
        </w:r>
      </w:hyperlink>
    </w:p>
    <w:p>
      <w:pPr>
        <w:spacing w:after="70" w:line="252"/>
        <w:ind w:left="520" w:hanging="520"/>
      </w:pPr>
      <w:r>
        <w:rPr>
          <w:rFonts w:ascii="Arial" w:cs="Arial" w:eastAsia="Arial" w:hAnsi="Arial"/>
          <w:b/>
          <w:bCs/>
          <w:color w:val="1F4E79"/>
          <w:sz w:val="17"/>
          <w:szCs w:val="17"/>
        </w:rPr>
        <w:t xml:space="preserve">[43]  </w:t>
      </w:r>
      <w:r>
        <w:rPr>
          <w:rFonts w:ascii="Arial" w:cs="Arial" w:eastAsia="Arial" w:hAnsi="Arial"/>
          <w:color w:val="222222"/>
          <w:sz w:val="17"/>
          <w:szCs w:val="17"/>
        </w:rPr>
        <w:t xml:space="preserve">Friberg, A., &amp; Sundberg, J. (1995). Time discrimination in a monotonic, isochronous sequence. Journal of the Acoustical Society of America, 98, 2524–2531. Auditory JND for a displaced tone about 10 ms for intervals below ~240 ms, about 5% of the interval above.</w:t>
      </w:r>
      <w:r>
        <w:rPr>
          <w:rFonts w:ascii="Arial" w:cs="Arial" w:eastAsia="Arial" w:hAnsi="Arial"/>
          <w:b/>
          <w:bCs/>
          <w:color w:val="2E6B3A"/>
          <w:sz w:val="17"/>
          <w:szCs w:val="17"/>
        </w:rPr>
        <w:t xml:space="preserve">  Status: V.</w:t>
      </w:r>
    </w:p>
    <w:p>
      <w:pPr>
        <w:pStyle w:val="Heading3"/>
        <w:keepNext/>
      </w:pPr>
      <w:r>
        <w:rPr>
          <w:rFonts w:ascii="Arial" w:cs="Arial" w:eastAsia="Arial" w:hAnsi="Arial"/>
        </w:rPr>
        <w:t xml:space="preserve">K. Touch during movement and tactile timing</w:t>
      </w:r>
    </w:p>
    <w:p>
      <w:pPr>
        <w:spacing w:after="70" w:line="252"/>
        <w:ind w:left="520" w:hanging="520"/>
      </w:pPr>
      <w:r>
        <w:rPr>
          <w:rFonts w:ascii="Arial" w:cs="Arial" w:eastAsia="Arial" w:hAnsi="Arial"/>
          <w:b/>
          <w:bCs/>
          <w:color w:val="1F4E79"/>
          <w:sz w:val="17"/>
          <w:szCs w:val="17"/>
        </w:rPr>
        <w:t xml:space="preserve">[44]  </w:t>
      </w:r>
      <w:r>
        <w:rPr>
          <w:rFonts w:ascii="Arial" w:cs="Arial" w:eastAsia="Arial" w:hAnsi="Arial"/>
          <w:color w:val="222222"/>
          <w:sz w:val="17"/>
          <w:szCs w:val="17"/>
        </w:rPr>
        <w:t xml:space="preserve">Juravle, G., Binsted, G., &amp; Spence, C. (2017). Tactile suppression in goal-directed movement. Psychonomic Bulletin &amp; Review, 24(4), 1060–1076. DOI 10.3758/s13423-016-1203-6. Tactile sensitivity drops shortly before and during movement.</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[45]  </w:t>
      </w:r>
      <w:r>
        <w:rPr>
          <w:rFonts w:ascii="Arial" w:cs="Arial" w:eastAsia="Arial" w:hAnsi="Arial"/>
          <w:color w:val="222222"/>
          <w:sz w:val="17"/>
          <w:szCs w:val="17"/>
        </w:rPr>
        <w:t xml:space="preserve">Williams, S. R., Shenasa, J., &amp; Chapman, C. E. (1998). Time course and magnitude of movement-related gating of tactile detection in humans. Journal of Neurophysiology. Detection on the moving digit dropped most around EMG onset, 25–45 ms before movement onset; the drop was largest for weak stimuli and smaller for strong ones.</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[46]  </w:t>
      </w:r>
      <w:r>
        <w:rPr>
          <w:rFonts w:ascii="Arial" w:cs="Arial" w:eastAsia="Arial" w:hAnsi="Arial"/>
          <w:color w:val="222222"/>
          <w:sz w:val="17"/>
          <w:szCs w:val="17"/>
        </w:rPr>
        <w:t xml:space="preserve">Lauzon, A. P., Russo, F. A., &amp; Harris, L. R. (2020). The influence of rhythm on detection of auditory and vibrotactile asynchrony. Experimental Brain Research (DOI 10.1007/s00221-019-05720-x). Vibrotactile asynchrony thresholds typically 10–30 ms (sometimes far higher), worse than auditory; a rhythmic context helped audio but not touch.</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mova3pzgz70jjp0kipnc0">
        <w:r>
          <w:rPr>
            <w:rFonts w:ascii="Arial" w:cs="Arial" w:eastAsia="Arial" w:hAnsi="Arial"/>
            <w:color w:val="1F4E79"/>
            <w:sz w:val="15"/>
            <w:szCs w:val="15"/>
            <w:u w:val="single"/>
          </w:rPr>
          <w:t xml:space="preserve">https://www.ncbi.nlm.nih.gov/pmc/articles/PMC7181424/</w:t>
        </w:r>
      </w:hyperlink>
    </w:p>
    <w:p>
      <w:pPr>
        <w:pStyle w:val="Heading3"/>
        <w:keepNext/>
      </w:pPr>
      <w:r>
        <w:rPr>
          <w:rFonts w:ascii="Arial" w:cs="Arial" w:eastAsia="Arial" w:hAnsi="Arial"/>
        </w:rPr>
        <w:t xml:space="preserve">L. Cultural data governance, identity and archives</w:t>
      </w:r>
    </w:p>
    <w:p>
      <w:pPr>
        <w:spacing w:after="70" w:line="252"/>
        <w:ind w:left="520" w:hanging="520"/>
      </w:pPr>
      <w:r>
        <w:rPr>
          <w:rFonts w:ascii="Arial" w:cs="Arial" w:eastAsia="Arial" w:hAnsi="Arial"/>
          <w:b/>
          <w:bCs/>
          <w:color w:val="1F4E79"/>
          <w:sz w:val="17"/>
          <w:szCs w:val="17"/>
        </w:rPr>
        <w:t xml:space="preserve">[47]  </w:t>
      </w:r>
      <w:r>
        <w:rPr>
          <w:rFonts w:ascii="Arial" w:cs="Arial" w:eastAsia="Arial" w:hAnsi="Arial"/>
          <w:color w:val="222222"/>
          <w:sz w:val="17"/>
          <w:szCs w:val="17"/>
        </w:rPr>
        <w:t xml:space="preserve">Carroll, S. R., Garba, I., Figueroa-Rodríguez, O. L., Holbrook, J., Lovett, R., et al. (2020). The CARE Principles for Indigenous Data Governance (Collective benefit, Authority to control, Responsibility, Ethics). Data Science Journal, 19, 43. DOI 10.5334/dsj-2020-043.</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[48]  </w:t>
      </w:r>
      <w:r>
        <w:rPr>
          <w:rFonts w:ascii="Arial" w:cs="Arial" w:eastAsia="Arial" w:hAnsi="Arial"/>
          <w:color w:val="222222"/>
          <w:sz w:val="17"/>
          <w:szCs w:val="17"/>
        </w:rPr>
        <w:t xml:space="preserve">Local Contexts (founded 2010 by J. Anderson and K. Christen). Traditional Knowledge (TK) and Biocultural (BC) Labels and Notices: machine-readable markers of provenance, attribution and community conditions of use.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fi0fh5ieqp8nnb1kzhx67">
        <w:r>
          <w:rPr>
            <w:rFonts w:ascii="Arial" w:cs="Arial" w:eastAsia="Arial" w:hAnsi="Arial"/>
            <w:color w:val="1F4E79"/>
            <w:sz w:val="15"/>
            <w:szCs w:val="15"/>
            <w:u w:val="single"/>
          </w:rPr>
          <w:t xml:space="preserve">https://localcontexts.org/</w:t>
        </w:r>
      </w:hyperlink>
    </w:p>
    <w:p>
      <w:pPr>
        <w:spacing w:after="70" w:line="252"/>
        <w:ind w:left="520" w:hanging="520"/>
      </w:pPr>
      <w:r>
        <w:rPr>
          <w:rFonts w:ascii="Arial" w:cs="Arial" w:eastAsia="Arial" w:hAnsi="Arial"/>
          <w:b/>
          <w:bCs/>
          <w:color w:val="1F4E79"/>
          <w:sz w:val="17"/>
          <w:szCs w:val="17"/>
        </w:rPr>
        <w:t xml:space="preserve">[49]  </w:t>
      </w:r>
      <w:r>
        <w:rPr>
          <w:rFonts w:ascii="Arial" w:cs="Arial" w:eastAsia="Arial" w:hAnsi="Arial"/>
          <w:color w:val="222222"/>
          <w:sz w:val="17"/>
          <w:szCs w:val="17"/>
        </w:rPr>
        <w:t xml:space="preserve">W3C (2026). Web Authentication: An API for accessing Public Key Credentials, Level 3. W3C Recommendation, 25 August 2026. FIDO Alliance: over one billion people have activated a passkey; over 15 billion accounts support passkeys.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m7fihbet0mq-i_pnwiywy">
        <w:r>
          <w:rPr>
            <w:rFonts w:ascii="Arial" w:cs="Arial" w:eastAsia="Arial" w:hAnsi="Arial"/>
            <w:color w:val="1F4E79"/>
            <w:sz w:val="15"/>
            <w:szCs w:val="15"/>
            <w:u w:val="single"/>
          </w:rPr>
          <w:t xml:space="preserve">https://fidoalliance.org/webauthn-level-3-is-now-a-w3c-recommendation/</w:t>
        </w:r>
      </w:hyperlink>
    </w:p>
    <w:p>
      <w:pPr>
        <w:spacing w:after="70" w:line="252"/>
        <w:ind w:left="520" w:hanging="520"/>
      </w:pPr>
      <w:r>
        <w:rPr>
          <w:rFonts w:ascii="Arial" w:cs="Arial" w:eastAsia="Arial" w:hAnsi="Arial"/>
          <w:b/>
          <w:bCs/>
          <w:color w:val="1F4E79"/>
          <w:sz w:val="17"/>
          <w:szCs w:val="17"/>
        </w:rPr>
        <w:t xml:space="preserve">[50]  </w:t>
      </w:r>
      <w:r>
        <w:rPr>
          <w:rFonts w:ascii="Arial" w:cs="Arial" w:eastAsia="Arial" w:hAnsi="Arial"/>
          <w:color w:val="222222"/>
          <w:sz w:val="17"/>
          <w:szCs w:val="17"/>
        </w:rPr>
        <w:t xml:space="preserve">National Cultural Audiovisual Archives (NCAA), hosted by IGNCA since 2014: over 3,00,000 hours of audiovisual material identified in about 300 institutions, over 23,000 hours digitised; first trusted digital repository certified to ISO 16363.</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sbyx9ejvgv7fn5gn6ua_i">
        <w:r>
          <w:rPr>
            <w:rFonts w:ascii="Arial" w:cs="Arial" w:eastAsia="Arial" w:hAnsi="Arial"/>
            <w:color w:val="1F4E79"/>
            <w:sz w:val="15"/>
            <w:szCs w:val="15"/>
            <w:u w:val="single"/>
          </w:rPr>
          <w:t xml:space="preserve">https://ncaa.gov.in/repository/common/about</w:t>
        </w:r>
      </w:hyperlink>
    </w:p>
    <w:p>
      <w:pPr>
        <w:pStyle w:val="Heading3"/>
        <w:keepNext/>
      </w:pPr>
      <w:r>
        <w:rPr>
          <w:rFonts w:ascii="Arial" w:cs="Arial" w:eastAsia="Arial" w:hAnsi="Arial"/>
        </w:rPr>
        <w:t xml:space="preserve">M. Engineering, cost and access</w:t>
      </w:r>
    </w:p>
    <w:p>
      <w:pPr>
        <w:spacing w:after="70" w:line="252"/>
        <w:ind w:left="520" w:hanging="520"/>
      </w:pPr>
      <w:r>
        <w:rPr>
          <w:rFonts w:ascii="Arial" w:cs="Arial" w:eastAsia="Arial" w:hAnsi="Arial"/>
          <w:b/>
          <w:bCs/>
          <w:color w:val="1F4E79"/>
          <w:sz w:val="17"/>
          <w:szCs w:val="17"/>
        </w:rPr>
        <w:t xml:space="preserve">[51]  </w:t>
      </w:r>
      <w:r>
        <w:rPr>
          <w:rFonts w:ascii="Arial" w:cs="Arial" w:eastAsia="Arial" w:hAnsi="Arial"/>
          <w:color w:val="222222"/>
          <w:sz w:val="17"/>
          <w:szCs w:val="17"/>
        </w:rPr>
        <w:t xml:space="preserve">Maróti, M., Kusy, B., Simon, G., &amp; Lédeczi, Á. (2004). The flooding time synchronization protocol. Proc. ACM SenSys 2004, 39–49. MAC-layer timestamps plus linear-regression skew compensation: 1.4 µs average error on MICA2 motes.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sobmway8vrshbfpl4a_91">
        <w:r>
          <w:rPr>
            <w:rFonts w:ascii="Arial" w:cs="Arial" w:eastAsia="Arial" w:hAnsi="Arial"/>
            <w:color w:val="1F4E79"/>
            <w:sz w:val="15"/>
            <w:szCs w:val="15"/>
            <w:u w:val="single"/>
          </w:rPr>
          <w:t xml:space="preserve">https://archive.isis.vanderbilt.edu/node/3600</w:t>
        </w:r>
      </w:hyperlink>
    </w:p>
    <w:p>
      <w:pPr>
        <w:spacing w:after="70" w:line="252"/>
        <w:ind w:left="520" w:hanging="520"/>
      </w:pPr>
      <w:r>
        <w:rPr>
          <w:rFonts w:ascii="Arial" w:cs="Arial" w:eastAsia="Arial" w:hAnsi="Arial"/>
          <w:b/>
          <w:bCs/>
          <w:color w:val="1F4E79"/>
          <w:sz w:val="17"/>
          <w:szCs w:val="17"/>
        </w:rPr>
        <w:t xml:space="preserve">[52]  </w:t>
      </w:r>
      <w:r>
        <w:rPr>
          <w:rFonts w:ascii="Arial" w:cs="Arial" w:eastAsia="Arial" w:hAnsi="Arial"/>
          <w:color w:val="222222"/>
          <w:sz w:val="17"/>
          <w:szCs w:val="17"/>
        </w:rPr>
        <w:t xml:space="preserve">Component reference prices, October 2026: DRV2605LDGSR from US$0.72 (LCSC volume reference); ESP32-C3-MINI-1-N4 from US$1.01; BMI270 IMU from US$1.26; 8 mm 235 Hz coin LRA US$5.15 at 1–9 units (Precision Microdrives). Volume prices vary.</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xqwvezswnsqamplq3xpmx">
        <w:r>
          <w:rPr>
            <w:rFonts w:ascii="Arial" w:cs="Arial" w:eastAsia="Arial" w:hAnsi="Arial"/>
            <w:color w:val="1F4E79"/>
            <w:sz w:val="15"/>
            <w:szCs w:val="15"/>
            <w:u w:val="single"/>
          </w:rPr>
          <w:t xml:space="preserve">https://www.lcsc.com/product-image/C527464.html</w:t>
        </w:r>
      </w:hyperlink>
    </w:p>
    <w:p>
      <w:pPr>
        <w:pStyle w:val="Heading3"/>
        <w:keepNext/>
      </w:pPr>
      <w:r>
        <w:rPr>
          <w:rFonts w:ascii="Arial" w:cs="Arial" w:eastAsia="Arial" w:hAnsi="Arial"/>
        </w:rPr>
        <w:t xml:space="preserve">N. Prior art and education channels</w:t>
      </w:r>
    </w:p>
    <w:p>
      <w:pPr>
        <w:spacing w:after="70" w:line="252"/>
        <w:ind w:left="520" w:hanging="520"/>
      </w:pPr>
      <w:r>
        <w:rPr>
          <w:rFonts w:ascii="Arial" w:cs="Arial" w:eastAsia="Arial" w:hAnsi="Arial"/>
          <w:b/>
          <w:bCs/>
          <w:color w:val="1F4E79"/>
          <w:sz w:val="17"/>
          <w:szCs w:val="17"/>
        </w:rPr>
        <w:t xml:space="preserve">[53]  </w:t>
      </w:r>
      <w:r>
        <w:rPr>
          <w:rFonts w:ascii="Arial" w:cs="Arial" w:eastAsia="Arial" w:hAnsi="Arial"/>
          <w:color w:val="222222"/>
          <w:sz w:val="17"/>
          <w:szCs w:val="17"/>
        </w:rPr>
        <w:t xml:space="preserve">CBSE. Hindustani Music Percussion Instruments, subject code 036 (tabla and pakhawaj), secondary and senior secondary curriculum.</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bpwexomeq4y6-2qjbsxox">
        <w:r>
          <w:rPr>
            <w:rFonts w:ascii="Arial" w:cs="Arial" w:eastAsia="Arial" w:hAnsi="Arial"/>
            <w:color w:val="1F4E79"/>
            <w:sz w:val="15"/>
            <w:szCs w:val="15"/>
            <w:u w:val="single"/>
          </w:rPr>
          <w:t xml:space="preserve">https://www.cbseacademic.nic.in/web_material/CurriculumMain24/Sec/Hindustani_Music_Percussion_Sec_2023-24.pdf</w:t>
        </w:r>
      </w:hyperlink>
    </w:p>
    <w:p>
      <w:pPr>
        <w:spacing w:after="70" w:line="252"/>
        <w:ind w:left="520" w:hanging="520"/>
      </w:pPr>
      <w:r>
        <w:rPr>
          <w:rFonts w:ascii="Arial" w:cs="Arial" w:eastAsia="Arial" w:hAnsi="Arial"/>
          <w:b/>
          <w:bCs/>
          <w:color w:val="1F4E79"/>
          <w:sz w:val="17"/>
          <w:szCs w:val="17"/>
        </w:rPr>
        <w:t xml:space="preserve">[54]  </w:t>
      </w:r>
      <w:r>
        <w:rPr>
          <w:rFonts w:ascii="Arial" w:cs="Arial" w:eastAsia="Arial" w:hAnsi="Arial"/>
          <w:color w:val="222222"/>
          <w:sz w:val="17"/>
          <w:szCs w:val="17"/>
        </w:rPr>
        <w:t xml:space="preserve">NCERT Kala Utsav: ten art forms including Instrumental Music – Percussive; about 700 national-level participants from 36 States/UTs, KVS and NVS.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i-a59fzbyj_qyekn6djub">
        <w:r>
          <w:rPr>
            <w:rFonts w:ascii="Arial" w:cs="Arial" w:eastAsia="Arial" w:hAnsi="Arial"/>
            <w:color w:val="1F4E79"/>
            <w:sz w:val="15"/>
            <w:szCs w:val="15"/>
            <w:u w:val="single"/>
          </w:rPr>
          <w:t xml:space="preserve">https://kalautsav.ncert.gov.in/pdf/2024/Kala_Utsav_2025_Guidelines.pdf</w:t>
        </w:r>
      </w:hyperlink>
    </w:p>
    <w:p>
      <w:pPr>
        <w:spacing w:after="70" w:line="252"/>
        <w:ind w:left="520" w:hanging="520"/>
      </w:pPr>
      <w:r>
        <w:rPr>
          <w:rFonts w:ascii="Arial" w:cs="Arial" w:eastAsia="Arial" w:hAnsi="Arial"/>
          <w:b/>
          <w:bCs/>
          <w:color w:val="1F4E79"/>
          <w:sz w:val="17"/>
          <w:szCs w:val="17"/>
        </w:rPr>
        <w:t xml:space="preserve">[55]  </w:t>
      </w:r>
      <w:r>
        <w:rPr>
          <w:rFonts w:ascii="Arial" w:cs="Arial" w:eastAsia="Arial" w:hAnsi="Arial"/>
          <w:color w:val="222222"/>
          <w:sz w:val="17"/>
          <w:szCs w:val="17"/>
        </w:rPr>
        <w:t xml:space="preserve">NEP 2020 para 4.26 and the PSSCIVE guidelines for 10 bagless days (2024): students in Grades 6–8 intern with local vocational experts such as carpenters, gardeners, potters and artists.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_if_lf77g8tlocm-uo5j_">
        <w:r>
          <w:rPr>
            <w:rFonts w:ascii="Arial" w:cs="Arial" w:eastAsia="Arial" w:hAnsi="Arial"/>
            <w:color w:val="1F4E79"/>
            <w:sz w:val="15"/>
            <w:szCs w:val="15"/>
            <w:u w:val="single"/>
          </w:rPr>
          <w:t xml:space="preserve">https://psscive.ac.in/storage/uploads/documents/1722421697_Implementation%20of%2010%20Bagless%20Days%20in%20School.pdf</w:t>
        </w:r>
      </w:hyperlink>
    </w:p>
    <w:p>
      <w:pPr>
        <w:pStyle w:val="Heading3"/>
        <w:keepNext/>
      </w:pPr>
      <w:r>
        <w:rPr>
          <w:rFonts w:ascii="Arial" w:cs="Arial" w:eastAsia="Arial" w:hAnsi="Arial"/>
        </w:rPr>
        <w:t xml:space="preserve">O. Whole-arm skill and wearable motion sensing</w:t>
      </w:r>
    </w:p>
    <w:p>
      <w:pPr>
        <w:spacing w:after="70" w:line="252"/>
        <w:ind w:left="520" w:hanging="520"/>
      </w:pPr>
      <w:r>
        <w:rPr>
          <w:rFonts w:ascii="Arial" w:cs="Arial" w:eastAsia="Arial" w:hAnsi="Arial"/>
          <w:b/>
          <w:bCs/>
          <w:color w:val="1F4E79"/>
          <w:sz w:val="17"/>
          <w:szCs w:val="17"/>
        </w:rPr>
        <w:t xml:space="preserve">[56]  </w:t>
      </w:r>
      <w:r>
        <w:rPr>
          <w:rFonts w:ascii="Arial" w:cs="Arial" w:eastAsia="Arial" w:hAnsi="Arial"/>
          <w:color w:val="222222"/>
          <w:sz w:val="17"/>
          <w:szCs w:val="17"/>
        </w:rPr>
        <w:t xml:space="preserve">Furuya, S., &amp; Kinoshita, H. (2007). Roles of proximal-to-distal sequential organization of the upper limb segments in striking the keys by expert pianists. Neuroscience Letters. 7 expert and 7 novice pianists: peak speeds of shoulder, elbow and wrist followed a clear shoulder-to-hand sequence in experts but not in novices.</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[57]  </w:t>
      </w:r>
      <w:r>
        <w:rPr>
          <w:rFonts w:ascii="Arial" w:cs="Arial" w:eastAsia="Arial" w:hAnsi="Arial"/>
          <w:color w:val="222222"/>
          <w:sz w:val="17"/>
          <w:szCs w:val="17"/>
        </w:rPr>
        <w:t xml:space="preserve">Furuya, S., &amp; Kinoshita, H. (2008). Expertise-dependent modulation of muscular and non-muscular torques in multi-joint arm movements during piano keystroke. Neuroscience. Experts produced larger interaction torques at the elbow and wrist, so their muscles did less work than novices'.</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[58]  </w:t>
      </w:r>
      <w:r>
        <w:rPr>
          <w:rFonts w:ascii="Arial" w:cs="Arial" w:eastAsia="Arial" w:hAnsi="Arial"/>
          <w:color w:val="222222"/>
          <w:sz w:val="17"/>
          <w:szCs w:val="17"/>
        </w:rPr>
        <w:t xml:space="preserve">Dahl, S. (2004). Playing the accent: comparing striking velocity and timing in an ostinato rhythm performed by four drummers. Acta Acustica united with Acustica, 90(4), 762–776. The four drummers used individual movement strategies to play the same accent.</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f4yrqvclhsgn1fo1rbtre">
        <w:r>
          <w:rPr>
            <w:rFonts w:ascii="Arial" w:cs="Arial" w:eastAsia="Arial" w:hAnsi="Arial"/>
            <w:color w:val="1F4E79"/>
            <w:sz w:val="15"/>
            <w:szCs w:val="15"/>
            <w:u w:val="single"/>
          </w:rPr>
          <w:t xml:space="preserve">https://www.speech.kth.se/music/sim10/slides/Sofia_Dahl-KTH_Sound_is_Motion_20100211.pdf</w:t>
        </w:r>
      </w:hyperlink>
    </w:p>
    <w:p>
      <w:pPr>
        <w:spacing w:after="70" w:line="252"/>
        <w:ind w:left="520" w:hanging="520"/>
      </w:pPr>
      <w:r>
        <w:rPr>
          <w:rFonts w:ascii="Arial" w:cs="Arial" w:eastAsia="Arial" w:hAnsi="Arial"/>
          <w:b/>
          <w:bCs/>
          <w:color w:val="1F4E79"/>
          <w:sz w:val="17"/>
          <w:szCs w:val="17"/>
        </w:rPr>
        <w:t xml:space="preserve">[59]  </w:t>
      </w:r>
      <w:r>
        <w:rPr>
          <w:rFonts w:ascii="Arial" w:cs="Arial" w:eastAsia="Arial" w:hAnsi="Arial"/>
          <w:color w:val="222222"/>
          <w:sz w:val="17"/>
          <w:szCs w:val="17"/>
        </w:rPr>
        <w:t xml:space="preserve">Lieberman, J., &amp; Breazeal, C. (2007). TIKL: development of a wearable vibrotactile feedback suit for improved human motor learning. IEEE Transactions on Robotics. Teacher and student tracked by a Vicon optical system; vibration at the joints in error. Real-time error reduced by up to 27% and learning up to 23% faster (p ≤ 0.01).</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ofw9yf3tlfaqntve51p6r">
        <w:r>
          <w:rPr>
            <w:rFonts w:ascii="Arial" w:cs="Arial" w:eastAsia="Arial" w:hAnsi="Arial"/>
            <w:color w:val="1F4E79"/>
            <w:sz w:val="15"/>
            <w:szCs w:val="15"/>
            <w:u w:val="single"/>
          </w:rPr>
          <w:t xml:space="preserve">https://robots.media.mit.edu/tikl</w:t>
        </w:r>
      </w:hyperlink>
    </w:p>
    <w:p>
      <w:pPr>
        <w:spacing w:after="70" w:line="252"/>
        <w:ind w:left="520" w:hanging="520"/>
      </w:pPr>
      <w:r>
        <w:rPr>
          <w:rFonts w:ascii="Arial" w:cs="Arial" w:eastAsia="Arial" w:hAnsi="Arial"/>
          <w:b/>
          <w:bCs/>
          <w:color w:val="1F4E79"/>
          <w:sz w:val="17"/>
          <w:szCs w:val="17"/>
        </w:rPr>
        <w:t xml:space="preserve">[60]  </w:t>
      </w:r>
      <w:r>
        <w:rPr>
          <w:rFonts w:ascii="Arial" w:cs="Arial" w:eastAsia="Arial" w:hAnsi="Arial"/>
          <w:color w:val="222222"/>
          <w:sz w:val="17"/>
          <w:szCs w:val="17"/>
        </w:rPr>
        <w:t xml:space="preserve">Hosie, O., Isaksson, M., McCormick, J., Tirosh, O., &amp; Hensman, C. (2025). The design and validation of an open-palm data glove for precision finger and wrist tracking. Sensors, 25(2), 367. DOI 10.3390/s25020367. Fingertips and palm left free; static mean absolute error 1.25° for the finger sensors and 4.85° for the wrist IMU.</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djbytgjhsgqdynke7wciq">
        <w:r>
          <w:rPr>
            <w:rFonts w:ascii="Arial" w:cs="Arial" w:eastAsia="Arial" w:hAnsi="Arial"/>
            <w:color w:val="1F4E79"/>
            <w:sz w:val="15"/>
            <w:szCs w:val="15"/>
            <w:u w:val="single"/>
          </w:rPr>
          <w:t xml:space="preserve">https://www.mdpi.com/1424-8220/25/2/367</w:t>
        </w:r>
      </w:hyperlink>
    </w:p>
    <w:p>
      <w:pPr>
        <w:spacing w:after="70" w:line="252"/>
        <w:ind w:left="520" w:hanging="520"/>
      </w:pPr>
      <w:r>
        <w:rPr>
          <w:rFonts w:ascii="Arial" w:cs="Arial" w:eastAsia="Arial" w:hAnsi="Arial"/>
          <w:b/>
          <w:bCs/>
          <w:color w:val="1F4E79"/>
          <w:sz w:val="17"/>
          <w:szCs w:val="17"/>
        </w:rPr>
        <w:t xml:space="preserve">[61]  </w:t>
      </w:r>
      <w:r>
        <w:rPr>
          <w:rFonts w:ascii="Arial" w:cs="Arial" w:eastAsia="Arial" w:hAnsi="Arial"/>
          <w:color w:val="222222"/>
          <w:sz w:val="17"/>
          <w:szCs w:val="17"/>
        </w:rPr>
        <w:t xml:space="preserve">Madgwick, S. O. H., Harrison, A. J. L., &amp; Vaidyanathan, R. (2011). Estimation of IMU and MARG orientation using a gradient descent algorithm. Proc. IEEE International Conference on Rehabilitation Robotics (ICORR 2011). DOI 10.1109/ICORR.2011.5975346. Low-cost orientation filter for wearable motion tracking; reported orientation error below 0.8° static and 1.7° dynamic (RMS).</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[62]  </w:t>
      </w:r>
      <w:r>
        <w:rPr>
          <w:rFonts w:ascii="Arial" w:cs="Arial" w:eastAsia="Arial" w:hAnsi="Arial"/>
          <w:color w:val="222222"/>
          <w:sz w:val="17"/>
          <w:szCs w:val="17"/>
        </w:rPr>
        <w:t xml:space="preserve">Validation studies of inertial sensors (IMUs) for upper-limb angles against optical motion capture: shoulder errors of about 10–20° (RMSE) for one commercial system during simple and complex movements; another system below 4° for most joint angles; accuracy varies with system, joint and calibration.</w:t>
      </w:r>
      <w:r>
        <w:rPr>
          <w:rFonts w:ascii="Arial" w:cs="Arial" w:eastAsia="Arial" w:hAnsi="Arial"/>
          <w:b/>
          <w:bCs/>
          <w:color w:val="B8901A"/>
          <w:sz w:val="17"/>
          <w:szCs w:val="17"/>
        </w:rPr>
        <w:t xml:space="preserve">  Status: P.</w:t>
      </w:r>
      <w:r>
        <w:rPr>
          <w:rFonts w:ascii="Arial" w:cs="Arial" w:eastAsia="Arial" w:hAnsi="Arial"/>
          <w:sz w:val="17"/>
          <w:szCs w:val="17"/>
        </w:rPr>
        <w:t xml:space="preserve">  </w:t>
      </w:r>
      <w:hyperlink w:history="1" r:id="rIdqjbkndklzhjeokuhv94oo">
        <w:r>
          <w:rPr>
            <w:rFonts w:ascii="Arial" w:cs="Arial" w:eastAsia="Arial" w:hAnsi="Arial"/>
            <w:color w:val="1F4E79"/>
            <w:sz w:val="15"/>
            <w:szCs w:val="15"/>
            <w:u w:val="single"/>
          </w:rPr>
          <w:t xml:space="preserve">https://www.ncbi.nlm.nih.gov/pmc/articles/PMC9364332/</w:t>
        </w:r>
      </w:hyperlink>
    </w:p>
    <w:p>
      <w:pPr>
        <w:spacing w:after="70" w:line="252"/>
        <w:ind w:left="520" w:hanging="520"/>
      </w:pPr>
      <w:r>
        <w:rPr>
          <w:rFonts w:ascii="Arial" w:cs="Arial" w:eastAsia="Arial" w:hAnsi="Arial"/>
          <w:b/>
          <w:bCs/>
          <w:color w:val="1F4E79"/>
          <w:sz w:val="17"/>
          <w:szCs w:val="17"/>
        </w:rPr>
        <w:t xml:space="preserve">[63]  </w:t>
      </w:r>
      <w:r>
        <w:rPr>
          <w:rFonts w:ascii="Arial" w:cs="Arial" w:eastAsia="Arial" w:hAnsi="Arial"/>
          <w:color w:val="222222"/>
          <w:sz w:val="17"/>
          <w:szCs w:val="17"/>
        </w:rPr>
        <w:t xml:space="preserve">University of Groningen study: effects of different IMU sensor-to-segment calibration methods (N-pose, functional, manual alignment) on upper-limb kinematics; differences mostly small; the static N-pose recommended as the simplest method for the shoulder.</w:t>
      </w:r>
      <w:r>
        <w:rPr>
          <w:rFonts w:ascii="Arial" w:cs="Arial" w:eastAsia="Arial" w:hAnsi="Arial"/>
          <w:b/>
          <w:bCs/>
          <w:color w:val="B8901A"/>
          <w:sz w:val="17"/>
          <w:szCs w:val="17"/>
        </w:rPr>
        <w:t xml:space="preserve">  Status: P.</w:t>
      </w:r>
      <w:r>
        <w:rPr>
          <w:rFonts w:ascii="Arial" w:cs="Arial" w:eastAsia="Arial" w:hAnsi="Arial"/>
          <w:sz w:val="17"/>
          <w:szCs w:val="17"/>
        </w:rPr>
        <w:t xml:space="preserve">  </w:t>
      </w:r>
      <w:hyperlink w:history="1" r:id="rId1wzok0eoit75dn-wsdzkp">
        <w:r>
          <w:rPr>
            <w:rFonts w:ascii="Arial" w:cs="Arial" w:eastAsia="Arial" w:hAnsi="Arial"/>
            <w:color w:val="1F4E79"/>
            <w:sz w:val="15"/>
            <w:szCs w:val="15"/>
            <w:u w:val="single"/>
          </w:rPr>
          <w:t xml:space="preserve">https://research.rug.nl/en/publications/effects-of-different-inertial-measurement-unit-sensor-to-segment-/</w:t>
        </w:r>
      </w:hyperlink>
    </w:p>
    <w:p>
      <w:pPr>
        <w:spacing w:after="70" w:line="252"/>
        <w:ind w:left="520" w:hanging="520"/>
      </w:pPr>
      <w:r>
        <w:rPr>
          <w:rFonts w:ascii="Arial" w:cs="Arial" w:eastAsia="Arial" w:hAnsi="Arial"/>
          <w:b/>
          <w:bCs/>
          <w:color w:val="1F4E79"/>
          <w:sz w:val="17"/>
          <w:szCs w:val="17"/>
        </w:rPr>
        <w:t xml:space="preserve">[64]  </w:t>
      </w:r>
      <w:r>
        <w:rPr>
          <w:rFonts w:ascii="Arial" w:cs="Arial" w:eastAsia="Arial" w:hAnsi="Arial"/>
          <w:color w:val="222222"/>
          <w:sz w:val="17"/>
          <w:szCs w:val="17"/>
        </w:rPr>
        <w:t xml:space="preserve">Teslasuit full-body haptic suit with motion capture and biometrics: about US$5,000 (press reports).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i6d1njuefh1uvjwwxwbga">
        <w:r>
          <w:rPr>
            <w:rFonts w:ascii="Arial" w:cs="Arial" w:eastAsia="Arial" w:hAnsi="Arial"/>
            <w:color w:val="1F4E79"/>
            <w:sz w:val="15"/>
            <w:szCs w:val="15"/>
            <w:u w:val="single"/>
          </w:rPr>
          <w:t xml:space="preserve">https://www.tweaktown.com/news/69495/teslasuit-vr-gloves-go-perfectly-full-body-suit/index.html</w:t>
        </w:r>
      </w:hyperlink>
    </w:p>
    <w:p>
      <w:pPr>
        <w:spacing w:after="70" w:line="252"/>
        <w:ind w:left="520" w:hanging="520"/>
      </w:pPr>
      <w:r>
        <w:rPr>
          <w:rFonts w:ascii="Arial" w:cs="Arial" w:eastAsia="Arial" w:hAnsi="Arial"/>
          <w:b/>
          <w:bCs/>
          <w:color w:val="1F4E79"/>
          <w:sz w:val="17"/>
          <w:szCs w:val="17"/>
        </w:rPr>
        <w:t xml:space="preserve">[65]  </w:t>
      </w:r>
      <w:r>
        <w:rPr>
          <w:rFonts w:ascii="Arial" w:cs="Arial" w:eastAsia="Arial" w:hAnsi="Arial"/>
          <w:color w:val="222222"/>
          <w:sz w:val="17"/>
          <w:szCs w:val="17"/>
        </w:rPr>
        <w:t xml:space="preserve">Xsens MVN Link inertial motion-capture suit: US$12,430 (April 2021 list price); later entry-level estimates US$7,500–12,000; sold by quotation.</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cimhvblhcfb1h7a8r3yok">
        <w:r>
          <w:rPr>
            <w:rFonts w:ascii="Arial" w:cs="Arial" w:eastAsia="Arial" w:hAnsi="Arial"/>
            <w:color w:val="1F4E79"/>
            <w:sz w:val="15"/>
            <w:szCs w:val="15"/>
            <w:u w:val="single"/>
          </w:rPr>
          <w:t xml:space="preserve">https://www.cgchannel.com/2021/04/xsens-cuts-price-of-its-entry-level-inertial-mocap-systems/</w:t>
        </w:r>
      </w:hyperlink>
    </w:p>
    <w:p>
      <w:pPr>
        <w:pStyle w:val="Heading3"/>
        <w:keepNext/>
      </w:pPr>
      <w:r>
        <w:rPr>
          <w:rFonts w:ascii="Arial" w:cs="Arial" w:eastAsia="Arial" w:hAnsi="Arial"/>
        </w:rPr>
        <w:t xml:space="preserve">P. Handloom, puppetry and craft-capture projects</w:t>
      </w:r>
    </w:p>
    <w:p>
      <w:pPr>
        <w:spacing w:after="70" w:line="252"/>
        <w:ind w:left="520" w:hanging="520"/>
      </w:pPr>
      <w:r>
        <w:rPr>
          <w:rFonts w:ascii="Arial" w:cs="Arial" w:eastAsia="Arial" w:hAnsi="Arial"/>
          <w:b/>
          <w:bCs/>
          <w:color w:val="1F4E79"/>
          <w:sz w:val="17"/>
          <w:szCs w:val="17"/>
        </w:rPr>
        <w:t xml:space="preserve">[66]  </w:t>
      </w:r>
      <w:r>
        <w:rPr>
          <w:rFonts w:ascii="Arial" w:cs="Arial" w:eastAsia="Arial" w:hAnsi="Arial"/>
          <w:color w:val="222222"/>
          <w:sz w:val="17"/>
          <w:szCs w:val="17"/>
        </w:rPr>
        <w:t xml:space="preserve">Ministry of Textiles. Fourth All India Handloom Census 2019–20: 35.22 lakh handloom weavers and allied workers (43.32 lakh in the previous census) in 31.45 lakh households.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mxtgvsmnvph3ay7ex4dtr">
        <w:r>
          <w:rPr>
            <w:rFonts w:ascii="Arial" w:cs="Arial" w:eastAsia="Arial" w:hAnsi="Arial"/>
            <w:color w:val="1F4E79"/>
            <w:sz w:val="15"/>
            <w:szCs w:val="15"/>
            <w:u w:val="single"/>
          </w:rPr>
          <w:t xml:space="preserve">https://ruralindiaonline.org/en/library/resource/fourth-all-india-handloom-census-2019-2020</w:t>
        </w:r>
      </w:hyperlink>
    </w:p>
    <w:p>
      <w:pPr>
        <w:spacing w:after="70" w:line="252"/>
        <w:ind w:left="520" w:hanging="520"/>
      </w:pPr>
      <w:r>
        <w:rPr>
          <w:rFonts w:ascii="Arial" w:cs="Arial" w:eastAsia="Arial" w:hAnsi="Arial"/>
          <w:b/>
          <w:bCs/>
          <w:color w:val="1F4E79"/>
          <w:sz w:val="17"/>
          <w:szCs w:val="17"/>
        </w:rPr>
        <w:t xml:space="preserve">[67]  </w:t>
      </w:r>
      <w:r>
        <w:rPr>
          <w:rFonts w:ascii="Arial" w:cs="Arial" w:eastAsia="Arial" w:hAnsi="Arial"/>
          <w:color w:val="222222"/>
          <w:sz w:val="17"/>
          <w:szCs w:val="17"/>
        </w:rPr>
        <w:t xml:space="preserve">Ministry of Textiles, Rajya Sabha answers: training for handloom workers runs through 28 Weavers' Service Centres; skill upgradation under SAMARTH reached 56,934 weavers from 2015–16 to 2020–21.</w:t>
      </w:r>
      <w:r>
        <w:rPr>
          <w:rFonts w:ascii="Arial" w:cs="Arial" w:eastAsia="Arial" w:hAnsi="Arial"/>
          <w:b/>
          <w:bCs/>
          <w:color w:val="B8901A"/>
          <w:sz w:val="17"/>
          <w:szCs w:val="17"/>
        </w:rPr>
        <w:t xml:space="preserve">  Status: P.</w:t>
      </w:r>
      <w:r>
        <w:rPr>
          <w:rFonts w:ascii="Arial" w:cs="Arial" w:eastAsia="Arial" w:hAnsi="Arial"/>
          <w:sz w:val="17"/>
          <w:szCs w:val="17"/>
        </w:rPr>
        <w:t xml:space="preserve">  </w:t>
      </w:r>
      <w:hyperlink w:history="1" r:id="rIdi5xy4blhvxwrvu8w58oy4">
        <w:r>
          <w:rPr>
            <w:rFonts w:ascii="Arial" w:cs="Arial" w:eastAsia="Arial" w:hAnsi="Arial"/>
            <w:color w:val="1F4E79"/>
            <w:sz w:val="15"/>
            <w:szCs w:val="15"/>
            <w:u w:val="single"/>
          </w:rPr>
          <w:t xml:space="preserve">https://rsdebate.nic.in/bitstream/123456789/719227/1/PQ_254_22072021_U441_p355_p355.pdf</w:t>
        </w:r>
      </w:hyperlink>
    </w:p>
    <w:p>
      <w:pPr>
        <w:spacing w:after="70" w:line="252"/>
        <w:ind w:left="520" w:hanging="520"/>
      </w:pPr>
      <w:r>
        <w:rPr>
          <w:rFonts w:ascii="Arial" w:cs="Arial" w:eastAsia="Arial" w:hAnsi="Arial"/>
          <w:b/>
          <w:bCs/>
          <w:color w:val="1F4E79"/>
          <w:sz w:val="17"/>
          <w:szCs w:val="17"/>
        </w:rPr>
        <w:t xml:space="preserve">[68]  </w:t>
      </w:r>
      <w:r>
        <w:rPr>
          <w:rFonts w:ascii="Arial" w:cs="Arial" w:eastAsia="Arial" w:hAnsi="Arial"/>
          <w:color w:val="222222"/>
          <w:sz w:val="17"/>
          <w:szCs w:val="17"/>
        </w:rPr>
        <w:t xml:space="preserve">Textiles Committee. Qualification 'Handloom Weaving – Two Treadles' (TC HLM 06, NSQF Level 3): 315 hours of hands-on training, covering motions of weaving, two-treadle weaving and quality maintenance.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wqbuwnij3ftoaij6j_mfg">
        <w:r>
          <w:rPr>
            <w:rFonts w:ascii="Arial" w:cs="Arial" w:eastAsia="Arial" w:hAnsi="Arial"/>
            <w:color w:val="1F4E79"/>
            <w:sz w:val="15"/>
            <w:szCs w:val="15"/>
            <w:u w:val="single"/>
          </w:rPr>
          <w:t xml:space="preserve">https://textilescommittee.nic.in/sites/default/files/2021-07/Handloom_Weaving_Two_Treadles.pdf</w:t>
        </w:r>
      </w:hyperlink>
    </w:p>
    <w:p>
      <w:pPr>
        <w:spacing w:after="70" w:line="252"/>
        <w:ind w:left="520" w:hanging="520"/>
      </w:pPr>
      <w:r>
        <w:rPr>
          <w:rFonts w:ascii="Arial" w:cs="Arial" w:eastAsia="Arial" w:hAnsi="Arial"/>
          <w:b/>
          <w:bCs/>
          <w:color w:val="1F4E79"/>
          <w:sz w:val="17"/>
          <w:szCs w:val="17"/>
        </w:rPr>
        <w:t xml:space="preserve">[69]  </w:t>
      </w:r>
      <w:r>
        <w:rPr>
          <w:rFonts w:ascii="Arial" w:cs="Arial" w:eastAsia="Arial" w:hAnsi="Arial"/>
          <w:color w:val="222222"/>
          <w:sz w:val="17"/>
          <w:szCs w:val="17"/>
        </w:rPr>
        <w:t xml:space="preserve">Siddiqui, L. A., Banerjee, A., Chokhandre, P., &amp; Unisa, S. (2021). Prevalence and predictors of musculoskeletal disorders (MSDs) among weavers of Varanasi, India: a cross-sectional study. Clinical Epidemiology and Global Health. n = 364; 12-month prevalence in handloom vs powerloom weavers: upper back 84% vs 45%, lower back 82% vs 50%, shoulder 76% vs 42%.</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mxwjbbmleq7g-xunbto8z">
        <w:r>
          <w:rPr>
            <w:rFonts w:ascii="Arial" w:cs="Arial" w:eastAsia="Arial" w:hAnsi="Arial"/>
            <w:color w:val="1F4E79"/>
            <w:sz w:val="15"/>
            <w:szCs w:val="15"/>
            <w:u w:val="single"/>
          </w:rPr>
          <w:t xml:space="preserve">https://oalib-perpustakaan.upi.edu/Record/doaj_18bf152015c74b8aae5783c503ac2069</w:t>
        </w:r>
      </w:hyperlink>
    </w:p>
    <w:p>
      <w:pPr>
        <w:spacing w:after="70" w:line="252"/>
        <w:ind w:left="520" w:hanging="520"/>
      </w:pPr>
      <w:r>
        <w:rPr>
          <w:rFonts w:ascii="Arial" w:cs="Arial" w:eastAsia="Arial" w:hAnsi="Arial"/>
          <w:b/>
          <w:bCs/>
          <w:color w:val="1F4E79"/>
          <w:sz w:val="17"/>
          <w:szCs w:val="17"/>
        </w:rPr>
        <w:t xml:space="preserve">[70]  </w:t>
      </w:r>
      <w:r>
        <w:rPr>
          <w:rFonts w:ascii="Arial" w:cs="Arial" w:eastAsia="Arial" w:hAnsi="Arial"/>
          <w:color w:val="222222"/>
          <w:sz w:val="17"/>
          <w:szCs w:val="17"/>
        </w:rPr>
        <w:t xml:space="preserve">Automatic inspection of woven fabric density based on digital image analysis (wavelet-based image method). Relative error below 0.86% compared with manual counting across three basic weaves.</w:t>
      </w:r>
      <w:r>
        <w:rPr>
          <w:rFonts w:ascii="Arial" w:cs="Arial" w:eastAsia="Arial" w:hAnsi="Arial"/>
          <w:b/>
          <w:bCs/>
          <w:color w:val="B8901A"/>
          <w:sz w:val="17"/>
          <w:szCs w:val="17"/>
        </w:rPr>
        <w:t xml:space="preserve">  Status: P.</w:t>
      </w:r>
      <w:r>
        <w:rPr>
          <w:rFonts w:ascii="Arial" w:cs="Arial" w:eastAsia="Arial" w:hAnsi="Arial"/>
          <w:sz w:val="17"/>
          <w:szCs w:val="17"/>
        </w:rPr>
        <w:t xml:space="preserve">  </w:t>
      </w:r>
      <w:hyperlink w:history="1" r:id="rIdklbsr4znuossmvcezk4dk">
        <w:r>
          <w:rPr>
            <w:rFonts w:ascii="Arial" w:cs="Arial" w:eastAsia="Arial" w:hAnsi="Arial"/>
            <w:color w:val="1F4E79"/>
            <w:sz w:val="15"/>
            <w:szCs w:val="15"/>
            <w:u w:val="single"/>
          </w:rPr>
          <w:t xml:space="preserve">https://global-sci.com/article/86550/automatic-inspection-of-woven-fabric-density-based-on-digital-image-analysis</w:t>
        </w:r>
      </w:hyperlink>
    </w:p>
    <w:p>
      <w:pPr>
        <w:spacing w:after="70" w:line="252"/>
        <w:ind w:left="520" w:hanging="520"/>
      </w:pPr>
      <w:r>
        <w:rPr>
          <w:rFonts w:ascii="Arial" w:cs="Arial" w:eastAsia="Arial" w:hAnsi="Arial"/>
          <w:b/>
          <w:bCs/>
          <w:color w:val="1F4E79"/>
          <w:sz w:val="17"/>
          <w:szCs w:val="17"/>
        </w:rPr>
        <w:t xml:space="preserve">[71]  </w:t>
      </w:r>
      <w:r>
        <w:rPr>
          <w:rFonts w:ascii="Arial" w:cs="Arial" w:eastAsia="Arial" w:hAnsi="Arial"/>
          <w:color w:val="222222"/>
          <w:sz w:val="17"/>
          <w:szCs w:val="17"/>
        </w:rPr>
        <w:t xml:space="preserve">UNIMA World Encyclopedia of Puppetry Arts, 'Kathputli': strings are looped around the puppeteer's hand and fingers, with no control bar; usually two to five strings (the rasdhari dancer up to nine). Bhat and Nat communities, mostly from Nagaur.</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h7odoye7x9ohi8w_0udrk">
        <w:r>
          <w:rPr>
            <w:rFonts w:ascii="Arial" w:cs="Arial" w:eastAsia="Arial" w:hAnsi="Arial"/>
            <w:color w:val="1F4E79"/>
            <w:sz w:val="15"/>
            <w:szCs w:val="15"/>
            <w:u w:val="single"/>
          </w:rPr>
          <w:t xml:space="preserve">https://wepa.unima.org/en/?p=3094</w:t>
        </w:r>
      </w:hyperlink>
    </w:p>
    <w:p>
      <w:pPr>
        <w:spacing w:after="70" w:line="252"/>
        <w:ind w:left="520" w:hanging="520"/>
      </w:pPr>
      <w:r>
        <w:rPr>
          <w:rFonts w:ascii="Arial" w:cs="Arial" w:eastAsia="Arial" w:hAnsi="Arial"/>
          <w:b/>
          <w:bCs/>
          <w:color w:val="1F4E79"/>
          <w:sz w:val="17"/>
          <w:szCs w:val="17"/>
        </w:rPr>
        <w:t xml:space="preserve">[72]  </w:t>
      </w:r>
      <w:r>
        <w:rPr>
          <w:rFonts w:ascii="Arial" w:cs="Arial" w:eastAsia="Arial" w:hAnsi="Arial"/>
          <w:color w:val="222222"/>
          <w:sz w:val="17"/>
          <w:szCs w:val="17"/>
        </w:rPr>
        <w:t xml:space="preserve">India's four puppet families: string (Kathputli, Kundhei, Gombeyatta, Bommalattam), shadow (Tholu Bommalata, Togalu Gombeyatta, Ravanachhaya), rod (Putul Nautch, Yampuri) and glove (Pavakoothu of Kerala).</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dkwed5hy4synpeikw3eqt">
        <w:r>
          <w:rPr>
            <w:rFonts w:ascii="Arial" w:cs="Arial" w:eastAsia="Arial" w:hAnsi="Arial"/>
            <w:color w:val="1F4E79"/>
            <w:sz w:val="15"/>
            <w:szCs w:val="15"/>
            <w:u w:val="single"/>
          </w:rPr>
          <w:t xml:space="preserve">https://compass.rauias.com/art-culture/puppet-forms-india/</w:t>
        </w:r>
      </w:hyperlink>
    </w:p>
    <w:p>
      <w:pPr>
        <w:spacing w:after="70" w:line="252"/>
        <w:ind w:left="520" w:hanging="520"/>
      </w:pPr>
      <w:r>
        <w:rPr>
          <w:rFonts w:ascii="Arial" w:cs="Arial" w:eastAsia="Arial" w:hAnsi="Arial"/>
          <w:b/>
          <w:bCs/>
          <w:color w:val="1F4E79"/>
          <w:sz w:val="17"/>
          <w:szCs w:val="17"/>
        </w:rPr>
        <w:t xml:space="preserve">[73]  </w:t>
      </w:r>
      <w:r>
        <w:rPr>
          <w:rFonts w:ascii="Arial" w:cs="Arial" w:eastAsia="Arial" w:hAnsi="Arial"/>
          <w:color w:val="222222"/>
          <w:sz w:val="17"/>
          <w:szCs w:val="17"/>
        </w:rPr>
        <w:t xml:space="preserve">People's Archive of Rural India (PARI), 'Delhi's kathputli artists: puppeteers in limbo', and press reports: after the 2017 demolition of the Kathputli Colony at Shadipur, about 2,800 families of puppeteers and other folk artists were to move to a transit camp at Anand Parbat.</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yqlcyuxsax05ufky_9dxs">
        <w:r>
          <w:rPr>
            <w:rFonts w:ascii="Arial" w:cs="Arial" w:eastAsia="Arial" w:hAnsi="Arial"/>
            <w:color w:val="1F4E79"/>
            <w:sz w:val="15"/>
            <w:szCs w:val="15"/>
            <w:u w:val="single"/>
          </w:rPr>
          <w:t xml:space="preserve">https://ruralindiaonline.org/en/articles/delhis-kathputli-artists-puppeteers-in-limbo</w:t>
        </w:r>
      </w:hyperlink>
    </w:p>
    <w:p>
      <w:pPr>
        <w:spacing w:after="70" w:line="252"/>
        <w:ind w:left="520" w:hanging="520"/>
      </w:pPr>
      <w:r>
        <w:rPr>
          <w:rFonts w:ascii="Arial" w:cs="Arial" w:eastAsia="Arial" w:hAnsi="Arial"/>
          <w:b/>
          <w:bCs/>
          <w:color w:val="1F4E79"/>
          <w:sz w:val="17"/>
          <w:szCs w:val="17"/>
        </w:rPr>
        <w:t xml:space="preserve">[74]  </w:t>
      </w:r>
      <w:r>
        <w:rPr>
          <w:rFonts w:ascii="Arial" w:cs="Arial" w:eastAsia="Arial" w:hAnsi="Arial"/>
          <w:color w:val="222222"/>
          <w:sz w:val="17"/>
          <w:szCs w:val="17"/>
        </w:rPr>
        <w:t xml:space="preserve">CRAEFT: Craft Understanding, Education, Training, and Preservation for Posterity and Prosperity. EU-funded project from 1 March 2023, three years, budget €3,112,106; digital aids, craft simulators and haptics for craft training.</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eryntv9zyuk38jfepqioi">
        <w:r>
          <w:rPr>
            <w:rFonts w:ascii="Arial" w:cs="Arial" w:eastAsia="Arial" w:hAnsi="Arial"/>
            <w:color w:val="1F4E79"/>
            <w:sz w:val="15"/>
            <w:szCs w:val="15"/>
            <w:u w:val="single"/>
          </w:rPr>
          <w:t xml:space="preserve">https://www.isti.cnr.it/en/research/project-detail/14501/CRAEFT_Craft_Understanding_Education_Training_and_Preservation_for_Posterity_and_Prosperity</w:t>
        </w:r>
      </w:hyperlink>
    </w:p>
    <w:p>
      <w:pPr>
        <w:spacing w:after="70" w:line="252"/>
        <w:ind w:left="520" w:hanging="520"/>
      </w:pPr>
      <w:r>
        <w:rPr>
          <w:rFonts w:ascii="Arial" w:cs="Arial" w:eastAsia="Arial" w:hAnsi="Arial"/>
          <w:b/>
          <w:bCs/>
          <w:color w:val="1F4E79"/>
          <w:sz w:val="17"/>
          <w:szCs w:val="17"/>
        </w:rPr>
        <w:t xml:space="preserve">[75]  </w:t>
      </w:r>
      <w:r>
        <w:rPr>
          <w:rFonts w:ascii="Arial" w:cs="Arial" w:eastAsia="Arial" w:hAnsi="Arial"/>
          <w:color w:val="222222"/>
          <w:sz w:val="17"/>
          <w:szCs w:val="17"/>
        </w:rPr>
        <w:t xml:space="preserve">Mingei (EU Horizon 2020): silk-weaving pilot at the Haus der Seidenkultur, Krefeld; motion capture of craftspeople's gestures and tool use for education, AR/VR and virtual characters.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duc94gyyeg5yhzigemztq">
        <w:r>
          <w:rPr>
            <w:rFonts w:ascii="Arial" w:cs="Arial" w:eastAsia="Arial" w:hAnsi="Arial"/>
            <w:color w:val="1F4E79"/>
            <w:sz w:val="15"/>
            <w:szCs w:val="15"/>
            <w:u w:val="single"/>
          </w:rPr>
          <w:t xml:space="preserve">https://waag.org/en/project/mingei</w:t>
        </w:r>
      </w:hyperlink>
    </w:p>
    <w:p>
      <w:pPr>
        <w:pStyle w:val="Heading3"/>
        <w:keepNext/>
      </w:pPr>
      <w:r>
        <w:rPr>
          <w:rFonts w:ascii="Arial" w:cs="Arial" w:eastAsia="Arial" w:hAnsi="Arial"/>
        </w:rPr>
        <w:t xml:space="preserve">Q. Validation methods</w:t>
      </w:r>
    </w:p>
    <w:p>
      <w:pPr>
        <w:spacing w:after="70" w:line="252"/>
        <w:ind w:left="520" w:hanging="520"/>
      </w:pPr>
      <w:r>
        <w:rPr>
          <w:rFonts w:ascii="Arial" w:cs="Arial" w:eastAsia="Arial" w:hAnsi="Arial"/>
          <w:b/>
          <w:bCs/>
          <w:color w:val="1F4E79"/>
          <w:sz w:val="17"/>
          <w:szCs w:val="17"/>
        </w:rPr>
        <w:t xml:space="preserve">[76]  </w:t>
      </w:r>
      <w:r>
        <w:rPr>
          <w:rFonts w:ascii="Arial" w:cs="Arial" w:eastAsia="Arial" w:hAnsi="Arial"/>
          <w:color w:val="222222"/>
          <w:sz w:val="17"/>
          <w:szCs w:val="17"/>
        </w:rPr>
        <w:t xml:space="preserve">Flexer, A., &amp; Schnitzer, D. (2010). Effects of album and artist filters in audio similarity computed for very large music databases. Computer Music Journal. The 'album effect': artist identification looks accurate when training and test songs share an album, and drops when they do not, because systems learn recording conditions as well as the artist.</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[77]  </w:t>
      </w:r>
      <w:r>
        <w:rPr>
          <w:rFonts w:ascii="Arial" w:cs="Arial" w:eastAsia="Arial" w:hAnsi="Arial"/>
          <w:color w:val="222222"/>
          <w:sz w:val="17"/>
          <w:szCs w:val="17"/>
        </w:rPr>
        <w:t xml:space="preserve">Lakens, D. (2017). Equivalence tests: a practical primer for t tests, correlations, and meta-analyses. Social Psychological and Personality Science. Two one-sided tests (TOST) to show that an effect is smaller than a pre-set bound.</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wagpem3joqecrrmywebpu">
        <w:r>
          <w:rPr>
            <w:rFonts w:ascii="Arial" w:cs="Arial" w:eastAsia="Arial" w:hAnsi="Arial"/>
            <w:color w:val="1F4E79"/>
            <w:sz w:val="15"/>
            <w:szCs w:val="15"/>
            <w:u w:val="single"/>
          </w:rPr>
          <w:t xml:space="preserve">https://pmc.ncbi.nlm.nih.gov/articles/PMC5502906/</w:t>
        </w:r>
      </w:hyperlink>
    </w:p>
    <w:p>
      <w:pPr>
        <w:pStyle w:val="Heading3"/>
        <w:keepNext/>
      </w:pPr>
      <w:r>
        <w:rPr>
          <w:rFonts w:ascii="Arial" w:cs="Arial" w:eastAsia="Arial" w:hAnsi="Arial"/>
        </w:rPr>
        <w:t xml:space="preserve">R. Component datasheets and engineering standards</w:t>
      </w:r>
    </w:p>
    <w:p>
      <w:pPr>
        <w:spacing w:after="70" w:line="252"/>
        <w:ind w:left="520" w:hanging="520"/>
      </w:pPr>
      <w:r>
        <w:rPr>
          <w:rFonts w:ascii="Arial" w:cs="Arial" w:eastAsia="Arial" w:hAnsi="Arial"/>
          <w:b/>
          <w:bCs/>
          <w:color w:val="1F4E79"/>
          <w:sz w:val="17"/>
          <w:szCs w:val="17"/>
        </w:rPr>
        <w:t xml:space="preserve">[78]  </w:t>
      </w:r>
      <w:r>
        <w:rPr>
          <w:rFonts w:ascii="Arial" w:cs="Arial" w:eastAsia="Arial" w:hAnsi="Arial"/>
          <w:color w:val="222222"/>
          <w:sz w:val="17"/>
          <w:szCs w:val="17"/>
        </w:rPr>
        <w:t xml:space="preserve">Bosch Sensortec. BMI270 6-axis IMU datasheet (BST-BMI270-DS000). LGA package 2.5 × 3.0 × 0.83 mm; 16-bit accelerometer and gyroscope; 685 µA typical in full operation; 2 KB FIFO; I2C and SPI.</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7-5rzw1-zex67s0viqynv">
        <w:r>
          <w:rPr>
            <w:rFonts w:ascii="Arial" w:cs="Arial" w:eastAsia="Arial" w:hAnsi="Arial"/>
            <w:color w:val="1F4E79"/>
            <w:sz w:val="15"/>
            <w:szCs w:val="15"/>
            <w:u w:val="single"/>
          </w:rPr>
          <w:t xml:space="preserve">https://cdn.sparkfun.com/assets/9/a/2/9/6/bst-bmi270-ds000.pdf</w:t>
        </w:r>
      </w:hyperlink>
    </w:p>
    <w:p>
      <w:pPr>
        <w:spacing w:after="70" w:line="252"/>
        <w:ind w:left="520" w:hanging="520"/>
      </w:pPr>
      <w:r>
        <w:rPr>
          <w:rFonts w:ascii="Arial" w:cs="Arial" w:eastAsia="Arial" w:hAnsi="Arial"/>
          <w:b/>
          <w:bCs/>
          <w:color w:val="1F4E79"/>
          <w:sz w:val="17"/>
          <w:szCs w:val="17"/>
        </w:rPr>
        <w:t xml:space="preserve">[79]  </w:t>
      </w:r>
      <w:r>
        <w:rPr>
          <w:rFonts w:ascii="Arial" w:cs="Arial" w:eastAsia="Arial" w:hAnsi="Arial"/>
          <w:color w:val="222222"/>
          <w:sz w:val="17"/>
          <w:szCs w:val="17"/>
        </w:rPr>
        <w:t xml:space="preserve">Texas Instruments. DRV2605L datasheet (SLOS854): 2–5.2 V supply; VSSOP-10 3.00 × 3.00 mm or DSBGA 1.50 × 1.50 mm; closed-loop LRA auto-resonance; fixed 7-bit I2C address 0x5A (as used in open driver code), so several drivers need an I2C switch.</w:t>
      </w:r>
      <w:r>
        <w:rPr>
          <w:rFonts w:ascii="Arial" w:cs="Arial" w:eastAsia="Arial" w:hAnsi="Arial"/>
          <w:b/>
          <w:bCs/>
          <w:color w:val="B8901A"/>
          <w:sz w:val="17"/>
          <w:szCs w:val="17"/>
        </w:rPr>
        <w:t xml:space="preserve">  Status: P.</w:t>
      </w:r>
      <w:r>
        <w:rPr>
          <w:rFonts w:ascii="Arial" w:cs="Arial" w:eastAsia="Arial" w:hAnsi="Arial"/>
          <w:sz w:val="17"/>
          <w:szCs w:val="17"/>
        </w:rPr>
        <w:t xml:space="preserve">  </w:t>
      </w:r>
      <w:hyperlink w:history="1" r:id="rIdvbqunrausdermpwlhz_dq">
        <w:r>
          <w:rPr>
            <w:rFonts w:ascii="Arial" w:cs="Arial" w:eastAsia="Arial" w:hAnsi="Arial"/>
            <w:color w:val="1F4E79"/>
            <w:sz w:val="15"/>
            <w:szCs w:val="15"/>
            <w:u w:val="single"/>
          </w:rPr>
          <w:t xml:space="preserve">https://ti.com/lit/gpn/drv2605l</w:t>
        </w:r>
      </w:hyperlink>
    </w:p>
    <w:p>
      <w:pPr>
        <w:spacing w:after="70" w:line="252"/>
        <w:ind w:left="520" w:hanging="520"/>
      </w:pPr>
      <w:r>
        <w:rPr>
          <w:rFonts w:ascii="Arial" w:cs="Arial" w:eastAsia="Arial" w:hAnsi="Arial"/>
          <w:b/>
          <w:bCs/>
          <w:color w:val="1F4E79"/>
          <w:sz w:val="17"/>
          <w:szCs w:val="17"/>
        </w:rPr>
        <w:t xml:space="preserve">[80]  </w:t>
      </w:r>
      <w:r>
        <w:rPr>
          <w:rFonts w:ascii="Arial" w:cs="Arial" w:eastAsia="Arial" w:hAnsi="Arial"/>
          <w:color w:val="222222"/>
          <w:sz w:val="17"/>
          <w:szCs w:val="17"/>
        </w:rPr>
        <w:t xml:space="preserve">Texas Instruments. TCA9548A low-voltage 8-channel I2C switch (SCPS207): addresses 0x70–0x77, Standard and Fast mode (100 and 400 kHz), one control register enables each channel.</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brobjc7jgcglixwhnce0x">
        <w:r>
          <w:rPr>
            <w:rFonts w:ascii="Arial" w:cs="Arial" w:eastAsia="Arial" w:hAnsi="Arial"/>
            <w:color w:val="1F4E79"/>
            <w:sz w:val="15"/>
            <w:szCs w:val="15"/>
            <w:u w:val="single"/>
          </w:rPr>
          <w:t xml:space="preserve">https://www.ti.com/document-viewer/lit/html/SCPS207H/GUID-170D1E15-60B5-418E-AEF2-45D0CB1F14A2</w:t>
        </w:r>
      </w:hyperlink>
    </w:p>
    <w:p>
      <w:pPr>
        <w:spacing w:after="70" w:line="252"/>
        <w:ind w:left="520" w:hanging="520"/>
      </w:pPr>
      <w:r>
        <w:rPr>
          <w:rFonts w:ascii="Arial" w:cs="Arial" w:eastAsia="Arial" w:hAnsi="Arial"/>
          <w:b/>
          <w:bCs/>
          <w:color w:val="1F4E79"/>
          <w:sz w:val="17"/>
          <w:szCs w:val="17"/>
        </w:rPr>
        <w:t xml:space="preserve">[81]  </w:t>
      </w:r>
      <w:r>
        <w:rPr>
          <w:rFonts w:ascii="Arial" w:cs="Arial" w:eastAsia="Arial" w:hAnsi="Arial"/>
          <w:color w:val="222222"/>
          <w:sz w:val="17"/>
          <w:szCs w:val="17"/>
        </w:rPr>
        <w:t xml:space="preserve">Espressif. ESP32-S3-MINI-1 module datasheet: 15.4 × 20.5 × 2.4 mm; Xtensa LX7 dual core up to 240 MHz; 2.4 GHz Wi-Fi and Bluetooth 5 (LE); PCB antenna.</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pizrn1nsmi0ifs8kr4y95">
        <w:r>
          <w:rPr>
            <w:rFonts w:ascii="Arial" w:cs="Arial" w:eastAsia="Arial" w:hAnsi="Arial"/>
            <w:color w:val="1F4E79"/>
            <w:sz w:val="15"/>
            <w:szCs w:val="15"/>
            <w:u w:val="single"/>
          </w:rPr>
          <w:t xml:space="preserve">https://www.espressif.com/sites/default/files/documentation/esp32-s3-mini-1_mini-1u_datasheet_en.pdf</w:t>
        </w:r>
      </w:hyperlink>
    </w:p>
    <w:p>
      <w:pPr>
        <w:spacing w:after="70" w:line="252"/>
        <w:ind w:left="520" w:hanging="520"/>
      </w:pPr>
      <w:r>
        <w:rPr>
          <w:rFonts w:ascii="Arial" w:cs="Arial" w:eastAsia="Arial" w:hAnsi="Arial"/>
          <w:b/>
          <w:bCs/>
          <w:color w:val="1F4E79"/>
          <w:sz w:val="17"/>
          <w:szCs w:val="17"/>
        </w:rPr>
        <w:t xml:space="preserve">[82]  </w:t>
      </w:r>
      <w:r>
        <w:rPr>
          <w:rFonts w:ascii="Arial" w:cs="Arial" w:eastAsia="Arial" w:hAnsi="Arial"/>
          <w:color w:val="222222"/>
          <w:sz w:val="17"/>
          <w:szCs w:val="17"/>
        </w:rPr>
        <w:t xml:space="preserve">Espressif. ESP32-S3 series datasheet, current consumption: modem-sleep about 33–47 mA at 80 MHz with both cores; Bluetooth LE transmit about 130 mA (typical).</w:t>
      </w:r>
      <w:r>
        <w:rPr>
          <w:rFonts w:ascii="Arial" w:cs="Arial" w:eastAsia="Arial" w:hAnsi="Arial"/>
          <w:b/>
          <w:bCs/>
          <w:color w:val="B8901A"/>
          <w:sz w:val="17"/>
          <w:szCs w:val="17"/>
        </w:rPr>
        <w:t xml:space="preserve">  Status: P.</w:t>
      </w:r>
      <w:r>
        <w:rPr>
          <w:rFonts w:ascii="Arial" w:cs="Arial" w:eastAsia="Arial" w:hAnsi="Arial"/>
          <w:sz w:val="17"/>
          <w:szCs w:val="17"/>
        </w:rPr>
        <w:t xml:space="preserve">  </w:t>
      </w:r>
      <w:hyperlink w:history="1" r:id="rIdgtyng_qadrbikfyhah0uy">
        <w:r>
          <w:rPr>
            <w:rFonts w:ascii="Arial" w:cs="Arial" w:eastAsia="Arial" w:hAnsi="Arial"/>
            <w:color w:val="1F4E79"/>
            <w:sz w:val="15"/>
            <w:szCs w:val="15"/>
            <w:u w:val="single"/>
          </w:rPr>
          <w:t xml:space="preserve">https://documentation.espressif.com/esp32-s3_datasheet_en.html</w:t>
        </w:r>
      </w:hyperlink>
    </w:p>
    <w:p>
      <w:pPr>
        <w:spacing w:after="70" w:line="252"/>
        <w:ind w:left="520" w:hanging="520"/>
      </w:pPr>
      <w:r>
        <w:rPr>
          <w:rFonts w:ascii="Arial" w:cs="Arial" w:eastAsia="Arial" w:hAnsi="Arial"/>
          <w:b/>
          <w:bCs/>
          <w:color w:val="1F4E79"/>
          <w:sz w:val="17"/>
          <w:szCs w:val="17"/>
        </w:rPr>
        <w:t xml:space="preserve">[83]  </w:t>
      </w:r>
      <w:r>
        <w:rPr>
          <w:rFonts w:ascii="Arial" w:cs="Arial" w:eastAsia="Arial" w:hAnsi="Arial"/>
          <w:color w:val="222222"/>
          <w:sz w:val="17"/>
          <w:szCs w:val="17"/>
        </w:rPr>
        <w:t xml:space="preserve">Espressif. ESP-IDF ADC continuous mode driver for ESP32-S3: DMA sampling of one or more channels; default maximum sampling frequency 83,333 Hz.</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svujrze9m19bsatk3-gqe">
        <w:r>
          <w:rPr>
            <w:rFonts w:ascii="Arial" w:cs="Arial" w:eastAsia="Arial" w:hAnsi="Arial"/>
            <w:color w:val="1F4E79"/>
            <w:sz w:val="15"/>
            <w:szCs w:val="15"/>
            <w:u w:val="single"/>
          </w:rPr>
          <w:t xml:space="preserve">https://docs.espressif.com/projects/esp-idf/en/latest/esp32s3/api-reference/peripherals/adc/adc_continuous.html</w:t>
        </w:r>
      </w:hyperlink>
    </w:p>
    <w:p>
      <w:pPr>
        <w:spacing w:after="70" w:line="252"/>
        <w:ind w:left="520" w:hanging="520"/>
      </w:pPr>
      <w:r>
        <w:rPr>
          <w:rFonts w:ascii="Arial" w:cs="Arial" w:eastAsia="Arial" w:hAnsi="Arial"/>
          <w:b/>
          <w:bCs/>
          <w:color w:val="1F4E79"/>
          <w:sz w:val="17"/>
          <w:szCs w:val="17"/>
        </w:rPr>
        <w:t xml:space="preserve">[84]  </w:t>
      </w:r>
      <w:r>
        <w:rPr>
          <w:rFonts w:ascii="Arial" w:cs="Arial" w:eastAsia="Arial" w:hAnsi="Arial"/>
          <w:color w:val="222222"/>
          <w:sz w:val="17"/>
          <w:szCs w:val="17"/>
        </w:rPr>
        <w:t xml:space="preserve">Precision Microdrives. C08-005 8 mm coin linear resonant actuator (LRA): 235 Hz resonance; 8.0 mm diameter × 3.3 mm; 1.8 V rated; 75 mA typical, 102 mA maximum; 1.28 G typical vibration amplitude.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lhi0sw9db5kbht28vetkc">
        <w:r>
          <w:rPr>
            <w:rFonts w:ascii="Arial" w:cs="Arial" w:eastAsia="Arial" w:hAnsi="Arial"/>
            <w:color w:val="1F4E79"/>
            <w:sz w:val="15"/>
            <w:szCs w:val="15"/>
            <w:u w:val="single"/>
          </w:rPr>
          <w:t xml:space="preserve">https://www.precisionmicrodrives.com/?p=12426</w:t>
        </w:r>
      </w:hyperlink>
    </w:p>
    <w:p>
      <w:pPr>
        <w:spacing w:after="70" w:line="252"/>
        <w:ind w:left="520" w:hanging="520"/>
      </w:pPr>
      <w:r>
        <w:rPr>
          <w:rFonts w:ascii="Arial" w:cs="Arial" w:eastAsia="Arial" w:hAnsi="Arial"/>
          <w:b/>
          <w:bCs/>
          <w:color w:val="1F4E79"/>
          <w:sz w:val="17"/>
          <w:szCs w:val="17"/>
        </w:rPr>
        <w:t xml:space="preserve">[85]  </w:t>
      </w:r>
      <w:r>
        <w:rPr>
          <w:rFonts w:ascii="Arial" w:cs="Arial" w:eastAsia="Arial" w:hAnsi="Arial"/>
          <w:color w:val="222222"/>
          <w:sz w:val="17"/>
          <w:szCs w:val="17"/>
        </w:rPr>
        <w:t xml:space="preserve">Microchip. MCP73831 single-cell Li-ion/Li-polymer charge management controller: SOT-23-5 or 2 × 3 mm DFN; charge current programmable from 15 to 500 mA; 4.20 V regulation option (±0.75%); thermal regulation.</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jqnkqizzxjwd_k-jo_iza">
        <w:r>
          <w:rPr>
            <w:rFonts w:ascii="Arial" w:cs="Arial" w:eastAsia="Arial" w:hAnsi="Arial"/>
            <w:color w:val="1F4E79"/>
            <w:sz w:val="15"/>
            <w:szCs w:val="15"/>
            <w:u w:val="single"/>
          </w:rPr>
          <w:t xml:space="preserve">https://www.radiolocman.com/datasheet/data.html?di=430997</w:t>
        </w:r>
      </w:hyperlink>
    </w:p>
    <w:p>
      <w:pPr>
        <w:spacing w:after="70" w:line="252"/>
        <w:ind w:left="520" w:hanging="520"/>
      </w:pPr>
      <w:r>
        <w:rPr>
          <w:rFonts w:ascii="Arial" w:cs="Arial" w:eastAsia="Arial" w:hAnsi="Arial"/>
          <w:b/>
          <w:bCs/>
          <w:color w:val="1F4E79"/>
          <w:sz w:val="17"/>
          <w:szCs w:val="17"/>
        </w:rPr>
        <w:t xml:space="preserve">[86]  </w:t>
      </w:r>
      <w:r>
        <w:rPr>
          <w:rFonts w:ascii="Arial" w:cs="Arial" w:eastAsia="Arial" w:hAnsi="Arial"/>
          <w:color w:val="222222"/>
          <w:sz w:val="17"/>
          <w:szCs w:val="17"/>
        </w:rPr>
        <w:t xml:space="preserve">Murata. 7BB-27-4L0 piezoelectric diaphragm: 27 mm diameter × 0.54 mm; resonant frequency 4.6 kHz; capacitance 20 nF.</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t6juj6twkikj9dyv1yjr">
        <w:r>
          <w:rPr>
            <w:rFonts w:ascii="Arial" w:cs="Arial" w:eastAsia="Arial" w:hAnsi="Arial"/>
            <w:color w:val="1F4E79"/>
            <w:sz w:val="15"/>
            <w:szCs w:val="15"/>
            <w:u w:val="single"/>
          </w:rPr>
          <w:t xml:space="preserve">https://nz.element14.com/murata/7bb-27-4/piezo-diaphragm-4-6khz-27mm/dp/2443198</w:t>
        </w:r>
      </w:hyperlink>
    </w:p>
    <w:p>
      <w:pPr>
        <w:spacing w:after="70" w:line="252"/>
        <w:ind w:left="520" w:hanging="520"/>
      </w:pPr>
      <w:r>
        <w:rPr>
          <w:rFonts w:ascii="Arial" w:cs="Arial" w:eastAsia="Arial" w:hAnsi="Arial"/>
          <w:b/>
          <w:bCs/>
          <w:color w:val="1F4E79"/>
          <w:sz w:val="17"/>
          <w:szCs w:val="17"/>
        </w:rPr>
        <w:t xml:space="preserve">[87]  </w:t>
      </w:r>
      <w:r>
        <w:rPr>
          <w:rFonts w:ascii="Arial" w:cs="Arial" w:eastAsia="Arial" w:hAnsi="Arial"/>
          <w:color w:val="222222"/>
          <w:sz w:val="17"/>
          <w:szCs w:val="17"/>
        </w:rPr>
        <w:t xml:space="preserve">NXP Semiconductors. UM10204, I2C-bus specification and user manual: maximum bus capacitance 400 pF per line for Standard and Fast mode (550 pF for Fast-mode Plus); rise time up to 300 ns in Fast mode.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v9kemqny11eq5l0htofyu">
        <w:r>
          <w:rPr>
            <w:rFonts w:ascii="Arial" w:cs="Arial" w:eastAsia="Arial" w:hAnsi="Arial"/>
            <w:color w:val="1F4E79"/>
            <w:sz w:val="15"/>
            <w:szCs w:val="15"/>
            <w:u w:val="single"/>
          </w:rPr>
          <w:t xml:space="preserve">https://www.nxp.com/docs/en/user-guide/UM10204.pdf</w:t>
        </w:r>
      </w:hyperlink>
    </w:p>
    <w:p>
      <w:pPr>
        <w:pStyle w:val="Heading3"/>
        <w:keepNext/>
      </w:pPr>
      <w:r>
        <w:rPr>
          <w:rFonts w:ascii="Arial" w:cs="Arial" w:eastAsia="Arial" w:hAnsi="Arial"/>
        </w:rPr>
        <w:t xml:space="preserve">S. Real-data test, movement identity and instrument sizes</w:t>
      </w:r>
    </w:p>
    <w:p>
      <w:pPr>
        <w:spacing w:after="70" w:line="252"/>
        <w:ind w:left="520" w:hanging="520"/>
      </w:pPr>
      <w:r>
        <w:rPr>
          <w:rFonts w:ascii="Arial" w:cs="Arial" w:eastAsia="Arial" w:hAnsi="Arial"/>
          <w:b/>
          <w:bCs/>
          <w:color w:val="1F4E79"/>
          <w:sz w:val="17"/>
          <w:szCs w:val="17"/>
        </w:rPr>
        <w:t xml:space="preserve">[88]  </w:t>
      </w:r>
      <w:r>
        <w:rPr>
          <w:rFonts w:ascii="Arial" w:cs="Arial" w:eastAsia="Arial" w:hAnsi="Arial"/>
          <w:color w:val="222222"/>
          <w:sz w:val="17"/>
          <w:szCs w:val="17"/>
        </w:rPr>
        <w:t xml:space="preserve">Gillick, J., Roberts, A., Engel, J., Eck, D., &amp; Bamman, D. (2019). Learning to groove with inverse sequence transformations. Proc. ICML 2019. Groove MIDI Dataset: 13.6 hours, 1,150 MIDI files, over 22,000 measures by 10 drummers on a Roland TD-11 electronic kit, played to a click; drummer, session and style labelled; licence CC BY 4.0.</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jho_ysrhist6egkvjlyfy">
        <w:r>
          <w:rPr>
            <w:rFonts w:ascii="Arial" w:cs="Arial" w:eastAsia="Arial" w:hAnsi="Arial"/>
            <w:color w:val="1F4E79"/>
            <w:sz w:val="15"/>
            <w:szCs w:val="15"/>
            <w:u w:val="single"/>
          </w:rPr>
          <w:t xml:space="preserve">https://magenta.tensorflow.org/datasets/groove</w:t>
        </w:r>
      </w:hyperlink>
    </w:p>
    <w:p>
      <w:pPr>
        <w:spacing w:after="70" w:line="252"/>
        <w:ind w:left="520" w:hanging="520"/>
      </w:pPr>
      <w:r>
        <w:rPr>
          <w:rFonts w:ascii="Arial" w:cs="Arial" w:eastAsia="Arial" w:hAnsi="Arial"/>
          <w:b/>
          <w:bCs/>
          <w:color w:val="1F4E79"/>
          <w:sz w:val="17"/>
          <w:szCs w:val="17"/>
        </w:rPr>
        <w:t xml:space="preserve">[89]  </w:t>
      </w:r>
      <w:r>
        <w:rPr>
          <w:rFonts w:ascii="Arial" w:cs="Arial" w:eastAsia="Arial" w:hAnsi="Arial"/>
          <w:color w:val="222222"/>
          <w:sz w:val="17"/>
          <w:szCs w:val="17"/>
        </w:rPr>
        <w:t xml:space="preserve">Liu, J., Zhong, L., Wickramasuriya, J., &amp; Vasudevan, V. (2009). uWave: accelerometer-based personalized gesture recognition and its applications. Pervasive and Mobile Computing, 5(6), 657–675 (first at IEEE PerCom 2009). 98.6% accuracy on over 4,000 samples from 8 users; used for gesture-based user authentication.</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udxsr5xqteah19gxgx_nb">
        <w:r>
          <w:rPr>
            <w:rFonts w:ascii="Arial" w:cs="Arial" w:eastAsia="Arial" w:hAnsi="Arial"/>
            <w:color w:val="1F4E79"/>
            <w:sz w:val="15"/>
            <w:szCs w:val="15"/>
            <w:u w:val="single"/>
          </w:rPr>
          <w:t xml:space="preserve">https://www.yecl.org/project_uwave.html</w:t>
        </w:r>
      </w:hyperlink>
    </w:p>
    <w:p>
      <w:pPr>
        <w:spacing w:after="70" w:line="252"/>
        <w:ind w:left="520" w:hanging="520"/>
      </w:pPr>
      <w:r>
        <w:rPr>
          <w:rFonts w:ascii="Arial" w:cs="Arial" w:eastAsia="Arial" w:hAnsi="Arial"/>
          <w:b/>
          <w:bCs/>
          <w:color w:val="1F4E79"/>
          <w:sz w:val="17"/>
          <w:szCs w:val="17"/>
        </w:rPr>
        <w:t xml:space="preserve">[90]  </w:t>
      </w:r>
      <w:r>
        <w:rPr>
          <w:rFonts w:ascii="Arial" w:cs="Arial" w:eastAsia="Arial" w:hAnsi="Arial"/>
          <w:color w:val="222222"/>
          <w:sz w:val="17"/>
          <w:szCs w:val="17"/>
        </w:rPr>
        <w:t xml:space="preserve">Retail tabla set listings: 5.5-inch dayan (about 10.5 inches tall) with a 9-inch bayan (about 10.25 inches tall).</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_f_6bcsxes7iq_1yuwx4s">
        <w:r>
          <w:rPr>
            <w:rFonts w:ascii="Arial" w:cs="Arial" w:eastAsia="Arial" w:hAnsi="Arial"/>
            <w:color w:val="1F4E79"/>
            <w:sz w:val="15"/>
            <w:szCs w:val="15"/>
            <w:u w:val="single"/>
          </w:rPr>
          <w:t xml:space="preserve">https://darbukaplanet.com/products/banjira-standard-tabla-set-aluminum-bayan-and-5-50-dayan</w:t>
        </w:r>
      </w:hyperlink>
    </w:p>
    <w:p>
      <w:pPr>
        <w:spacing w:after="70" w:line="252"/>
        <w:ind w:left="520" w:hanging="520"/>
      </w:pPr>
      <w:r>
        <w:rPr>
          <w:rFonts w:ascii="Arial" w:cs="Arial" w:eastAsia="Arial" w:hAnsi="Arial"/>
          <w:b/>
          <w:bCs/>
          <w:color w:val="1F4E79"/>
          <w:sz w:val="17"/>
          <w:szCs w:val="17"/>
        </w:rPr>
        <w:t xml:space="preserve">[91]  </w:t>
      </w:r>
      <w:r>
        <w:rPr>
          <w:rFonts w:ascii="Arial" w:cs="Arial" w:eastAsia="Arial" w:hAnsi="Arial"/>
          <w:color w:val="222222"/>
          <w:sz w:val="17"/>
          <w:szCs w:val="17"/>
        </w:rPr>
        <w:t xml:space="preserve">Retail listings of handmade Rajasthani Kathputli string puppets: wooden head and torso, cloth body; examples 43–58 cm tall.</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j8kdc-c19o7fmnnscblpg">
        <w:r>
          <w:rPr>
            <w:rFonts w:ascii="Arial" w:cs="Arial" w:eastAsia="Arial" w:hAnsi="Arial"/>
            <w:color w:val="1F4E79"/>
            <w:sz w:val="15"/>
            <w:szCs w:val="15"/>
            <w:u w:val="single"/>
          </w:rPr>
          <w:t xml:space="preserve">https://itokri.com/products/564547-30-rajasthani-men-handmade-puppet-kathputli</w:t>
        </w:r>
      </w:hyperlink>
    </w:p>
    <w:p>
      <w:pPr>
        <w:pStyle w:val="Heading3"/>
        <w:keepNext/>
      </w:pPr>
      <w:r>
        <w:rPr>
          <w:rFonts w:ascii="Arial" w:cs="Arial" w:eastAsia="Arial" w:hAnsi="Arial"/>
        </w:rPr>
        <w:t xml:space="preserve">T. Research methods</w:t>
      </w:r>
    </w:p>
    <w:p>
      <w:pPr>
        <w:spacing w:after="70" w:line="252"/>
        <w:ind w:left="520" w:hanging="520"/>
      </w:pPr>
      <w:r>
        <w:rPr>
          <w:rFonts w:ascii="Arial" w:cs="Arial" w:eastAsia="Arial" w:hAnsi="Arial"/>
          <w:b/>
          <w:bCs/>
          <w:color w:val="1F4E79"/>
          <w:sz w:val="17"/>
          <w:szCs w:val="17"/>
        </w:rPr>
        <w:t xml:space="preserve">[92]  </w:t>
      </w:r>
      <w:r>
        <w:rPr>
          <w:rFonts w:ascii="Arial" w:cs="Arial" w:eastAsia="Arial" w:hAnsi="Arial"/>
          <w:color w:val="222222"/>
          <w:sz w:val="17"/>
          <w:szCs w:val="17"/>
        </w:rPr>
        <w:t xml:space="preserve">Cohen, J. (1988). Statistical Power Analysis for the Behavioral Sciences (2nd ed.). Erlbaum.</w:t>
      </w:r>
      <w:r>
        <w:rPr>
          <w:rFonts w:ascii="Arial" w:cs="Arial" w:eastAsia="Arial" w:hAnsi="Arial"/>
          <w:b/>
          <w:bCs/>
          <w:color w:val="5E5E5E"/>
          <w:sz w:val="17"/>
          <w:szCs w:val="17"/>
        </w:rPr>
        <w:t xml:space="preserve">  Status: S.</w:t>
      </w:r>
    </w:p>
    <w:p>
      <w:pPr>
        <w:pStyle w:val="Heading1"/>
        <w:keepNext/>
        <w:pageBreakBefore/>
        <w:spacing w:after="200" w:before="0"/>
      </w:pPr>
      <w:r>
        <w:rPr>
          <w:rFonts w:ascii="Arial" w:cs="Arial" w:eastAsia="Arial" w:hAnsi="Arial"/>
        </w:rPr>
        <w:t xml:space="preserve">Appendix A. Partner kit for three crafts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cantSplit/>
          <w:tblHeader/>
        </w:trPr>
        <w:tc>
          <w:tcPr>
            <w:tcW w:type="dxa" w:w="180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Craft</w:t>
            </w:r>
          </w:p>
        </w:tc>
        <w:tc>
          <w:tcPr>
            <w:tcW w:type="dxa" w:w="722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Where to find masters</w:t>
            </w:r>
          </w:p>
        </w:tc>
      </w:tr>
      <w:tr>
        <w:trPr>
          <w:cantSplit/>
        </w:trPr>
        <w:tc>
          <w:tcPr>
            <w:tcW w:type="dxa" w:w="180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Tabla</w:t>
            </w:r>
          </w:p>
        </w:tc>
        <w:tc>
          <w:tcPr>
            <w:tcW w:type="dxa" w:w="722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Gurus empanelled with a Zonal Cultural Centre under Guru-Shishya Parampara </w:t>
            </w:r>
            <w:r>
              <w:rPr>
                <w:rFonts w:ascii="Arial" w:cs="Arial" w:eastAsia="Arial" w:hAnsi="Arial"/>
                <w:b w:val="false"/>
                <w:bCs w:val="false"/>
                <w:color w:val="1F4E79"/>
                <w:sz w:val="16"/>
                <w:szCs w:val="16"/>
              </w:rPr>
              <w:t xml:space="preserve">[28]</w:t>
            </w:r>
            <w:r>
              <w:rPr>
                <w:rFonts w:ascii="Arial" w:cs="Arial" w:eastAsia="Arial" w:hAnsi="Arial"/>
                <w:b w:val="false"/>
                <w:bCs w:val="false"/>
                <w:color w:val="222222"/>
                <w:sz w:val="16"/>
                <w:szCs w:val="16"/>
              </w:rPr>
              <w:t xml:space="preserve">; tabla faculty at music colleges; Gandharva Mahavidyalaya centres </w:t>
            </w:r>
            <w:r>
              <w:rPr>
                <w:rFonts w:ascii="Arial" w:cs="Arial" w:eastAsia="Arial" w:hAnsi="Arial"/>
                <w:b w:val="false"/>
                <w:bCs w:val="false"/>
                <w:color w:val="1F4E79"/>
                <w:sz w:val="16"/>
                <w:szCs w:val="16"/>
              </w:rPr>
              <w:t xml:space="preserve">[31]</w:t>
            </w:r>
          </w:p>
        </w:tc>
      </w:tr>
      <w:tr>
        <w:trPr>
          <w:cantSplit/>
        </w:trPr>
        <w:tc>
          <w:tcPr>
            <w:tcW w:type="dxa" w:w="180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Handloom</w:t>
            </w:r>
          </w:p>
        </w:tc>
        <w:tc>
          <w:tcPr>
            <w:tcW w:type="dxa" w:w="722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Weavers' Service Centres </w:t>
            </w:r>
            <w:r>
              <w:rPr>
                <w:rFonts w:ascii="Arial" w:cs="Arial" w:eastAsia="Arial" w:hAnsi="Arial"/>
                <w:b w:val="false"/>
                <w:bCs w:val="false"/>
                <w:color w:val="1F4E79"/>
                <w:sz w:val="16"/>
                <w:szCs w:val="16"/>
              </w:rPr>
              <w:t xml:space="preserve">[67]</w:t>
            </w:r>
            <w:r>
              <w:rPr>
                <w:rFonts w:ascii="Arial" w:cs="Arial" w:eastAsia="Arial" w:hAnsi="Arial"/>
                <w:b w:val="false"/>
                <w:bCs w:val="false"/>
                <w:color w:val="222222"/>
                <w:sz w:val="16"/>
                <w:szCs w:val="16"/>
              </w:rPr>
              <w:t xml:space="preserve">; master weavers and trainers of the two-treadle qualification </w:t>
            </w:r>
            <w:r>
              <w:rPr>
                <w:rFonts w:ascii="Arial" w:cs="Arial" w:eastAsia="Arial" w:hAnsi="Arial"/>
                <w:b w:val="false"/>
                <w:bCs w:val="false"/>
                <w:color w:val="1F4E79"/>
                <w:sz w:val="16"/>
                <w:szCs w:val="16"/>
              </w:rPr>
              <w:t xml:space="preserve">[68]</w:t>
            </w:r>
          </w:p>
        </w:tc>
      </w:tr>
      <w:tr>
        <w:trPr>
          <w:cantSplit/>
        </w:trPr>
        <w:tc>
          <w:tcPr>
            <w:tcW w:type="dxa" w:w="180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Puppetry</w:t>
            </w:r>
          </w:p>
        </w:tc>
        <w:tc>
          <w:tcPr>
            <w:tcW w:type="dxa" w:w="722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Kathputli families and troupes, including the former Kathputli Colony community </w:t>
            </w:r>
            <w:r>
              <w:rPr>
                <w:rFonts w:ascii="Arial" w:cs="Arial" w:eastAsia="Arial" w:hAnsi="Arial"/>
                <w:b w:val="false"/>
                <w:bCs w:val="false"/>
                <w:color w:val="1F4E79"/>
                <w:sz w:val="16"/>
                <w:szCs w:val="16"/>
              </w:rPr>
              <w:t xml:space="preserve">[73]</w:t>
            </w:r>
            <w:r>
              <w:rPr>
                <w:rFonts w:ascii="Arial" w:cs="Arial" w:eastAsia="Arial" w:hAnsi="Arial"/>
                <w:b w:val="false"/>
                <w:bCs w:val="false"/>
                <w:color w:val="222222"/>
                <w:sz w:val="16"/>
                <w:szCs w:val="16"/>
              </w:rPr>
              <w:t xml:space="preserve">; puppeteers known to Zonal Cultural Centres and Sangeet Natak Akademi </w:t>
            </w:r>
            <w:r>
              <w:rPr>
                <w:rFonts w:ascii="Arial" w:cs="Arial" w:eastAsia="Arial" w:hAnsi="Arial"/>
                <w:b w:val="false"/>
                <w:bCs w:val="false"/>
                <w:color w:val="1F4E79"/>
                <w:sz w:val="16"/>
                <w:szCs w:val="16"/>
              </w:rPr>
              <w:t xml:space="preserve">[27]</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9CFC0" w:sz="4"/>
              <w:left w:val="single" w:color="7A1F1F" w:sz="24"/>
              <w:bottom w:val="single" w:color="D9CFC0" w:sz="4"/>
              <w:right w:val="single" w:color="D9CFC0" w:sz="4"/>
            </w:tcBorders>
            <w:shd w:fill="FBF6EC" w:color="auto" w:val="clear"/>
            <w:tcMar>
              <w:top w:type="dxa" w:w="120"/>
              <w:left w:type="dxa" w:w="200"/>
              <w:bottom w:type="dxa" w:w="100"/>
              <w:right w:type="dxa" w:w="160"/>
            </w:tcMar>
          </w:tcPr>
          <w:p>
            <w:pPr>
              <w:spacing w:after="80"/>
            </w:pPr>
            <w:r>
              <w:rPr>
                <w:rFonts w:ascii="Arial" w:cs="Arial" w:eastAsia="Arial" w:hAnsi="Arial"/>
                <w:b/>
                <w:bCs/>
                <w:color w:val="7A1F1F"/>
                <w:sz w:val="21"/>
                <w:szCs w:val="21"/>
              </w:rPr>
              <w:t xml:space="preserve">Outreach message</w:t>
            </w:r>
          </w:p>
          <w:p>
            <w:pPr>
              <w:spacing w:after="70" w:line="266"/>
            </w:pPr>
            <w:r>
              <w:rPr>
                <w:rFonts w:ascii="Arial" w:cs="Arial" w:eastAsia="Arial" w:hAnsi="Arial"/>
                <w:i/>
                <w:iCs/>
                <w:color w:val="222222"/>
                <w:sz w:val="19"/>
                <w:szCs w:val="19"/>
              </w:rPr>
              <w:t xml:space="preserve">Respected Guruji / Ustad, we are engineering students building PARAMPARA for Smart India Hackathon 2026. It records how a master moves while playing, weaving or working a puppet (light sensors on the back of the hand and arm, nothing on the fingertips or palm), so that learners can practise against it, with the master's consent and credit. We would be grateful for two short sessions of about 45 minutes on different days. You decide how the recording may be used, you will receive a copy, and you can withdraw it at any time.</w:t>
            </w:r>
          </w:p>
          <w:p>
            <w:pPr>
              <w:spacing w:after="70" w:line="266"/>
            </w:pPr>
            <w:r>
              <w:rPr>
                <w:rFonts w:ascii="Arial" w:cs="Arial" w:eastAsia="Arial" w:hAnsi="Arial"/>
                <w:i/>
                <w:iCs/>
                <w:color w:val="222222"/>
                <w:sz w:val="19"/>
                <w:szCs w:val="19"/>
              </w:rPr>
              <w:t xml:space="preserve">Pranam Guruji / Ustad ji, hum engineering students hain aur Smart India Hackathon 2026 ke liye PARAMPARA bana rahe hain. Isme guru ke haath aur baanh ki gati record hoti hai (haath ke peeche aur baanh par halke sensor, ungliyon ke siron aur hatheli par kuch nahi), taaki shishya uske saath abhyas kar sakein, guru ki anumati aur naam ke saath. Kya aap alag-alag din do baar lagbhag 45 minute de sakte hain? Recording ka upyog aap tay karenge, aapko copy milegi, aur aap kabhi bhi wapas le sakte hain.</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159"/>
        <w:gridCol w:w="1867"/>
      </w:tblGrid>
      <w:tr>
        <w:trPr>
          <w:cantSplit/>
          <w:tblHeader/>
        </w:trPr>
        <w:tc>
          <w:tcPr>
            <w:tcW w:type="dxa" w:w="715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Consent: I agree that…</w:t>
            </w:r>
          </w:p>
        </w:tc>
        <w:tc>
          <w:tcPr>
            <w:tcW w:type="dxa" w:w="186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Yes / No</w:t>
            </w:r>
          </w:p>
        </w:tc>
      </w:tr>
      <w:tr>
        <w:trPr>
          <w:cantSplit/>
        </w:trPr>
        <w:tc>
          <w:tcPr>
            <w:tcW w:type="dxa" w:w="715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my movements may be recorded with sensors on the back of my hands and arms, and a sensor on my instrument, loom or puppet</w:t>
            </w:r>
          </w:p>
        </w:tc>
        <w:tc>
          <w:tcPr>
            <w:tcW w:type="dxa" w:w="186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 ☐</w:t>
            </w:r>
          </w:p>
        </w:tc>
      </w:tr>
      <w:tr>
        <w:trPr>
          <w:cantSplit/>
        </w:trPr>
        <w:tc>
          <w:tcPr>
            <w:tcW w:type="dxa" w:w="715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I may be asked to perform on a second instrument, loom or puppet</w:t>
            </w:r>
          </w:p>
        </w:tc>
        <w:tc>
          <w:tcPr>
            <w:tcW w:type="dxa" w:w="186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 ☐</w:t>
            </w:r>
          </w:p>
        </w:tc>
      </w:tr>
      <w:tr>
        <w:trPr>
          <w:cantSplit/>
        </w:trPr>
        <w:tc>
          <w:tcPr>
            <w:tcW w:type="dxa" w:w="715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the recording may be used to teach learners through PARAMPARA</w:t>
            </w:r>
          </w:p>
        </w:tc>
        <w:tc>
          <w:tcPr>
            <w:tcW w:type="dxa" w:w="186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 ☐</w:t>
            </w:r>
          </w:p>
        </w:tc>
      </w:tr>
      <w:tr>
        <w:trPr>
          <w:cantSplit/>
        </w:trPr>
        <w:tc>
          <w:tcPr>
            <w:tcW w:type="dxa" w:w="715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my name, gharana or community may be shown with the recording</w:t>
            </w:r>
          </w:p>
        </w:tc>
        <w:tc>
          <w:tcPr>
            <w:tcW w:type="dxa" w:w="186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 ☐</w:t>
            </w:r>
          </w:p>
        </w:tc>
      </w:tr>
      <w:tr>
        <w:trPr>
          <w:cantSplit/>
        </w:trPr>
        <w:tc>
          <w:tcPr>
            <w:tcW w:type="dxa" w:w="715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the recording may be shown at Smart India Hackathon 2026</w:t>
            </w:r>
          </w:p>
        </w:tc>
        <w:tc>
          <w:tcPr>
            <w:tcW w:type="dxa" w:w="186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 ☐</w:t>
            </w:r>
          </w:p>
        </w:tc>
      </w:tr>
      <w:tr>
        <w:trPr>
          <w:cantSplit/>
        </w:trPr>
        <w:tc>
          <w:tcPr>
            <w:tcW w:type="dxa" w:w="715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the recording may be used commercially (only with a separate written agreement)</w:t>
            </w:r>
          </w:p>
        </w:tc>
        <w:tc>
          <w:tcPr>
            <w:tcW w:type="dxa" w:w="186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 ☐</w:t>
            </w:r>
          </w:p>
        </w:tc>
      </w:tr>
      <w:tr>
        <w:trPr>
          <w:cantSplit/>
        </w:trPr>
        <w:tc>
          <w:tcPr>
            <w:tcW w:type="dxa" w:w="715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I understand I can withdraw at any time, and I will receive a copy of my recording</w:t>
            </w:r>
          </w:p>
        </w:tc>
        <w:tc>
          <w:tcPr>
            <w:tcW w:type="dxa" w:w="186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t>
            </w:r>
          </w:p>
        </w:tc>
      </w:tr>
    </w:tbl>
    <w:p>
      <w:pPr>
        <w:spacing w:after="80"/>
      </w:pPr>
    </w:p>
    <w:p>
      <w:pPr>
        <w:spacing w:after="120" w:before="0" w:line="276"/>
        <w:jc w:val="left"/>
      </w:pPr>
      <w:r>
        <w:rPr>
          <w:rFonts w:ascii="Arial" w:cs="Arial" w:eastAsia="Arial" w:hAnsi="Arial"/>
          <w:color w:val="222222"/>
          <w:sz w:val="20"/>
          <w:szCs w:val="20"/>
        </w:rPr>
        <w:t xml:space="preserve">Signature, date and witness; a spoken consent recording in the master's language is kept with the form. The master receives a copy of the recording and fingerprint, credit wherever it is used, control (approve, limit, withdraw) and a share of any licence income as agreed in writing.</w:t>
      </w:r>
    </w:p>
    <w:p>
      <w:pPr>
        <w:pStyle w:val="Heading1"/>
        <w:keepNext/>
        <w:spacing w:after="200" w:before="480"/>
      </w:pPr>
      <w:r>
        <w:rPr>
          <w:rFonts w:ascii="Arial" w:cs="Arial" w:eastAsia="Arial" w:hAnsi="Arial"/>
        </w:rPr>
        <w:t xml:space="preserve">Appendix B. Experiment E1 protocol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38"/>
        <w:gridCol w:w="2329"/>
        <w:gridCol w:w="2329"/>
        <w:gridCol w:w="2330"/>
      </w:tblGrid>
      <w:tr>
        <w:trPr>
          <w:cantSplit/>
          <w:tblHeader/>
        </w:trPr>
        <w:tc>
          <w:tcPr>
            <w:tcW w:type="dxa" w:w="203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p>
        </w:tc>
        <w:tc>
          <w:tcPr>
            <w:tcW w:type="dxa" w:w="232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Day 1</w:t>
            </w:r>
          </w:p>
        </w:tc>
        <w:tc>
          <w:tcPr>
            <w:tcW w:type="dxa" w:w="232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Day 2 (sleeve re-fitted)</w:t>
            </w:r>
          </w:p>
        </w:tc>
        <w:tc>
          <w:tcPr>
            <w:tcW w:type="dxa" w:w="2330"/>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Cycles</w:t>
            </w:r>
          </w:p>
        </w:tc>
      </w:tr>
      <w:tr>
        <w:trPr>
          <w:cantSplit/>
        </w:trPr>
        <w:tc>
          <w:tcPr>
            <w:tcW w:type="dxa" w:w="203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Master A</w:t>
            </w:r>
          </w:p>
        </w:tc>
        <w:tc>
          <w:tcPr>
            <w:tcW w:type="dxa" w:w="232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Instrument 1, then 2</w:t>
            </w:r>
          </w:p>
        </w:tc>
        <w:tc>
          <w:tcPr>
            <w:tcW w:type="dxa" w:w="232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Instrument 2, then 1</w:t>
            </w:r>
          </w:p>
        </w:tc>
        <w:tc>
          <w:tcPr>
            <w:tcW w:type="dxa" w:w="233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4 × 20 = 80</w:t>
            </w:r>
          </w:p>
        </w:tc>
      </w:tr>
      <w:tr>
        <w:trPr>
          <w:cantSplit/>
        </w:trPr>
        <w:tc>
          <w:tcPr>
            <w:tcW w:type="dxa" w:w="203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Master B</w:t>
            </w:r>
          </w:p>
        </w:tc>
        <w:tc>
          <w:tcPr>
            <w:tcW w:type="dxa" w:w="232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Instrument 2, then 1</w:t>
            </w:r>
          </w:p>
        </w:tc>
        <w:tc>
          <w:tcPr>
            <w:tcW w:type="dxa" w:w="232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Instrument 1, then 2</w:t>
            </w:r>
          </w:p>
        </w:tc>
        <w:tc>
          <w:tcPr>
            <w:tcW w:type="dxa" w:w="233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80</w:t>
            </w:r>
          </w:p>
        </w:tc>
      </w:tr>
      <w:tr>
        <w:trPr>
          <w:cantSplit/>
        </w:trPr>
        <w:tc>
          <w:tcPr>
            <w:tcW w:type="dxa" w:w="203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Master C</w:t>
            </w:r>
          </w:p>
        </w:tc>
        <w:tc>
          <w:tcPr>
            <w:tcW w:type="dxa" w:w="232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Instrument 1, then 2</w:t>
            </w:r>
          </w:p>
        </w:tc>
        <w:tc>
          <w:tcPr>
            <w:tcW w:type="dxa" w:w="232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Instrument 2, then 1</w:t>
            </w:r>
          </w:p>
        </w:tc>
        <w:tc>
          <w:tcPr>
            <w:tcW w:type="dxa" w:w="233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80</w:t>
            </w:r>
          </w:p>
        </w:tc>
      </w:tr>
    </w:tbl>
    <w:p>
      <w:pPr>
        <w:spacing w:after="80"/>
      </w:pPr>
    </w:p>
    <w:p>
      <w:pPr>
        <w:pStyle w:val="ListParagraph"/>
        <w:numPr>
          <w:ilvl w:val="0"/>
          <w:numId w:val="5"/>
        </w:numPr>
        <w:spacing w:after="60" w:line="268"/>
      </w:pPr>
      <w:r>
        <w:rPr>
          <w:rFonts w:ascii="Arial" w:cs="Arial" w:eastAsia="Arial" w:hAnsi="Arial"/>
          <w:b/>
          <w:bCs/>
          <w:color w:val="222222"/>
          <w:sz w:val="20"/>
          <w:szCs w:val="20"/>
        </w:rPr>
        <w:t xml:space="preserve">Set-up:</w:t>
      </w:r>
      <w:r>
        <w:rPr>
          <w:rFonts w:ascii="Arial" w:cs="Arial" w:eastAsia="Arial" w:hAnsi="Arial"/>
          <w:color w:val="222222"/>
          <w:sz w:val="20"/>
          <w:szCs w:val="20"/>
        </w:rPr>
        <w:t xml:space="preserve"> sleeves on both arms, 20-second N-pose; tool sensor fitted; tuning, loom settings or puppet noted.</w:t>
      </w:r>
    </w:p>
    <w:p>
      <w:pPr>
        <w:pStyle w:val="ListParagraph"/>
        <w:numPr>
          <w:ilvl w:val="0"/>
          <w:numId w:val="5"/>
        </w:numPr>
        <w:spacing w:after="60" w:line="268"/>
      </w:pPr>
      <w:r>
        <w:rPr>
          <w:rFonts w:ascii="Arial" w:cs="Arial" w:eastAsia="Arial" w:hAnsi="Arial"/>
          <w:b/>
          <w:bCs/>
          <w:color w:val="222222"/>
          <w:sz w:val="20"/>
          <w:szCs w:val="20"/>
        </w:rPr>
        <w:t xml:space="preserve">Recording:</w:t>
      </w:r>
      <w:r>
        <w:rPr>
          <w:rFonts w:ascii="Arial" w:cs="Arial" w:eastAsia="Arial" w:hAnsi="Arial"/>
          <w:color w:val="222222"/>
          <w:sz w:val="20"/>
          <w:szCs w:val="20"/>
        </w:rPr>
        <w:t xml:space="preserve"> at least 20 uninterrupted cycles per instrument: Teentaal theka at 80 beats per minute (tabla); 20 picks of plain weave (handloom); a fixed gesture phrase repeated 20 times (puppetry).</w:t>
      </w:r>
    </w:p>
    <w:p>
      <w:pPr>
        <w:pStyle w:val="ListParagraph"/>
        <w:numPr>
          <w:ilvl w:val="0"/>
          <w:numId w:val="5"/>
        </w:numPr>
        <w:spacing w:after="60" w:line="268"/>
      </w:pPr>
      <w:r>
        <w:rPr>
          <w:rFonts w:ascii="Arial" w:cs="Arial" w:eastAsia="Arial" w:hAnsi="Arial"/>
          <w:b/>
          <w:bCs/>
          <w:color w:val="222222"/>
          <w:sz w:val="20"/>
          <w:szCs w:val="20"/>
        </w:rPr>
        <w:t xml:space="preserve">E0 block:</w:t>
      </w:r>
      <w:r>
        <w:rPr>
          <w:rFonts w:ascii="Arial" w:cs="Arial" w:eastAsia="Arial" w:hAnsi="Arial"/>
          <w:color w:val="222222"/>
          <w:sz w:val="20"/>
          <w:szCs w:val="20"/>
        </w:rPr>
        <w:t xml:space="preserve"> on day 1, alternating blocks of 10 cycles with and without the sleeve on instrument 1.</w:t>
      </w:r>
    </w:p>
    <w:p>
      <w:pPr>
        <w:pStyle w:val="ListParagraph"/>
        <w:numPr>
          <w:ilvl w:val="0"/>
          <w:numId w:val="5"/>
        </w:numPr>
        <w:spacing w:after="60" w:line="268"/>
      </w:pPr>
      <w:r>
        <w:rPr>
          <w:rFonts w:ascii="Arial" w:cs="Arial" w:eastAsia="Arial" w:hAnsi="Arial"/>
          <w:b/>
          <w:bCs/>
          <w:color w:val="222222"/>
          <w:sz w:val="20"/>
          <w:szCs w:val="20"/>
        </w:rPr>
        <w:t xml:space="preserve">Export</w:t>
      </w:r>
      <w:r>
        <w:rPr>
          <w:rFonts w:ascii="Arial" w:cs="Arial" w:eastAsia="Arial" w:hAnsi="Arial"/>
          <w:color w:val="222222"/>
          <w:sz w:val="20"/>
          <w:szCs w:val="20"/>
        </w:rPr>
        <w:t xml:space="preserve"> one row per cycle: master, session, instrument, f1 … fn.</w:t>
      </w:r>
    </w:p>
    <w:p>
      <w:pPr>
        <w:pStyle w:val="ListParagraph"/>
        <w:numPr>
          <w:ilvl w:val="0"/>
          <w:numId w:val="5"/>
        </w:numPr>
        <w:spacing w:after="60" w:line="268"/>
      </w:pPr>
      <w:r>
        <w:rPr>
          <w:rFonts w:ascii="Arial" w:cs="Arial" w:eastAsia="Arial" w:hAnsi="Arial"/>
          <w:b/>
          <w:bCs/>
          <w:color w:val="222222"/>
          <w:sz w:val="20"/>
          <w:szCs w:val="20"/>
        </w:rPr>
        <w:t xml:space="preserve">Analyse:</w:t>
      </w:r>
      <w:r>
        <w:rPr>
          <w:rFonts w:ascii="Arial" w:cs="Arial" w:eastAsia="Arial" w:hAnsi="Arial"/>
          <w:color w:val="222222"/>
          <w:sz w:val="20"/>
          <w:szCs w:val="20"/>
        </w:rPr>
        <w:t xml:space="preserve"> </w:t>
      </w:r>
      <w:r>
        <w:rPr>
          <w:rFonts w:ascii="Courier New" w:cs="Courier New" w:eastAsia="Courier New" w:hAnsi="Courier New"/>
          <w:color w:val="222222"/>
          <w:sz w:val="18"/>
          <w:szCs w:val="18"/>
        </w:rPr>
        <w:t xml:space="preserve">python3 PARAMPARA/sim/skilltwin_validation.py analyze e1.csv</w:t>
      </w:r>
      <w:r>
        <w:rPr>
          <w:rFonts w:ascii="Arial" w:cs="Arial" w:eastAsia="Arial" w:hAnsi="Arial"/>
          <w:color w:val="222222"/>
          <w:sz w:val="20"/>
          <w:szCs w:val="20"/>
        </w:rPr>
        <w:t xml:space="preserve">; report T-a, T-b, T-c, the control and the verdict.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9CFC0" w:sz="4"/>
              <w:left w:val="single" w:color="1F4E79" w:sz="24"/>
              <w:bottom w:val="single" w:color="D9CFC0" w:sz="4"/>
              <w:right w:val="single" w:color="D9CFC0" w:sz="4"/>
            </w:tcBorders>
            <w:shd w:fill="EEF3F8" w:color="auto" w:val="clear"/>
            <w:tcMar>
              <w:top w:type="dxa" w:w="120"/>
              <w:left w:type="dxa" w:w="200"/>
              <w:bottom w:type="dxa" w:w="100"/>
              <w:right w:type="dxa" w:w="160"/>
            </w:tcMar>
          </w:tcPr>
          <w:p>
            <w:pPr>
              <w:spacing w:after="80"/>
            </w:pPr>
            <w:r>
              <w:rPr>
                <w:rFonts w:ascii="Arial" w:cs="Arial" w:eastAsia="Arial" w:hAnsi="Arial"/>
                <w:b/>
                <w:bCs/>
                <w:color w:val="1F4E79"/>
                <w:sz w:val="21"/>
                <w:szCs w:val="21"/>
              </w:rPr>
              <w:t xml:space="preserve">Result template for the deck</w:t>
            </w:r>
          </w:p>
          <w:p>
            <w:pPr>
              <w:spacing w:after="70" w:line="266"/>
            </w:pPr>
            <w:r>
              <w:rPr>
                <w:rFonts w:ascii="Arial" w:cs="Arial" w:eastAsia="Arial" w:hAnsi="Arial"/>
                <w:color w:val="222222"/>
                <w:sz w:val="19"/>
                <w:szCs w:val="19"/>
              </w:rPr>
              <w:t xml:space="preserve">Craft ___ · masters A, B, C · new day ___% · new instrument ___% (chance 33%) · confound gap ___, p = ___ · instrument control ___% (chance 50%) · claim (Section 7.1) ___.</w:t>
            </w:r>
          </w:p>
        </w:tc>
      </w:tr>
    </w:tbl>
    <w:p>
      <w:pPr>
        <w:spacing w:after="100"/>
      </w:pPr>
    </w:p>
    <w:p>
      <w:pPr>
        <w:pStyle w:val="Heading1"/>
        <w:keepNext/>
        <w:spacing w:after="200" w:before="480"/>
      </w:pPr>
      <w:r>
        <w:rPr>
          <w:rFonts w:ascii="Arial" w:cs="Arial" w:eastAsia="Arial" w:hAnsi="Arial"/>
        </w:rPr>
        <w:t xml:space="preserve">Appendix C. Protocols for E0 and E2–E5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74"/>
        <w:gridCol w:w="3503"/>
        <w:gridCol w:w="2964"/>
        <w:gridCol w:w="1885"/>
      </w:tblGrid>
      <w:tr>
        <w:trPr>
          <w:cantSplit/>
          <w:tblHeader/>
        </w:trPr>
        <w:tc>
          <w:tcPr>
            <w:tcW w:type="dxa" w:w="67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t>
            </w:r>
          </w:p>
        </w:tc>
        <w:tc>
          <w:tcPr>
            <w:tcW w:type="dxa" w:w="350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Procedure</w:t>
            </w:r>
          </w:p>
        </w:tc>
        <w:tc>
          <w:tcPr>
            <w:tcW w:type="dxa" w:w="296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Measure</w:t>
            </w:r>
          </w:p>
        </w:tc>
        <w:tc>
          <w:tcPr>
            <w:tcW w:type="dxa" w:w="188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Pass [Target]</w:t>
            </w:r>
          </w:p>
        </w:tc>
      </w:tr>
      <w:tr>
        <w:trPr>
          <w:cantSplit/>
        </w:trPr>
        <w:tc>
          <w:tcPr>
            <w:tcW w:type="dxa" w:w="67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E0</w:t>
            </w:r>
          </w:p>
        </w:tc>
        <w:tc>
          <w:tcPr>
            <w:tcW w:type="dxa" w:w="35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Blocks: no sleeve, sleeve, no sleeve, sleeve; 10 cycles each; tool sensor on throughout; comfort rating</w:t>
            </w:r>
          </w:p>
        </w:tc>
        <w:tc>
          <w:tcPr>
            <w:tcW w:type="dxa" w:w="296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Differences in timing, cycle time and strength; two one-sided tests </w:t>
            </w:r>
            <w:r>
              <w:rPr>
                <w:rFonts w:ascii="Arial" w:cs="Arial" w:eastAsia="Arial" w:hAnsi="Arial"/>
                <w:b w:val="false"/>
                <w:bCs w:val="false"/>
                <w:color w:val="1F4E79"/>
                <w:sz w:val="16"/>
                <w:szCs w:val="16"/>
              </w:rPr>
              <w:t xml:space="preserve">[77]</w:t>
            </w:r>
          </w:p>
        </w:tc>
        <w:tc>
          <w:tcPr>
            <w:tcW w:type="dxa" w:w="18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Within ±10 ms, ±5%, ±1 dB; comfort ≥ 4 of 5</w:t>
            </w:r>
          </w:p>
        </w:tc>
      </w:tr>
      <w:tr>
        <w:trPr>
          <w:cantSplit/>
        </w:trPr>
        <w:tc>
          <w:tcPr>
            <w:tcW w:type="dxa" w:w="67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E2</w:t>
            </w:r>
          </w:p>
        </w:tc>
        <w:tc>
          <w:tcPr>
            <w:tcW w:type="dxa" w:w="35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Weakest felt cue (up-down method) at rest and while performing slowly; finger, wrist, elbow and shoulder; cue before vs on the beat</w:t>
            </w:r>
          </w:p>
        </w:tc>
        <w:tc>
          <w:tcPr>
            <w:tcW w:type="dxa" w:w="296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Ratio of performing to rest strength</w:t>
            </w:r>
          </w:p>
        </w:tc>
        <w:tc>
          <w:tcPr>
            <w:tcW w:type="dxa" w:w="188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2 at one or more sites per joint</w:t>
            </w:r>
          </w:p>
        </w:tc>
      </w:tr>
      <w:tr>
        <w:trPr>
          <w:cantSplit/>
        </w:trPr>
        <w:tc>
          <w:tcPr>
            <w:tcW w:type="dxa" w:w="67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E3</w:t>
            </w:r>
          </w:p>
        </w:tc>
        <w:tc>
          <w:tcPr>
            <w:tcW w:type="dxa" w:w="35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Feel and hear A, B, then X (random). 20 rounds</w:t>
            </w:r>
          </w:p>
        </w:tc>
        <w:tc>
          <w:tcPr>
            <w:tcW w:type="dxa" w:w="296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Correct out of 20</w:t>
            </w:r>
          </w:p>
        </w:tc>
        <w:tc>
          <w:tcPr>
            <w:tcW w:type="dxa" w:w="18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15 (p = 0.02)</w:t>
            </w:r>
          </w:p>
        </w:tc>
      </w:tr>
      <w:tr>
        <w:trPr>
          <w:cantSplit/>
        </w:trPr>
        <w:tc>
          <w:tcPr>
            <w:tcW w:type="dxa" w:w="67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E4</w:t>
            </w:r>
          </w:p>
        </w:tc>
        <w:tc>
          <w:tcPr>
            <w:tcW w:type="dxa" w:w="35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40 random cues across 5 fingers and 3 joints at 2 strengths while performing</w:t>
            </w:r>
          </w:p>
        </w:tc>
        <w:tc>
          <w:tcPr>
            <w:tcW w:type="dxa" w:w="296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Percentage correct</w:t>
            </w:r>
          </w:p>
        </w:tc>
        <w:tc>
          <w:tcPr>
            <w:tcW w:type="dxa" w:w="188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90% sites, ≥ 80% strengths</w:t>
            </w:r>
          </w:p>
        </w:tc>
      </w:tr>
      <w:tr>
        <w:trPr>
          <w:cantSplit/>
        </w:trPr>
        <w:tc>
          <w:tcPr>
            <w:tcW w:type="dxa" w:w="67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E5</w:t>
            </w:r>
          </w:p>
        </w:tc>
        <w:tc>
          <w:tcPr>
            <w:tcW w:type="dxa" w:w="35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16 beginners randomised 8 and 8: video practice or PARAMPARA; three 20-minute sessions on three days; retention 48 h later, device off, blinded tester</w:t>
            </w:r>
          </w:p>
        </w:tc>
        <w:tc>
          <w:tcPr>
            <w:tcW w:type="dxa" w:w="296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Unaided score at retention</w:t>
            </w:r>
          </w:p>
        </w:tc>
        <w:tc>
          <w:tcPr>
            <w:tcW w:type="dxa" w:w="18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Difference and 95% CI; full trial if PARAMPARA ≥ video</w:t>
            </w:r>
          </w:p>
        </w:tc>
      </w:tr>
    </w:tbl>
    <w:p>
      <w:pPr>
        <w:spacing w:after="80"/>
      </w:pPr>
    </w:p>
    <w:p>
      <w:pPr>
        <w:pStyle w:val="Heading1"/>
        <w:keepNext/>
        <w:spacing w:after="200" w:before="480"/>
      </w:pPr>
      <w:r>
        <w:rPr>
          <w:rFonts w:ascii="Arial" w:cs="Arial" w:eastAsia="Arial" w:hAnsi="Arial"/>
        </w:rPr>
        <w:t xml:space="preserve">Appendix D. Demo day checklist</w:t>
      </w:r>
    </w:p>
    <w:p>
      <w:pPr>
        <w:pStyle w:val="ListParagraph"/>
        <w:numPr>
          <w:ilvl w:val="0"/>
          <w:numId w:val="2"/>
        </w:numPr>
        <w:spacing w:after="60" w:line="268"/>
      </w:pPr>
      <w:r>
        <w:rPr>
          <w:rFonts w:ascii="Arial" w:cs="Arial" w:eastAsia="Arial" w:hAnsi="Arial"/>
          <w:color w:val="222222"/>
          <w:sz w:val="20"/>
          <w:szCs w:val="20"/>
        </w:rPr>
        <w:t xml:space="preserve">Two sleeves plus one spare; rings in three sizes; spare cells, power bank, cables; microSD cards.</w:t>
      </w:r>
    </w:p>
    <w:p>
      <w:pPr>
        <w:pStyle w:val="ListParagraph"/>
        <w:numPr>
          <w:ilvl w:val="0"/>
          <w:numId w:val="2"/>
        </w:numPr>
        <w:spacing w:after="60" w:line="268"/>
      </w:pPr>
      <w:r>
        <w:rPr>
          <w:rFonts w:ascii="Arial" w:cs="Arial" w:eastAsia="Arial" w:hAnsi="Arial"/>
          <w:color w:val="222222"/>
          <w:sz w:val="20"/>
          <w:szCs w:val="20"/>
        </w:rPr>
        <w:t xml:space="preserve">Tabla and practice pad; a Kathputli with its pod; handloom recordings and a cloth sample.</w:t>
      </w:r>
    </w:p>
    <w:p>
      <w:pPr>
        <w:pStyle w:val="ListParagraph"/>
        <w:numPr>
          <w:ilvl w:val="0"/>
          <w:numId w:val="2"/>
        </w:numPr>
        <w:spacing w:after="60" w:line="268"/>
      </w:pPr>
      <w:r>
        <w:rPr>
          <w:rFonts w:ascii="Arial" w:cs="Arial" w:eastAsia="Arial" w:hAnsi="Arial"/>
          <w:color w:val="222222"/>
          <w:sz w:val="20"/>
          <w:szCs w:val="20"/>
        </w:rPr>
        <w:t xml:space="preserve">Pre-calibrated judge profile with a 20-second N-pose re-check; offline app copy.</w:t>
      </w:r>
    </w:p>
    <w:p>
      <w:pPr>
        <w:pStyle w:val="ListParagraph"/>
        <w:numPr>
          <w:ilvl w:val="0"/>
          <w:numId w:val="2"/>
        </w:numPr>
        <w:spacing w:after="60" w:line="268"/>
      </w:pPr>
      <w:r>
        <w:rPr>
          <w:rFonts w:ascii="Arial" w:cs="Arial" w:eastAsia="Arial" w:hAnsi="Arial"/>
          <w:color w:val="222222"/>
          <w:sz w:val="20"/>
          <w:szCs w:val="20"/>
        </w:rPr>
        <w:t xml:space="preserve">Masters' fingerprints and E1 verdicts; one signed recording and one edited copy.</w:t>
      </w:r>
    </w:p>
    <w:p>
      <w:pPr>
        <w:pStyle w:val="ListParagraph"/>
        <w:numPr>
          <w:ilvl w:val="0"/>
          <w:numId w:val="2"/>
        </w:numPr>
        <w:spacing w:after="60" w:line="268"/>
      </w:pPr>
      <w:r>
        <w:rPr>
          <w:rFonts w:ascii="Arial" w:cs="Arial" w:eastAsia="Arial" w:hAnsi="Arial"/>
          <w:color w:val="222222"/>
          <w:sz w:val="20"/>
          <w:szCs w:val="20"/>
        </w:rPr>
        <w:t xml:space="preserve">Printed one-page summary, consent summaries, bench-test sheet (H1–H8).</w:t>
      </w:r>
    </w:p>
    <w:p>
      <w:pPr>
        <w:pStyle w:val="ListParagraph"/>
        <w:numPr>
          <w:ilvl w:val="0"/>
          <w:numId w:val="2"/>
        </w:numPr>
        <w:spacing w:after="60" w:line="268"/>
      </w:pPr>
      <w:r>
        <w:rPr>
          <w:rFonts w:ascii="Arial" w:cs="Arial" w:eastAsia="Arial" w:hAnsi="Arial"/>
          <w:color w:val="222222"/>
          <w:sz w:val="20"/>
          <w:szCs w:val="20"/>
        </w:rPr>
        <w:t xml:space="preserve">Backup video; three rehearsals completed without help.</w:t>
      </w:r>
    </w:p>
    <w:p>
      <w:pPr>
        <w:pStyle w:val="Heading1"/>
        <w:keepNext/>
        <w:spacing w:after="200" w:before="480"/>
      </w:pPr>
      <w:r>
        <w:rPr>
          <w:rFonts w:ascii="Arial" w:cs="Arial" w:eastAsia="Arial" w:hAnsi="Arial"/>
        </w:rPr>
        <w:t xml:space="preserve">Appendix E. Simulations (planning tools, not evidence of learning)</w:t>
      </w:r>
    </w:p>
    <w:p>
      <w:pPr>
        <w:keepNext/>
        <w:spacing w:after="60" w:before="60"/>
        <w:jc w:val="center"/>
      </w:pPr>
      <w:r>
        <w:drawing>
          <wp:inline distT="0" distB="0" distL="0" distR="0">
            <wp:extent cx="5715000" cy="2476500"/>
            <wp:effectExtent t="0" r="0" b="0" l="0"/>
            <wp:docPr id="1" name="Figure E1. With assu" descr="Figure E1. With assumed variation between tabla cycles (15 ms, 1.5 dB) and 20 cycles per player, profiles differing by about 6 ms and 0.6 dB per beat are told apart about 80% of the time." title="Figure E1. With assumed variation betw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476500"/>
                    </a:xfrm>
                    <a:prstGeom prst="rect">
                      <a:avLst/>
                    </a:prstGeom>
                  </pic:spPr>
                </pic:pic>
              </a:graphicData>
            </a:graphic>
          </wp:inline>
        </w:drawing>
      </w:r>
    </w:p>
    <w:p>
      <w:pPr>
        <w:spacing w:after="180"/>
        <w:jc w:val="center"/>
      </w:pPr>
      <w:r>
        <w:rPr>
          <w:rFonts w:ascii="Arial" w:cs="Arial" w:eastAsia="Arial" w:hAnsi="Arial"/>
          <w:i/>
          <w:iCs/>
          <w:color w:val="5E5E5E"/>
          <w:sz w:val="17"/>
          <w:szCs w:val="17"/>
        </w:rPr>
        <w:t xml:space="preserve">Figure E1. With assumed variation between tabla cycles (15 ms, 1.5 dB) and 20 cycles per player, profiles differing by about 6 ms and 0.6 dB per beat are told apart about 80% of the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78"/>
        <w:gridCol w:w="1683"/>
        <w:gridCol w:w="1683"/>
        <w:gridCol w:w="1682"/>
      </w:tblGrid>
      <w:tr>
        <w:trPr>
          <w:cantSplit/>
          <w:tblHeader/>
        </w:trPr>
        <w:tc>
          <w:tcPr>
            <w:tcW w:type="dxa" w:w="397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Unaided score on day 4 (simulated)</w:t>
            </w:r>
          </w:p>
        </w:tc>
        <w:tc>
          <w:tcPr>
            <w:tcW w:type="dxa" w:w="168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Assumption A</w:t>
            </w:r>
          </w:p>
        </w:tc>
        <w:tc>
          <w:tcPr>
            <w:tcW w:type="dxa" w:w="168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Assumption B</w:t>
            </w:r>
          </w:p>
        </w:tc>
        <w:tc>
          <w:tcPr>
            <w:tcW w:type="dxa" w:w="168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Assumption C</w:t>
            </w:r>
          </w:p>
        </w:tc>
      </w:tr>
      <w:tr>
        <w:trPr>
          <w:cantSplit/>
        </w:trPr>
        <w:tc>
          <w:tcPr>
            <w:tcW w:type="dxa" w:w="397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Cues always on</w:t>
            </w:r>
          </w:p>
        </w:tc>
        <w:tc>
          <w:tcPr>
            <w:tcW w:type="dxa" w:w="16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0.48</w:t>
            </w:r>
          </w:p>
        </w:tc>
        <w:tc>
          <w:tcPr>
            <w:tcW w:type="dxa" w:w="16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0.42</w:t>
            </w:r>
          </w:p>
        </w:tc>
        <w:tc>
          <w:tcPr>
            <w:tcW w:type="dxa" w:w="168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0.57</w:t>
            </w:r>
          </w:p>
        </w:tc>
      </w:tr>
      <w:tr>
        <w:trPr>
          <w:cantSplit/>
        </w:trPr>
        <w:tc>
          <w:tcPr>
            <w:tcW w:type="dxa" w:w="397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No cues</w:t>
            </w:r>
          </w:p>
        </w:tc>
        <w:tc>
          <w:tcPr>
            <w:tcW w:type="dxa" w:w="16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0.46</w:t>
            </w:r>
          </w:p>
        </w:tc>
        <w:tc>
          <w:tcPr>
            <w:tcW w:type="dxa" w:w="16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0.58</w:t>
            </w:r>
          </w:p>
        </w:tc>
        <w:tc>
          <w:tcPr>
            <w:tcW w:type="dxa" w:w="168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0.71</w:t>
            </w:r>
          </w:p>
        </w:tc>
      </w:tr>
      <w:tr>
        <w:trPr>
          <w:cantSplit/>
        </w:trPr>
        <w:tc>
          <w:tcPr>
            <w:tcW w:type="dxa" w:w="397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Fixed fade</w:t>
            </w:r>
          </w:p>
        </w:tc>
        <w:tc>
          <w:tcPr>
            <w:tcW w:type="dxa" w:w="16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0.67</w:t>
            </w:r>
          </w:p>
        </w:tc>
        <w:tc>
          <w:tcPr>
            <w:tcW w:type="dxa" w:w="16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0.63</w:t>
            </w:r>
          </w:p>
        </w:tc>
        <w:tc>
          <w:tcPr>
            <w:tcW w:type="dxa" w:w="168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0.68</w:t>
            </w:r>
          </w:p>
        </w:tc>
      </w:tr>
      <w:tr>
        <w:trPr>
          <w:cantSplit/>
        </w:trPr>
        <w:tc>
          <w:tcPr>
            <w:tcW w:type="dxa" w:w="397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Check-cycle fade (PARAMPARA)</w:t>
            </w:r>
          </w:p>
        </w:tc>
        <w:tc>
          <w:tcPr>
            <w:tcW w:type="dxa" w:w="16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0.69</w:t>
            </w:r>
          </w:p>
        </w:tc>
        <w:tc>
          <w:tcPr>
            <w:tcW w:type="dxa" w:w="16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0.65</w:t>
            </w:r>
          </w:p>
        </w:tc>
        <w:tc>
          <w:tcPr>
            <w:tcW w:type="dxa" w:w="168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0.68</w:t>
            </w:r>
          </w:p>
        </w:tc>
      </w:tr>
    </w:tbl>
    <w:p>
      <w:pPr>
        <w:spacing w:after="80"/>
      </w:pPr>
    </w:p>
    <w:p>
      <w:pPr>
        <w:spacing w:after="120" w:before="0" w:line="276"/>
        <w:jc w:val="left"/>
      </w:pPr>
      <w:r>
        <w:rPr>
          <w:rFonts w:ascii="Arial" w:cs="Arial" w:eastAsia="Arial" w:hAnsi="Arial"/>
          <w:color w:val="222222"/>
          <w:sz w:val="20"/>
          <w:szCs w:val="20"/>
        </w:rPr>
        <w:t xml:space="preserve">Cues that never stop do poorly under every assumption; check-cycle fading did slightly better than a fixed fade under two of three (+0.015, 95% CI 0.013–0.017). People, not simulations, decide (E5 and the full trial). On synthetic data the confound test passes a master-driven world and fails an instrument-driven one (Figure 10).</w:t>
      </w:r>
    </w:p>
    <w:p>
      <w:pPr>
        <w:pStyle w:val="Heading1"/>
        <w:keepNext/>
        <w:spacing w:after="200" w:before="480"/>
      </w:pPr>
      <w:r>
        <w:rPr>
          <w:rFonts w:ascii="Arial" w:cs="Arial" w:eastAsia="Arial" w:hAnsi="Arial"/>
        </w:rPr>
        <w:t xml:space="preserve">Appendix F. Reference check and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Original citation in the team's first documents</w:t>
            </w:r>
          </w:p>
        </w:tc>
        <w:tc>
          <w:tcPr>
            <w:tcW w:type="dxa" w:w="451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Finding</w:t>
            </w:r>
          </w:p>
        </w:tc>
      </w:tr>
      <w:tr>
        <w:trPr>
          <w:cantSplit/>
        </w:trPr>
        <w:tc>
          <w:tcPr>
            <w:tcW w:type="dxa" w:w="451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'Masur &amp; Sacks, Gesture-Based Adaptive Haptic Guidance, IEEE Robotics (2025)'</w:t>
            </w:r>
          </w:p>
        </w:tc>
        <w:tc>
          <w:tcPr>
            <w:tcW w:type="dxa" w:w="451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Does not exist; closest real work is Zahedi et al. 2017 </w:t>
            </w:r>
            <w:r>
              <w:rPr>
                <w:rFonts w:ascii="Arial" w:cs="Arial" w:eastAsia="Arial" w:hAnsi="Arial"/>
                <w:b w:val="false"/>
                <w:bCs w:val="false"/>
                <w:color w:val="1F4E79"/>
                <w:sz w:val="16"/>
                <w:szCs w:val="16"/>
              </w:rPr>
              <w:t xml:space="preserve">[11]</w:t>
            </w:r>
          </w:p>
        </w:tc>
      </w:tr>
      <w:tr>
        <w:trPr>
          <w:cantSplit/>
        </w:trPr>
        <w:tc>
          <w:tcPr>
            <w:tcW w:type="dxa" w:w="451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'Flandorfer et al., Wearable Haptic Learning Systems, Sensors (2022)'</w:t>
            </w:r>
          </w:p>
        </w:tc>
        <w:tc>
          <w:tcPr>
            <w:tcW w:type="dxa" w:w="451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Not found; replaced by a verified review </w:t>
            </w:r>
            <w:r>
              <w:rPr>
                <w:rFonts w:ascii="Arial" w:cs="Arial" w:eastAsia="Arial" w:hAnsi="Arial"/>
                <w:b w:val="false"/>
                <w:bCs w:val="false"/>
                <w:color w:val="1F4E79"/>
                <w:sz w:val="16"/>
                <w:szCs w:val="16"/>
              </w:rPr>
              <w:t xml:space="preserve">[10]</w:t>
            </w:r>
          </w:p>
        </w:tc>
      </w:tr>
      <w:tr>
        <w:trPr>
          <w:cantSplit/>
        </w:trPr>
        <w:tc>
          <w:tcPr>
            <w:tcW w:type="dxa" w:w="451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'Grindlay (2008), ACM Multimedia'</w:t>
            </w:r>
          </w:p>
        </w:tc>
        <w:tc>
          <w:tcPr>
            <w:tcW w:type="dxa" w:w="451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Wrong venue; correct sources cited </w:t>
            </w:r>
            <w:r>
              <w:rPr>
                <w:rFonts w:ascii="Arial" w:cs="Arial" w:eastAsia="Arial" w:hAnsi="Arial"/>
                <w:b w:val="false"/>
                <w:bCs w:val="false"/>
                <w:color w:val="1F4E79"/>
                <w:sz w:val="16"/>
                <w:szCs w:val="16"/>
              </w:rPr>
              <w:t xml:space="preserve">[1, 2]</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94"/>
        <w:gridCol w:w="4332"/>
      </w:tblGrid>
      <w:tr>
        <w:trPr>
          <w:cantSplit/>
          <w:tblHeader/>
        </w:trPr>
        <w:tc>
          <w:tcPr>
            <w:tcW w:type="dxa" w:w="469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Parameter</w:t>
            </w:r>
          </w:p>
        </w:tc>
        <w:tc>
          <w:tcPr>
            <w:tcW w:type="dxa" w:w="433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Value</w:t>
            </w:r>
          </w:p>
        </w:tc>
      </w:tr>
      <w:tr>
        <w:trPr>
          <w:cantSplit/>
        </w:trPr>
        <w:tc>
          <w:tcPr>
            <w:tcW w:type="dxa" w:w="469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IMU sampling</w:t>
            </w:r>
          </w:p>
        </w:tc>
        <w:tc>
          <w:tcPr>
            <w:tcW w:type="dxa" w:w="433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200 samples per second (FIFO burst reads)</w:t>
            </w:r>
          </w:p>
        </w:tc>
      </w:tr>
      <w:tr>
        <w:trPr>
          <w:cantSplit/>
        </w:trPr>
        <w:tc>
          <w:tcPr>
            <w:tcW w:type="dxa" w:w="469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Tabla piezo sampling</w:t>
            </w:r>
          </w:p>
        </w:tc>
        <w:tc>
          <w:tcPr>
            <w:tcW w:type="dxa" w:w="433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16,000 samples per second per channel (DMA)</w:t>
            </w:r>
          </w:p>
        </w:tc>
      </w:tr>
      <w:tr>
        <w:trPr>
          <w:cantSplit/>
        </w:trPr>
        <w:tc>
          <w:tcPr>
            <w:tcW w:type="dxa" w:w="469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I2C buses</w:t>
            </w:r>
          </w:p>
        </w:tc>
        <w:tc>
          <w:tcPr>
            <w:tcW w:type="dxa" w:w="433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2 per sleeve, 400 kHz, TCA9548A on each</w:t>
            </w:r>
          </w:p>
        </w:tc>
      </w:tr>
      <w:tr>
        <w:trPr>
          <w:cantSplit/>
        </w:trPr>
        <w:tc>
          <w:tcPr>
            <w:tcW w:type="dxa" w:w="469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Calibration</w:t>
            </w:r>
          </w:p>
        </w:tc>
        <w:tc>
          <w:tcPr>
            <w:tcW w:type="dxa" w:w="433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20-second N-pose each session</w:t>
            </w:r>
          </w:p>
        </w:tc>
      </w:tr>
      <w:tr>
        <w:trPr>
          <w:cantSplit/>
        </w:trPr>
        <w:tc>
          <w:tcPr>
            <w:tcW w:type="dxa" w:w="469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Cue length</w:t>
            </w:r>
          </w:p>
        </w:tc>
        <w:tc>
          <w:tcPr>
            <w:tcW w:type="dxa" w:w="433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30–80 ms</w:t>
            </w:r>
          </w:p>
        </w:tc>
      </w:tr>
      <w:tr>
        <w:trPr>
          <w:cantSplit/>
        </w:trPr>
        <w:tc>
          <w:tcPr>
            <w:tcW w:type="dxa" w:w="469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Cue strength</w:t>
            </w:r>
          </w:p>
        </w:tc>
        <w:tc>
          <w:tcPr>
            <w:tcW w:type="dxa" w:w="433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3 × the person's weakest felt level, firmware maximum</w:t>
            </w:r>
          </w:p>
        </w:tc>
      </w:tr>
      <w:tr>
        <w:trPr>
          <w:cantSplit/>
        </w:trPr>
        <w:tc>
          <w:tcPr>
            <w:tcW w:type="dxa" w:w="469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Check cycles</w:t>
            </w:r>
          </w:p>
        </w:tc>
        <w:tc>
          <w:tcPr>
            <w:tcW w:type="dxa" w:w="433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session start + every 4 cycles</w:t>
            </w:r>
          </w:p>
        </w:tc>
      </w:tr>
      <w:tr>
        <w:trPr>
          <w:cantSplit/>
        </w:trPr>
        <w:tc>
          <w:tcPr>
            <w:tcW w:type="dxa" w:w="469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Target to move on</w:t>
            </w:r>
          </w:p>
        </w:tc>
        <w:tc>
          <w:tcPr>
            <w:tcW w:type="dxa" w:w="433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unaided score ≥ 85% on 2 days + master's approval</w:t>
            </w:r>
          </w:p>
        </w:tc>
      </w:tr>
      <w:tr>
        <w:trPr>
          <w:cantSplit/>
        </w:trPr>
        <w:tc>
          <w:tcPr>
            <w:tcW w:type="dxa" w:w="469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E1 pass</w:t>
            </w:r>
          </w:p>
        </w:tc>
        <w:tc>
          <w:tcPr>
            <w:tcW w:type="dxa" w:w="433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T-a and T-b ≥ 70%; T-c p &lt; 0.01</w:t>
            </w:r>
          </w:p>
        </w:tc>
      </w:tr>
      <w:tr>
        <w:trPr>
          <w:cantSplit/>
        </w:trPr>
        <w:tc>
          <w:tcPr>
            <w:tcW w:type="dxa" w:w="469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Fingerprint recording</w:t>
            </w:r>
          </w:p>
        </w:tc>
        <w:tc>
          <w:tcPr>
            <w:tcW w:type="dxa" w:w="433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20 cycles per master, day and instrument</w:t>
            </w:r>
          </w:p>
        </w:tc>
      </w:tr>
    </w:tbl>
    <w:p>
      <w:pPr>
        <w:spacing w:after="80"/>
      </w:pPr>
    </w:p>
    <w:p>
      <w:pPr>
        <w:pStyle w:val="Heading1"/>
        <w:keepNext/>
        <w:spacing w:after="200" w:before="480"/>
      </w:pPr>
      <w:r>
        <w:rPr>
          <w:rFonts w:ascii="Arial" w:cs="Arial" w:eastAsia="Arial" w:hAnsi="Arial"/>
        </w:rPr>
        <w:t xml:space="preserve">Appendix G. CAD and code 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11"/>
        <w:gridCol w:w="5115"/>
      </w:tblGrid>
      <w:tr>
        <w:trPr>
          <w:cantSplit/>
          <w:tblHeader/>
        </w:trPr>
        <w:tc>
          <w:tcPr>
            <w:tcW w:type="dxa" w:w="391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File</w:t>
            </w:r>
          </w:p>
        </w:tc>
        <w:tc>
          <w:tcPr>
            <w:tcW w:type="dxa" w:w="511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it is</w:t>
            </w:r>
          </w:p>
        </w:tc>
      </w:tr>
      <w:tr>
        <w:trPr>
          <w:cantSplit/>
        </w:trPr>
        <w:tc>
          <w:tcPr>
            <w:tcW w:type="dxa" w:w="391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PARAMPARA/cad/parampara_cad.py</w:t>
            </w:r>
          </w:p>
        </w:tc>
        <w:tc>
          <w:tcPr>
            <w:tcW w:type="dxa" w:w="511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Parametric CAD of every housing, the sleeve assembly and the three tool kits; exports STEP and STL</w:t>
            </w:r>
          </w:p>
        </w:tc>
      </w:tr>
      <w:tr>
        <w:trPr>
          <w:cantSplit/>
        </w:trPr>
        <w:tc>
          <w:tcPr>
            <w:tcW w:type="dxa" w:w="391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PARAMPARA/cad/out/</w:t>
            </w:r>
            <w:r>
              <w:rPr>
                <w:rFonts w:ascii="Arial" w:cs="Arial" w:eastAsia="Arial" w:hAnsi="Arial"/>
                <w:i/>
                <w:iCs/>
                <w:color w:val="222222"/>
                <w:sz w:val="16"/>
                <w:szCs w:val="16"/>
              </w:rPr>
              <w:t xml:space="preserve">.step, </w:t>
            </w:r>
            <w:r>
              <w:rPr>
                <w:rFonts w:ascii="Arial" w:cs="Arial" w:eastAsia="Arial" w:hAnsi="Arial"/>
                <w:color w:val="222222"/>
                <w:sz w:val="16"/>
                <w:szCs w:val="16"/>
              </w:rPr>
              <w:t xml:space="preserve">.stl</w:t>
            </w:r>
          </w:p>
        </w:tc>
        <w:tc>
          <w:tcPr>
            <w:tcW w:type="dxa" w:w="511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Ring, motor, joint, hand-board and hub housings and lids, ready to inspect or print</w:t>
            </w:r>
          </w:p>
        </w:tc>
      </w:tr>
      <w:tr>
        <w:trPr>
          <w:cantSplit/>
        </w:trPr>
        <w:tc>
          <w:tcPr>
            <w:tcW w:type="dxa" w:w="391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PARAMPARA/cad/render_all.py, compose_figures.py</w:t>
            </w:r>
          </w:p>
        </w:tc>
        <w:tc>
          <w:tcPr>
            <w:tcW w:type="dxa" w:w="511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Off-screen renders and the labelled figures in Section 4</w:t>
            </w:r>
          </w:p>
        </w:tc>
      </w:tr>
      <w:tr>
        <w:trPr>
          <w:cantSplit/>
        </w:trPr>
        <w:tc>
          <w:tcPr>
            <w:tcW w:type="dxa" w:w="391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PARAMPARA/sim/gmd_fingerprint.py, make_gmd_figure.py</w:t>
            </w:r>
          </w:p>
        </w:tc>
        <w:tc>
          <w:tcPr>
            <w:tcW w:type="dxa" w:w="511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Real-data test on the Groove MIDI Dataset (Section 6)</w:t>
            </w:r>
          </w:p>
        </w:tc>
      </w:tr>
      <w:tr>
        <w:trPr>
          <w:cantSplit/>
        </w:trPr>
        <w:tc>
          <w:tcPr>
            <w:tcW w:type="dxa" w:w="391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PARAMPARA/sim/skilltwin_validation.py</w:t>
            </w:r>
          </w:p>
        </w:tc>
        <w:tc>
          <w:tcPr>
            <w:tcW w:type="dxa" w:w="511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E1 confound test (T-a, T-b, T-c, control, verdict)</w:t>
            </w:r>
          </w:p>
        </w:tc>
      </w:tr>
      <w:tr>
        <w:trPr>
          <w:cantSplit/>
        </w:trPr>
        <w:tc>
          <w:tcPr>
            <w:tcW w:type="dxa" w:w="391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PARAMPARA/sim/fade_engine_sim_v2.py, fingerprint.py</w:t>
            </w:r>
          </w:p>
        </w:tc>
        <w:tc>
          <w:tcPr>
            <w:tcW w:type="dxa" w:w="511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Fade simulation and E1 recording-length planning</w:t>
            </w:r>
          </w:p>
        </w:tc>
      </w:tr>
    </w:tbl>
    <w:p>
      <w:pPr>
        <w:spacing w:after="80"/>
      </w:pPr>
    </w:p>
    <w:p>
      <w:pPr>
        <w:shd w:fill="F2F2F2" w:color="auto" w:val="clear"/>
        <w:spacing w:after="0" w:line="240"/>
        <w:ind w:left="120" w:right="120"/>
      </w:pPr>
      <w:r>
        <w:rPr>
          <w:rFonts w:ascii="Courier New" w:cs="Courier New" w:eastAsia="Courier New" w:hAnsi="Courier New"/>
          <w:color w:val="222222"/>
          <w:sz w:val="16"/>
          <w:szCs w:val="16"/>
        </w:rPr>
        <w:t xml:space="preserve">python3 PARAMPARA/cad/parampara_cad.py            # STEP/STL files</w:t>
      </w:r>
    </w:p>
    <w:p>
      <w:pPr>
        <w:shd w:fill="F2F2F2" w:color="auto" w:val="clear"/>
        <w:spacing w:after="0" w:line="240"/>
        <w:ind w:left="120" w:right="120"/>
      </w:pPr>
      <w:r>
        <w:rPr>
          <w:rFonts w:ascii="Courier New" w:cs="Courier New" w:eastAsia="Courier New" w:hAnsi="Courier New"/>
          <w:color w:val="222222"/>
          <w:sz w:val="16"/>
          <w:szCs w:val="16"/>
        </w:rPr>
        <w:t xml:space="preserve">python3 PARAMPARA/cad/render_all.py &amp;&amp; python3 PARAMPARA/cad/compose_figures.py</w:t>
      </w:r>
    </w:p>
    <w:p>
      <w:pPr>
        <w:shd w:fill="F2F2F2" w:color="auto" w:val="clear"/>
        <w:spacing w:after="0" w:line="240"/>
        <w:ind w:left="120" w:right="120"/>
      </w:pPr>
      <w:r>
        <w:rPr>
          <w:rFonts w:ascii="Courier New" w:cs="Courier New" w:eastAsia="Courier New" w:hAnsi="Courier New"/>
          <w:color w:val="222222"/>
          <w:sz w:val="16"/>
          <w:szCs w:val="16"/>
        </w:rPr>
        <w:t xml:space="preserve">python3 PARAMPARA/sim/gmd_fingerprint.py groove/  # real-data test</w:t>
      </w:r>
    </w:p>
    <w:p>
      <w:pPr>
        <w:shd w:fill="F2F2F2" w:color="auto" w:val="clear"/>
        <w:spacing w:after="140" w:line="240"/>
        <w:ind w:left="120" w:right="120"/>
      </w:pPr>
      <w:r>
        <w:rPr>
          <w:rFonts w:ascii="Courier New" w:cs="Courier New" w:eastAsia="Courier New" w:hAnsi="Courier New"/>
          <w:color w:val="222222"/>
          <w:sz w:val="16"/>
          <w:szCs w:val="16"/>
        </w:rPr>
        <w:t xml:space="preserve">node PARAMPARA/build/build_v5.js                  # this document</w:t>
      </w:r>
    </w:p>
    <w:sectPr>
      <w:headerReference w:type="default" r:id="rId7"/>
      <w:headerReference w:type="first" r:id="rId8"/>
      <w:footerReference w:type="default" r:id="rId9"/>
      <w:footerReference w:type="first" r:id="rId10"/>
      <w:pgSz w:w="11906" w:h="16838" w:orient="portrait"/>
      <w:pgMar w:top="1300" w:right="1440" w:bottom="1200" w:left="1440" w:header="6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E5E5E"/>
        <w:sz w:val="15"/>
        <w:szCs w:val="15"/>
      </w:rPr>
      <w:t xml:space="preserve">Page </w:t>
    </w:r>
    <w:r>
      <w:rPr>
        <w:rFonts w:ascii="Arial" w:cs="Arial" w:eastAsia="Arial" w:hAnsi="Arial"/>
        <w:color w:val="5E5E5E"/>
        <w:sz w:val="15"/>
        <w:szCs w:val="15"/>
      </w:rPr>
      <w:fldChar w:fldCharType="begin"/>
      <w:instrText xml:space="preserve">PAGE</w:instrText>
      <w:fldChar w:fldCharType="separate"/>
      <w:fldChar w:fldCharType="end"/>
    </w:r>
    <w:r>
      <w:rPr>
        <w:rFonts w:ascii="Arial" w:cs="Arial" w:eastAsia="Arial" w:hAnsi="Arial"/>
        <w:color w:val="5E5E5E"/>
        <w:sz w:val="15"/>
        <w:szCs w:val="15"/>
      </w:rPr>
      <w:t xml:space="preserve"> of </w:t>
    </w:r>
    <w:r>
      <w:rPr>
        <w:rFonts w:ascii="Arial" w:cs="Arial" w:eastAsia="Arial" w:hAnsi="Arial"/>
        <w:color w:val="5E5E5E"/>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FC0" w:sz="4" w:space="4"/>
      </w:pBdr>
      <w:jc w:val="right"/>
    </w:pPr>
    <w:r>
      <w:rPr>
        <w:rFonts w:ascii="Arial" w:cs="Arial" w:eastAsia="Arial" w:hAnsi="Arial"/>
        <w:color w:val="5E5E5E"/>
        <w:sz w:val="15"/>
        <w:szCs w:val="15"/>
      </w:rPr>
      <w:t xml:space="preserve">PARAMPARA  ·  Final Solution Document v5  ·  SIH 2026 PS 26214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901A" w:sz="12" w:space="6"/>
      </w:pBdr>
      <w:spacing w:after="200" w:before="0"/>
      <w:outlineLvl w:val="0"/>
    </w:pPr>
    <w:rPr>
      <w:rFonts w:ascii="Arial" w:cs="Arial" w:eastAsia="Arial" w:hAnsi="Arial"/>
      <w:b/>
      <w:bCs/>
      <w:color w:val="7A1F1F"/>
      <w:sz w:val="34"/>
      <w:szCs w:val="34"/>
    </w:rPr>
  </w:style>
  <w:style w:type="paragraph" w:styleId="Heading2">
    <w:name w:val="Heading 2"/>
    <w:basedOn w:val="Normal"/>
    <w:next w:val="Normal"/>
    <w:qFormat/>
    <w:pPr>
      <w:spacing w:after="120" w:before="26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7A1F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xzl-m1jbgmztk9zzucifc" Type="http://schemas.openxmlformats.org/officeDocument/2006/relationships/hyperlink" Target="https://www.ee.columbia.edu/~grindlay/pubs/Haptics_2008.pdf" TargetMode="External"/><Relationship Id="rIdonq8uecay2yj9pfgfjpin" Type="http://schemas.openxmlformats.org/officeDocument/2006/relationships/hyperlink" Target="https://dspace.mit.edu/handle/1721.1/41562" TargetMode="External"/><Relationship Id="rIdlw3owb_y_ckvsai81izz7" Type="http://schemas.openxmlformats.org/officeDocument/2006/relationships/hyperlink" Target="https://www.semanticscholar.org/paper/14e629ead9528a9554b249bdc44134a4ac7c22c9" TargetMode="External"/><Relationship Id="rId-agvbn7r-w_evmr-ssldf" Type="http://schemas.openxmlformats.org/officeDocument/2006/relationships/hyperlink" Target="https://oro.open.ac.uk/18900" TargetMode="External"/><Relationship Id="rIdtya_wcwonderkhwqdamue" Type="http://schemas.openxmlformats.org/officeDocument/2006/relationships/hyperlink" Target="https://oro.open.ac.uk/52571" TargetMode="External"/><Relationship Id="rIdwk_vibodj0egepqntgw0g" Type="http://schemas.openxmlformats.org/officeDocument/2006/relationships/hyperlink" Target="https://oro.open.ac.uk/25275" TargetMode="External"/><Relationship Id="rId7eljrg7z14kvkfn-oomrn" Type="http://schemas.openxmlformats.org/officeDocument/2006/relationships/hyperlink" Target="https://remotecenter.postech.ac.kr/handle/2014.oak/93484" TargetMode="External"/><Relationship Id="rIdacddnh4yks7dkqhdebcvu" Type="http://schemas.openxmlformats.org/officeDocument/2006/relationships/hyperlink" Target="https://arxiv.org/abs/2406.06720" TargetMode="External"/><Relationship Id="rIdd7eudckzdz8pdldywjsnb" Type="http://schemas.openxmlformats.org/officeDocument/2006/relationships/hyperlink" Target="https://www.frontiersin.org/articles/10.3389/fnins.2017.00507/full" TargetMode="External"/><Relationship Id="rId21we3kkqlxbp25-dii3lr" Type="http://schemas.openxmlformats.org/officeDocument/2006/relationships/hyperlink" Target="https://api.openalex.org/works/doi:10.1109%2FLRA.2017.2660071" TargetMode="External"/><Relationship Id="rIduhiayiuh2kkasyuoakh3c" Type="http://schemas.openxmlformats.org/officeDocument/2006/relationships/hyperlink" Target="https://doi.org/10.5334/tismir.150" TargetMode="External"/><Relationship Id="rIdnw7f2mdi8jzzgaz-epdsa" Type="http://schemas.openxmlformats.org/officeDocument/2006/relationships/hyperlink" Target="https://en.wikipedia.org/wiki/SECI_model_of_knowledge_dimensions" TargetMode="External"/><Relationship Id="rIdxr9tktcxuz7ujj3uh6z3l" Type="http://schemas.openxmlformats.org/officeDocument/2006/relationships/hyperlink" Target="https://www.scitepress.org/Papers/2014/48716/" TargetMode="External"/><Relationship Id="rIdrplvgqw3tqlntd-b-err6" Type="http://schemas.openxmlformats.org/officeDocument/2006/relationships/hyperlink" Target="https://hal-mines-paristech.archives-ouvertes.fr/hal-00975857" TargetMode="External"/><Relationship Id="rIdcgiux6qsa3hmu4rwi2-58" Type="http://schemas.openxmlformats.org/officeDocument/2006/relationships/hyperlink" Target="https://ideas.repec.org/a/gam/jsusta/v12y2020i4p1461-d321208.html" TargetMode="External"/><Relationship Id="rIdoovchjxogfizbar0ozrk7" Type="http://schemas.openxmlformats.org/officeDocument/2006/relationships/hyperlink" Target="https://livehistoryindia.com/story/living-culture/the-unique-craft-of-rajasthans-puppeteers" TargetMode="External"/><Relationship Id="rIddo2x3urjifcw8kma_ioz0" Type="http://schemas.openxmlformats.org/officeDocument/2006/relationships/hyperlink" Target="https://ich.unesco.org/en/ethics-and-ich-00866" TargetMode="External"/><Relationship Id="rId3l3xpz3mroz2dvjvkfrk1" Type="http://schemas.openxmlformats.org/officeDocument/2006/relationships/hyperlink" Target="https://www.drishtiias.com/state-pcs-current-affairs/unesco-adds-deepavali-to-intangible-cultural-heritage-list/print_manually" TargetMode="External"/><Relationship Id="rIdiop8nxylypt733f3bjkzw" Type="http://schemas.openxmlformats.org/officeDocument/2006/relationships/hyperlink" Target="https://www.indiaculture.gov.in/node/265" TargetMode="External"/><Relationship Id="rIdch2tgb1yen1oz_b2cbwx7" Type="http://schemas.openxmlformats.org/officeDocument/2006/relationships/hyperlink" Target="https://rsdebate.nic.in/bitstream/123456789/734815/1/PQ_258_22122022_U1778_p148_p170.pdf" TargetMode="External"/><Relationship Id="rIdjyqbuobtea9zllde_ar0d" Type="http://schemas.openxmlformats.org/officeDocument/2006/relationships/hyperlink" Target="https://static.pib.gov.in/WriteReadData/specificdocs/documents/2025/dec/doc2025129724401.pdf" TargetMode="External"/><Relationship Id="rId4x5gxhlza5usbk6q-7c23" Type="http://schemas.openxmlformats.org/officeDocument/2006/relationships/hyperlink" Target="https://en.wikipedia.org/wiki/Akhil_Bharatiya_Gandharva_Mahavidyalaya_Mandal" TargetMode="External"/><Relationship Id="rIdstvcp2zwzcjjosyjoqpon" Type="http://schemas.openxmlformats.org/officeDocument/2006/relationships/hyperlink" Target="https://aikosh.indiaai.gov.in/home/datasets/details/population_of_persons_with_disabilities_census_2011.html" TargetMode="External"/><Relationship Id="rIdbxsdrqwpkhjhshdcswt3e" Type="http://schemas.openxmlformats.org/officeDocument/2006/relationships/hyperlink" Target="https://en.wikipedia.org/wiki/Zakir_Hussain_(musician)" TargetMode="External"/><Relationship Id="rIdcfbm0bpsurp4ge0-kx3wb" Type="http://schemas.openxmlformats.org/officeDocument/2006/relationships/hyperlink" Target="https://academy.darbar.org/about" TargetMode="External"/><Relationship Id="rId5se0wcsjgki6pvy4nw8ft" Type="http://schemas.openxmlformats.org/officeDocument/2006/relationships/hyperlink" Target="https://lawrbit.com/article/digital-personal-data-protection-rules-2025" TargetMode="External"/><Relationship Id="rId2-2glxusjbbbgygq00jog" Type="http://schemas.openxmlformats.org/officeDocument/2006/relationships/hyperlink" Target="https://www.ti.com/product/DRV2605L" TargetMode="External"/><Relationship Id="rIdnilol3b0ad0kjgkrv8eow" Type="http://schemas.openxmlformats.org/officeDocument/2006/relationships/hyperlink" Target="https://compmusic.upf.edu/corpus-analysis-hindustani" TargetMode="External"/><Relationship Id="rIdphuihx5k0gqu2s7jrolkn" Type="http://schemas.openxmlformats.org/officeDocument/2006/relationships/hyperlink" Target="https://publications.iith.ac.in/publication/tabla-gharana-recognition-from-tabla-solo-recordings" TargetMode="External"/><Relationship Id="rIdiq4gjnu-3yehaiw_y5x4g" Type="http://schemas.openxmlformats.org/officeDocument/2006/relationships/hyperlink" Target="https://revuemusicaleoicrm.org/vol12-n2/microtiming-tempo-variability-rock-drummers/" TargetMode="External"/><Relationship Id="rIdmova3pzgz70jjp0kipnc0" Type="http://schemas.openxmlformats.org/officeDocument/2006/relationships/hyperlink" Target="https://www.ncbi.nlm.nih.gov/pmc/articles/PMC7181424/" TargetMode="External"/><Relationship Id="rIdfi0fh5ieqp8nnb1kzhx67" Type="http://schemas.openxmlformats.org/officeDocument/2006/relationships/hyperlink" Target="https://localcontexts.org/" TargetMode="External"/><Relationship Id="rIdm7fihbet0mq-i_pnwiywy" Type="http://schemas.openxmlformats.org/officeDocument/2006/relationships/hyperlink" Target="https://fidoalliance.org/webauthn-level-3-is-now-a-w3c-recommendation/" TargetMode="External"/><Relationship Id="rIdsbyx9ejvgv7fn5gn6ua_i" Type="http://schemas.openxmlformats.org/officeDocument/2006/relationships/hyperlink" Target="https://ncaa.gov.in/repository/common/about" TargetMode="External"/><Relationship Id="rIdsobmway8vrshbfpl4a_91" Type="http://schemas.openxmlformats.org/officeDocument/2006/relationships/hyperlink" Target="https://archive.isis.vanderbilt.edu/node/3600" TargetMode="External"/><Relationship Id="rIdxqwvezswnsqamplq3xpmx" Type="http://schemas.openxmlformats.org/officeDocument/2006/relationships/hyperlink" Target="https://www.lcsc.com/product-image/C527464.html" TargetMode="External"/><Relationship Id="rIdbpwexomeq4y6-2qjbsxox" Type="http://schemas.openxmlformats.org/officeDocument/2006/relationships/hyperlink" Target="https://www.cbseacademic.nic.in/web_material/CurriculumMain24/Sec/Hindustani_Music_Percussion_Sec_2023-24.pdf" TargetMode="External"/><Relationship Id="rIdi-a59fzbyj_qyekn6djub" Type="http://schemas.openxmlformats.org/officeDocument/2006/relationships/hyperlink" Target="https://kalautsav.ncert.gov.in/pdf/2024/Kala_Utsav_2025_Guidelines.pdf" TargetMode="External"/><Relationship Id="rId_if_lf77g8tlocm-uo5j_" Type="http://schemas.openxmlformats.org/officeDocument/2006/relationships/hyperlink" Target="https://psscive.ac.in/storage/uploads/documents/1722421697_Implementation%20of%2010%20Bagless%20Days%20in%20School.pdf" TargetMode="External"/><Relationship Id="rIdf4yrqvclhsgn1fo1rbtre" Type="http://schemas.openxmlformats.org/officeDocument/2006/relationships/hyperlink" Target="https://www.speech.kth.se/music/sim10/slides/Sofia_Dahl-KTH_Sound_is_Motion_20100211.pdf" TargetMode="External"/><Relationship Id="rIdofw9yf3tlfaqntve51p6r" Type="http://schemas.openxmlformats.org/officeDocument/2006/relationships/hyperlink" Target="https://robots.media.mit.edu/tikl" TargetMode="External"/><Relationship Id="rIddjbytgjhsgqdynke7wciq" Type="http://schemas.openxmlformats.org/officeDocument/2006/relationships/hyperlink" Target="https://www.mdpi.com/1424-8220/25/2/367" TargetMode="External"/><Relationship Id="rIdqjbkndklzhjeokuhv94oo" Type="http://schemas.openxmlformats.org/officeDocument/2006/relationships/hyperlink" Target="https://www.ncbi.nlm.nih.gov/pmc/articles/PMC9364332/" TargetMode="External"/><Relationship Id="rId1wzok0eoit75dn-wsdzkp" Type="http://schemas.openxmlformats.org/officeDocument/2006/relationships/hyperlink" Target="https://research.rug.nl/en/publications/effects-of-different-inertial-measurement-unit-sensor-to-segment-/" TargetMode="External"/><Relationship Id="rIdi6d1njuefh1uvjwwxwbga" Type="http://schemas.openxmlformats.org/officeDocument/2006/relationships/hyperlink" Target="https://www.tweaktown.com/news/69495/teslasuit-vr-gloves-go-perfectly-full-body-suit/index.html" TargetMode="External"/><Relationship Id="rIdcimhvblhcfb1h7a8r3yok" Type="http://schemas.openxmlformats.org/officeDocument/2006/relationships/hyperlink" Target="https://www.cgchannel.com/2021/04/xsens-cuts-price-of-its-entry-level-inertial-mocap-systems/" TargetMode="External"/><Relationship Id="rIdmxtgvsmnvph3ay7ex4dtr" Type="http://schemas.openxmlformats.org/officeDocument/2006/relationships/hyperlink" Target="https://ruralindiaonline.org/en/library/resource/fourth-all-india-handloom-census-2019-2020" TargetMode="External"/><Relationship Id="rIdi5xy4blhvxwrvu8w58oy4" Type="http://schemas.openxmlformats.org/officeDocument/2006/relationships/hyperlink" Target="https://rsdebate.nic.in/bitstream/123456789/719227/1/PQ_254_22072021_U441_p355_p355.pdf" TargetMode="External"/><Relationship Id="rIdwqbuwnij3ftoaij6j_mfg" Type="http://schemas.openxmlformats.org/officeDocument/2006/relationships/hyperlink" Target="https://textilescommittee.nic.in/sites/default/files/2021-07/Handloom_Weaving_Two_Treadles.pdf" TargetMode="External"/><Relationship Id="rIdmxwjbbmleq7g-xunbto8z" Type="http://schemas.openxmlformats.org/officeDocument/2006/relationships/hyperlink" Target="https://oalib-perpustakaan.upi.edu/Record/doaj_18bf152015c74b8aae5783c503ac2069" TargetMode="External"/><Relationship Id="rIdklbsr4znuossmvcezk4dk" Type="http://schemas.openxmlformats.org/officeDocument/2006/relationships/hyperlink" Target="https://global-sci.com/article/86550/automatic-inspection-of-woven-fabric-density-based-on-digital-image-analysis" TargetMode="External"/><Relationship Id="rIdh7odoye7x9ohi8w_0udrk" Type="http://schemas.openxmlformats.org/officeDocument/2006/relationships/hyperlink" Target="https://wepa.unima.org/en/?p=3094" TargetMode="External"/><Relationship Id="rIddkwed5hy4synpeikw3eqt" Type="http://schemas.openxmlformats.org/officeDocument/2006/relationships/hyperlink" Target="https://compass.rauias.com/art-culture/puppet-forms-india/" TargetMode="External"/><Relationship Id="rIdyqlcyuxsax05ufky_9dxs" Type="http://schemas.openxmlformats.org/officeDocument/2006/relationships/hyperlink" Target="https://ruralindiaonline.org/en/articles/delhis-kathputli-artists-puppeteers-in-limbo" TargetMode="External"/><Relationship Id="rIderyntv9zyuk38jfepqioi" Type="http://schemas.openxmlformats.org/officeDocument/2006/relationships/hyperlink" Target="https://www.isti.cnr.it/en/research/project-detail/14501/CRAEFT_Craft_Understanding_Education_Training_and_Preservation_for_Posterity_and_Prosperity" TargetMode="External"/><Relationship Id="rIdduc94gyyeg5yhzigemztq" Type="http://schemas.openxmlformats.org/officeDocument/2006/relationships/hyperlink" Target="https://waag.org/en/project/mingei" TargetMode="External"/><Relationship Id="rIdwagpem3joqecrrmywebpu" Type="http://schemas.openxmlformats.org/officeDocument/2006/relationships/hyperlink" Target="https://pmc.ncbi.nlm.nih.gov/articles/PMC5502906/" TargetMode="External"/><Relationship Id="rId7-5rzw1-zex67s0viqynv" Type="http://schemas.openxmlformats.org/officeDocument/2006/relationships/hyperlink" Target="https://cdn.sparkfun.com/assets/9/a/2/9/6/bst-bmi270-ds000.pdf" TargetMode="External"/><Relationship Id="rIdvbqunrausdermpwlhz_dq" Type="http://schemas.openxmlformats.org/officeDocument/2006/relationships/hyperlink" Target="https://ti.com/lit/gpn/drv2605l" TargetMode="External"/><Relationship Id="rIdbrobjc7jgcglixwhnce0x" Type="http://schemas.openxmlformats.org/officeDocument/2006/relationships/hyperlink" Target="https://www.ti.com/document-viewer/lit/html/SCPS207H/GUID-170D1E15-60B5-418E-AEF2-45D0CB1F14A2" TargetMode="External"/><Relationship Id="rIdpizrn1nsmi0ifs8kr4y95" Type="http://schemas.openxmlformats.org/officeDocument/2006/relationships/hyperlink" Target="https://www.espressif.com/sites/default/files/documentation/esp32-s3-mini-1_mini-1u_datasheet_en.pdf" TargetMode="External"/><Relationship Id="rIdgtyng_qadrbikfyhah0uy" Type="http://schemas.openxmlformats.org/officeDocument/2006/relationships/hyperlink" Target="https://documentation.espressif.com/esp32-s3_datasheet_en.html" TargetMode="External"/><Relationship Id="rIdsvujrze9m19bsatk3-gqe" Type="http://schemas.openxmlformats.org/officeDocument/2006/relationships/hyperlink" Target="https://docs.espressif.com/projects/esp-idf/en/latest/esp32s3/api-reference/peripherals/adc/adc_continuous.html" TargetMode="External"/><Relationship Id="rIdlhi0sw9db5kbht28vetkc" Type="http://schemas.openxmlformats.org/officeDocument/2006/relationships/hyperlink" Target="https://www.precisionmicrodrives.com/?p=12426" TargetMode="External"/><Relationship Id="rIdjqnkqizzxjwd_k-jo_iza" Type="http://schemas.openxmlformats.org/officeDocument/2006/relationships/hyperlink" Target="https://www.radiolocman.com/datasheet/data.html?di=430997" TargetMode="External"/><Relationship Id="rId-t6juj6twkikj9dyv1yjr" Type="http://schemas.openxmlformats.org/officeDocument/2006/relationships/hyperlink" Target="https://nz.element14.com/murata/7bb-27-4/piezo-diaphragm-4-6khz-27mm/dp/2443198" TargetMode="External"/><Relationship Id="rIdv9kemqny11eq5l0htofyu" Type="http://schemas.openxmlformats.org/officeDocument/2006/relationships/hyperlink" Target="https://www.nxp.com/docs/en/user-guide/UM10204.pdf" TargetMode="External"/><Relationship Id="rIdjho_ysrhist6egkvjlyfy" Type="http://schemas.openxmlformats.org/officeDocument/2006/relationships/hyperlink" Target="https://magenta.tensorflow.org/datasets/groove" TargetMode="External"/><Relationship Id="rIdudxsr5xqteah19gxgx_nb" Type="http://schemas.openxmlformats.org/officeDocument/2006/relationships/hyperlink" Target="https://www.yecl.org/project_uwave.html" TargetMode="External"/><Relationship Id="rId_f_6bcsxes7iq_1yuwx4s" Type="http://schemas.openxmlformats.org/officeDocument/2006/relationships/hyperlink" Target="https://darbukaplanet.com/products/banjira-standard-tabla-set-aluminum-bayan-and-5-50-dayan" TargetMode="External"/><Relationship Id="rIdj8kdc-c19o7fmnnscblpg" Type="http://schemas.openxmlformats.org/officeDocument/2006/relationships/hyperlink" Target="https://itokri.com/products/564547-30-rajasthani-men-handmade-puppet-kathputli" TargetMode="External"/><Relationship Id="rId11" Type="http://schemas.openxmlformats.org/officeDocument/2006/relationships/image" Target="media/1ec0c3e3fcf9e4e2ac31883dbd987c875ad5fa8e.png"/><Relationship Id="rId12" Type="http://schemas.openxmlformats.org/officeDocument/2006/relationships/image" Target="media/5ee0b379d0d0a9897ac65ad21c28df54c771dc68.png"/><Relationship Id="rId13" Type="http://schemas.openxmlformats.org/officeDocument/2006/relationships/image" Target="media/6e033df016599d60cd882572fd3f86ec782ae169.png"/><Relationship Id="rId14" Type="http://schemas.openxmlformats.org/officeDocument/2006/relationships/image" Target="media/95252906f124d10e3ea35519676fdba3a2e8d583.png"/><Relationship Id="rId15" Type="http://schemas.openxmlformats.org/officeDocument/2006/relationships/image" Target="media/90eee2fe03c51ef0aabd36bedd385f9fe8f647f7.png"/><Relationship Id="rId16" Type="http://schemas.openxmlformats.org/officeDocument/2006/relationships/image" Target="media/b4385e739d34fc2a56f751dec61ce88a94ae89a8.png"/><Relationship Id="rId17" Type="http://schemas.openxmlformats.org/officeDocument/2006/relationships/image" Target="media/c0875456ee06c8be6a8ff7d710b120a301741ed7.png"/><Relationship Id="rId18" Type="http://schemas.openxmlformats.org/officeDocument/2006/relationships/image" Target="media/5dfe309e97c72d6ce81aac06930014258a31a52e.png"/><Relationship Id="rId19" Type="http://schemas.openxmlformats.org/officeDocument/2006/relationships/image" Target="media/4a2ed3a64b75b75b431309871556c9ede5748af0.png"/><Relationship Id="rId20" Type="http://schemas.openxmlformats.org/officeDocument/2006/relationships/image" Target="media/747a3abab7f0993ef4e8730322893c8934163e5e.png"/><Relationship Id="rId21" Type="http://schemas.openxmlformats.org/officeDocument/2006/relationships/image" Target="media/897c2d17cd06b8cebee4b72a927b3dad960faf67.png"/><Relationship Id="rId9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PARAMPARA: Final Solution Document</dc:title>
  <dc:creator>Team PARAMPARA</dc:creator>
  <dc:description>Final solution document v5 (exact equipment, real-data test) for SIH 2026 PS 26214</dc:description>
  <cp:lastModifiedBy>Un-named</cp:lastModifiedBy>
  <cp:revision>1</cp:revision>
  <dcterms:created xsi:type="dcterms:W3CDTF">2026-10-04T21:51:21.523Z</dcterms:created>
  <dcterms:modified xsi:type="dcterms:W3CDTF">2026-10-04T21:51:21.523Z</dcterms:modified>
</cp:coreProperties>
</file>

<file path=docProps/custom.xml><?xml version="1.0" encoding="utf-8"?>
<Properties xmlns="http://schemas.openxmlformats.org/officeDocument/2006/custom-properties" xmlns:vt="http://schemas.openxmlformats.org/officeDocument/2006/docPropsVTypes"/>
</file>