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52"/>
        </w:rPr>
        <w:t>Predictive Churn Intelligence for Retail Banking</w:t>
      </w:r>
    </w:p>
    <w:p>
      <w:pPr>
        <w:jc w:val="center"/>
      </w:pPr>
      <w:r>
        <w:rPr>
          <w:i/>
          <w:sz w:val="28"/>
        </w:rPr>
        <w:t>Identifying and explaining customer attrition with machine learning</w:t>
      </w:r>
    </w:p>
    <w:p/>
    <w:p/>
    <w:p>
      <w:pPr>
        <w:jc w:val="center"/>
      </w:pPr>
      <w:r>
        <w:rPr>
          <w:b/>
          <w:sz w:val="28"/>
        </w:rPr>
        <w:t>Harsh Kamtam</w:t>
      </w:r>
    </w:p>
    <w:p>
      <w:pPr>
        <w:jc w:val="center"/>
      </w:pPr>
      <w:r>
        <w:rPr>
          <w:sz w:val="24"/>
        </w:rPr>
        <w:t>October 2026</w:t>
      </w:r>
    </w:p>
    <w:p>
      <w:pPr>
        <w:jc w:val="center"/>
      </w:pPr>
      <w:r>
        <w:rPr>
          <w:sz w:val="20"/>
        </w:rPr>
        <w:t>Live dashboard: https://bank-churn-data-model.streamlit.app</w:t>
      </w:r>
    </w:p>
    <w:p>
      <w:r>
        <w:br w:type="page"/>
      </w:r>
    </w:p>
    <w:p>
      <w:pPr>
        <w:pStyle w:val="Heading1"/>
      </w:pPr>
      <w:r>
        <w:t>Abstract</w:t>
      </w:r>
    </w:p>
    <w:p>
      <w:pPr>
        <w:jc w:val="both"/>
      </w:pPr>
      <w:r>
        <w:rPr>
          <w:b w:val="0"/>
          <w:i w:val="0"/>
        </w:rPr>
        <w:t>Customer churn is costly for retail banks, and retention is easier when at-risk customers are identified early. This study builds a system that predicts which customers are likely to leave a bank, gives each a churn probability, and explains the main drivers of that risk. Using records for 10,000 retail bank customers, of whom 20.4% left, we compare Logistic Regression, Decision Tree, Random Forest, Gradient Boosting and XGBoost inside a leakage-free preprocessing pipeline. A tuned XGBoost model performed best (test ROC-AUC 0.871; cross-validated 0.864). With a decision threshold of 0.29 chosen from the precision-recall curve, it identifies 67.6% of churners at 60.7% precision. SHAP and partial dependence analysis show that age, the number of products held, activity status and country are the strongest drivers: customers aged 45-60 churn about five times as often as those under 40, and customers holding three or four products churn at 83-100%. We turn these findings into five retention actions, examine fairness across gender and country, and deploy the model as an interactive dashboard. The data is a single practice dataset, and the results show association, not causation.</w:t>
      </w:r>
    </w:p>
    <w:p>
      <w:r>
        <w:rPr>
          <w:b/>
          <w:i w:val="0"/>
        </w:rPr>
        <w:t>Keywords:</w:t>
      </w:r>
      <w:r>
        <w:rPr>
          <w:b w:val="0"/>
          <w:i w:val="0"/>
        </w:rPr>
        <w:t xml:space="preserve"> customer churn, retail banking, XGBoost, SHAP, explainable machine learning, retention</w:t>
      </w:r>
    </w:p>
    <w:p>
      <w:pPr>
        <w:pStyle w:val="Heading1"/>
      </w:pPr>
      <w:r>
        <w:t>1. Introduction and business context</w:t>
      </w:r>
    </w:p>
    <w:p>
      <w:pPr>
        <w:jc w:val="both"/>
      </w:pPr>
      <w:r>
        <w:rPr>
          <w:b w:val="0"/>
          <w:i w:val="0"/>
        </w:rPr>
        <w:t>Customer churn, the loss of customers who stop using a bank's services, is a persistent problem in retail banking. Retaining an existing customer is generally cheaper than winning a new one, so a bank that can see who is likely to leave, and why, can act earlier and spend its retention effort where it matters most.</w:t>
      </w:r>
    </w:p>
    <w:p>
      <w:pPr>
        <w:spacing w:after="40"/>
        <w:jc w:val="both"/>
      </w:pPr>
      <w:r>
        <w:rPr>
          <w:b w:val="0"/>
          <w:i w:val="0"/>
        </w:rPr>
        <w:t>This project builds an end-to-end churn intelligence system with four aims:</w:t>
      </w:r>
    </w:p>
    <w:p>
      <w:pPr>
        <w:pStyle w:val="ListBullet"/>
        <w:spacing w:after="40"/>
      </w:pPr>
      <w:r>
        <w:rPr>
          <w:b w:val="0"/>
          <w:i w:val="0"/>
        </w:rPr>
        <w:t>predict which customers are likely to leave and give each a churn probability;</w:t>
      </w:r>
    </w:p>
    <w:p>
      <w:pPr>
        <w:pStyle w:val="ListBullet"/>
        <w:spacing w:after="40"/>
      </w:pPr>
      <w:r>
        <w:rPr>
          <w:b w:val="0"/>
          <w:i w:val="0"/>
        </w:rPr>
        <w:t>explain the main drivers of churn in plain language, which also supports the transparency that banks are generally expected to provide for model-driven decisions;</w:t>
      </w:r>
    </w:p>
    <w:p>
      <w:pPr>
        <w:pStyle w:val="ListBullet"/>
        <w:spacing w:after="40"/>
      </w:pPr>
      <w:r>
        <w:rPr>
          <w:b w:val="0"/>
          <w:i w:val="0"/>
        </w:rPr>
        <w:t>turn the findings into targeted retention actions; and</w:t>
      </w:r>
    </w:p>
    <w:p>
      <w:pPr>
        <w:pStyle w:val="ListBullet"/>
        <w:spacing w:after="40"/>
      </w:pPr>
      <w:r>
        <w:rPr>
          <w:b w:val="0"/>
          <w:i w:val="0"/>
        </w:rPr>
        <w:t>make the model usable through an interactive dashboard.</w:t>
      </w:r>
    </w:p>
    <w:p>
      <w:pPr>
        <w:jc w:val="both"/>
      </w:pPr>
      <w:r>
        <w:rPr>
          <w:b w:val="0"/>
          <w:i w:val="0"/>
        </w:rPr>
        <w:t>Section 2 describes the data and Section 3 explores it. Section 4 sets out the methodology and Section 5 the model results. Section 6 explains the final model, Section 7 gives recommendations, and Sections 8 and 9 cover responsible use and limitations. Section 10 concludes.</w:t>
      </w:r>
    </w:p>
    <w:p>
      <w:pPr>
        <w:pStyle w:val="Heading1"/>
      </w:pPr>
      <w:r>
        <w:t>2. Data</w:t>
      </w:r>
    </w:p>
    <w:p>
      <w:pPr>
        <w:jc w:val="both"/>
      </w:pPr>
      <w:r>
        <w:rPr>
          <w:b w:val="0"/>
          <w:i w:val="0"/>
        </w:rPr>
        <w:t xml:space="preserve">The data file, European_Bank.csv, was downloaded from the project portal of Unified Mentor Private Limited. It holds records for 10,000 retail bank customers in three countries (France, Germany and Spain) with 14 columns. The target, </w:t>
      </w:r>
      <w:r>
        <w:rPr>
          <w:b/>
          <w:i w:val="0"/>
        </w:rPr>
        <w:t>Exited</w:t>
      </w:r>
      <w:r>
        <w:rPr>
          <w:b w:val="0"/>
          <w:i w:val="0"/>
        </w:rPr>
        <w:t>, is 1 if the customer left the bank and 0 if the customer stayed.</w:t>
      </w:r>
    </w:p>
    <w:p>
      <w:pPr>
        <w:jc w:val="both"/>
      </w:pPr>
      <w:r>
        <w:rPr>
          <w:b/>
          <w:i w:val="0"/>
        </w:rPr>
        <w:t>Cleaning.</w:t>
      </w:r>
      <w:r>
        <w:rPr>
          <w:b w:val="0"/>
          <w:i w:val="0"/>
        </w:rPr>
        <w:t xml:space="preserve"> Two identifier columns (CustomerId and Surname) carry no predictive value and were dropped. A Year column held the value 2025 for every row, so it carries no information and was also dropped. There were no missing values and no duplicate rows. The final dataset has 10 predictors and the target (Table 1).</w:t>
      </w:r>
    </w:p>
    <w:p>
      <w:pPr>
        <w:keepNext/>
        <w:spacing w:after="60"/>
      </w:pPr>
      <w:r>
        <w:rPr>
          <w:b/>
          <w:i w:val="0"/>
          <w:sz w:val="19"/>
        </w:rPr>
        <w:t>Table 1.</w:t>
      </w:r>
      <w:r>
        <w:rPr>
          <w:b w:val="0"/>
          <w:i w:val="0"/>
          <w:sz w:val="19"/>
        </w:rPr>
        <w:t xml:space="preserve"> Data dictionary (variables used in modelling).</w:t>
      </w:r>
    </w:p>
    <w:tbl>
      <w:tblPr>
        <w:tblStyle w:val="TableGrid"/>
        <w:tblW w:type="auto" w:w="0"/>
        <w:jc w:val="center"/>
        <w:tblLayout w:type="fixed"/>
        <w:tblLook w:firstColumn="1" w:firstRow="1" w:lastColumn="0" w:lastRow="0" w:noHBand="0" w:noVBand="1" w:val="04A0"/>
      </w:tblPr>
      <w:tblGrid>
        <w:gridCol w:w="2088"/>
        <w:gridCol w:w="1152"/>
        <w:gridCol w:w="5616"/>
      </w:tblGrid>
      <w:tr>
        <w:tc>
          <w:tcPr>
            <w:tcW w:type="dxa" w:w="2088"/>
            <w:shd w:val="clear" w:color="auto" w:fill="1F3A5F"/>
          </w:tcPr>
          <w:p>
            <w:pPr>
              <w:keepNext/>
              <w:spacing w:after="20" w:before="20" w:line="240" w:lineRule="auto"/>
              <w:jc w:val="center"/>
            </w:pPr>
            <w:r>
              <w:rPr>
                <w:b/>
                <w:color w:val="FFFFFF"/>
                <w:sz w:val="18"/>
              </w:rPr>
              <w:t>Variable</w:t>
            </w:r>
          </w:p>
        </w:tc>
        <w:tc>
          <w:tcPr>
            <w:tcW w:type="dxa" w:w="1152"/>
            <w:shd w:val="clear" w:color="auto" w:fill="1F3A5F"/>
          </w:tcPr>
          <w:p>
            <w:pPr>
              <w:keepNext/>
              <w:spacing w:after="20" w:before="20" w:line="240" w:lineRule="auto"/>
              <w:jc w:val="center"/>
            </w:pPr>
            <w:r>
              <w:rPr>
                <w:b/>
                <w:color w:val="FFFFFF"/>
                <w:sz w:val="18"/>
              </w:rPr>
              <w:t>Type</w:t>
            </w:r>
          </w:p>
        </w:tc>
        <w:tc>
          <w:tcPr>
            <w:tcW w:type="dxa" w:w="5616"/>
            <w:shd w:val="clear" w:color="auto" w:fill="1F3A5F"/>
          </w:tcPr>
          <w:p>
            <w:pPr>
              <w:keepNext/>
              <w:spacing w:after="20" w:before="20" w:line="240" w:lineRule="auto"/>
              <w:jc w:val="center"/>
            </w:pPr>
            <w:r>
              <w:rPr>
                <w:b/>
                <w:color w:val="FFFFFF"/>
                <w:sz w:val="18"/>
              </w:rPr>
              <w:t>Meaning</w:t>
            </w:r>
          </w:p>
        </w:tc>
      </w:tr>
      <w:tr>
        <w:tc>
          <w:tcPr>
            <w:tcW w:type="dxa" w:w="2088"/>
          </w:tcPr>
          <w:p>
            <w:pPr>
              <w:keepNext/>
              <w:spacing w:after="20" w:before="20" w:line="240" w:lineRule="auto"/>
              <w:jc w:val="left"/>
            </w:pPr>
            <w:r>
              <w:rPr>
                <w:sz w:val="18"/>
              </w:rPr>
              <w:t>CreditScore</w:t>
            </w:r>
          </w:p>
        </w:tc>
        <w:tc>
          <w:tcPr>
            <w:tcW w:type="dxa" w:w="1152"/>
          </w:tcPr>
          <w:p>
            <w:pPr>
              <w:keepNext/>
              <w:spacing w:after="20" w:before="20" w:line="240" w:lineRule="auto"/>
              <w:jc w:val="left"/>
            </w:pPr>
            <w:r>
              <w:rPr>
                <w:sz w:val="18"/>
              </w:rPr>
              <w:t>Number</w:t>
            </w:r>
          </w:p>
        </w:tc>
        <w:tc>
          <w:tcPr>
            <w:tcW w:type="dxa" w:w="5616"/>
          </w:tcPr>
          <w:p>
            <w:pPr>
              <w:keepNext/>
              <w:spacing w:after="20" w:before="20" w:line="240" w:lineRule="auto"/>
              <w:jc w:val="left"/>
            </w:pPr>
            <w:r>
              <w:rPr>
                <w:sz w:val="18"/>
              </w:rPr>
              <w:t>Customer's credit score; higher means more creditworthy</w:t>
            </w:r>
          </w:p>
        </w:tc>
      </w:tr>
      <w:tr>
        <w:tc>
          <w:tcPr>
            <w:tcW w:type="dxa" w:w="2088"/>
            <w:shd w:val="clear" w:color="auto" w:fill="EEF2F7"/>
          </w:tcPr>
          <w:p>
            <w:pPr>
              <w:keepNext/>
              <w:spacing w:after="20" w:before="20" w:line="240" w:lineRule="auto"/>
              <w:jc w:val="left"/>
            </w:pPr>
            <w:r>
              <w:rPr>
                <w:sz w:val="18"/>
              </w:rPr>
              <w:t>Geography</w:t>
            </w:r>
          </w:p>
        </w:tc>
        <w:tc>
          <w:tcPr>
            <w:tcW w:type="dxa" w:w="1152"/>
            <w:shd w:val="clear" w:color="auto" w:fill="EEF2F7"/>
          </w:tcPr>
          <w:p>
            <w:pPr>
              <w:keepNext/>
              <w:spacing w:after="20" w:before="20" w:line="240" w:lineRule="auto"/>
              <w:jc w:val="left"/>
            </w:pPr>
            <w:r>
              <w:rPr>
                <w:sz w:val="18"/>
              </w:rPr>
              <w:t>Category</w:t>
            </w:r>
          </w:p>
        </w:tc>
        <w:tc>
          <w:tcPr>
            <w:tcW w:type="dxa" w:w="5616"/>
            <w:shd w:val="clear" w:color="auto" w:fill="EEF2F7"/>
          </w:tcPr>
          <w:p>
            <w:pPr>
              <w:keepNext/>
              <w:spacing w:after="20" w:before="20" w:line="240" w:lineRule="auto"/>
              <w:jc w:val="left"/>
            </w:pPr>
            <w:r>
              <w:rPr>
                <w:sz w:val="18"/>
              </w:rPr>
              <w:t>Country of residence (France, Germany, Spain)</w:t>
            </w:r>
          </w:p>
        </w:tc>
      </w:tr>
      <w:tr>
        <w:tc>
          <w:tcPr>
            <w:tcW w:type="dxa" w:w="2088"/>
          </w:tcPr>
          <w:p>
            <w:pPr>
              <w:keepNext/>
              <w:spacing w:after="20" w:before="20" w:line="240" w:lineRule="auto"/>
              <w:jc w:val="left"/>
            </w:pPr>
            <w:r>
              <w:rPr>
                <w:sz w:val="18"/>
              </w:rPr>
              <w:t>Gender</w:t>
            </w:r>
          </w:p>
        </w:tc>
        <w:tc>
          <w:tcPr>
            <w:tcW w:type="dxa" w:w="1152"/>
          </w:tcPr>
          <w:p>
            <w:pPr>
              <w:keepNext/>
              <w:spacing w:after="20" w:before="20" w:line="240" w:lineRule="auto"/>
              <w:jc w:val="left"/>
            </w:pPr>
            <w:r>
              <w:rPr>
                <w:sz w:val="18"/>
              </w:rPr>
              <w:t>Category</w:t>
            </w:r>
          </w:p>
        </w:tc>
        <w:tc>
          <w:tcPr>
            <w:tcW w:type="dxa" w:w="5616"/>
          </w:tcPr>
          <w:p>
            <w:pPr>
              <w:keepNext/>
              <w:spacing w:after="20" w:before="20" w:line="240" w:lineRule="auto"/>
              <w:jc w:val="left"/>
            </w:pPr>
            <w:r>
              <w:rPr>
                <w:sz w:val="18"/>
              </w:rPr>
              <w:t>Female or Male</w:t>
            </w:r>
          </w:p>
        </w:tc>
      </w:tr>
      <w:tr>
        <w:tc>
          <w:tcPr>
            <w:tcW w:type="dxa" w:w="2088"/>
            <w:shd w:val="clear" w:color="auto" w:fill="EEF2F7"/>
          </w:tcPr>
          <w:p>
            <w:pPr>
              <w:keepNext/>
              <w:spacing w:after="20" w:before="20" w:line="240" w:lineRule="auto"/>
              <w:jc w:val="left"/>
            </w:pPr>
            <w:r>
              <w:rPr>
                <w:sz w:val="18"/>
              </w:rPr>
              <w:t>Age</w:t>
            </w:r>
          </w:p>
        </w:tc>
        <w:tc>
          <w:tcPr>
            <w:tcW w:type="dxa" w:w="1152"/>
            <w:shd w:val="clear" w:color="auto" w:fill="EEF2F7"/>
          </w:tcPr>
          <w:p>
            <w:pPr>
              <w:keepNext/>
              <w:spacing w:after="20" w:before="20" w:line="240" w:lineRule="auto"/>
              <w:jc w:val="left"/>
            </w:pPr>
            <w:r>
              <w:rPr>
                <w:sz w:val="18"/>
              </w:rPr>
              <w:t>Number</w:t>
            </w:r>
          </w:p>
        </w:tc>
        <w:tc>
          <w:tcPr>
            <w:tcW w:type="dxa" w:w="5616"/>
            <w:shd w:val="clear" w:color="auto" w:fill="EEF2F7"/>
          </w:tcPr>
          <w:p>
            <w:pPr>
              <w:keepNext/>
              <w:spacing w:after="20" w:before="20" w:line="240" w:lineRule="auto"/>
              <w:jc w:val="left"/>
            </w:pPr>
            <w:r>
              <w:rPr>
                <w:sz w:val="18"/>
              </w:rPr>
              <w:t>Age in years</w:t>
            </w:r>
          </w:p>
        </w:tc>
      </w:tr>
      <w:tr>
        <w:tc>
          <w:tcPr>
            <w:tcW w:type="dxa" w:w="2088"/>
          </w:tcPr>
          <w:p>
            <w:pPr>
              <w:keepNext/>
              <w:spacing w:after="20" w:before="20" w:line="240" w:lineRule="auto"/>
              <w:jc w:val="left"/>
            </w:pPr>
            <w:r>
              <w:rPr>
                <w:sz w:val="18"/>
              </w:rPr>
              <w:t>Tenure</w:t>
            </w:r>
          </w:p>
        </w:tc>
        <w:tc>
          <w:tcPr>
            <w:tcW w:type="dxa" w:w="1152"/>
          </w:tcPr>
          <w:p>
            <w:pPr>
              <w:keepNext/>
              <w:spacing w:after="20" w:before="20" w:line="240" w:lineRule="auto"/>
              <w:jc w:val="left"/>
            </w:pPr>
            <w:r>
              <w:rPr>
                <w:sz w:val="18"/>
              </w:rPr>
              <w:t>Number</w:t>
            </w:r>
          </w:p>
        </w:tc>
        <w:tc>
          <w:tcPr>
            <w:tcW w:type="dxa" w:w="5616"/>
          </w:tcPr>
          <w:p>
            <w:pPr>
              <w:keepNext/>
              <w:spacing w:after="20" w:before="20" w:line="240" w:lineRule="auto"/>
              <w:jc w:val="left"/>
            </w:pPr>
            <w:r>
              <w:rPr>
                <w:sz w:val="18"/>
              </w:rPr>
              <w:t>Years the customer has been with the bank</w:t>
            </w:r>
          </w:p>
        </w:tc>
      </w:tr>
      <w:tr>
        <w:tc>
          <w:tcPr>
            <w:tcW w:type="dxa" w:w="2088"/>
            <w:shd w:val="clear" w:color="auto" w:fill="EEF2F7"/>
          </w:tcPr>
          <w:p>
            <w:pPr>
              <w:keepNext/>
              <w:spacing w:after="20" w:before="20" w:line="240" w:lineRule="auto"/>
              <w:jc w:val="left"/>
            </w:pPr>
            <w:r>
              <w:rPr>
                <w:sz w:val="18"/>
              </w:rPr>
              <w:t>Balance</w:t>
            </w:r>
          </w:p>
        </w:tc>
        <w:tc>
          <w:tcPr>
            <w:tcW w:type="dxa" w:w="1152"/>
            <w:shd w:val="clear" w:color="auto" w:fill="EEF2F7"/>
          </w:tcPr>
          <w:p>
            <w:pPr>
              <w:keepNext/>
              <w:spacing w:after="20" w:before="20" w:line="240" w:lineRule="auto"/>
              <w:jc w:val="left"/>
            </w:pPr>
            <w:r>
              <w:rPr>
                <w:sz w:val="18"/>
              </w:rPr>
              <w:t>Number</w:t>
            </w:r>
          </w:p>
        </w:tc>
        <w:tc>
          <w:tcPr>
            <w:tcW w:type="dxa" w:w="5616"/>
            <w:shd w:val="clear" w:color="auto" w:fill="EEF2F7"/>
          </w:tcPr>
          <w:p>
            <w:pPr>
              <w:keepNext/>
              <w:spacing w:after="20" w:before="20" w:line="240" w:lineRule="auto"/>
              <w:jc w:val="left"/>
            </w:pPr>
            <w:r>
              <w:rPr>
                <w:sz w:val="18"/>
              </w:rPr>
              <w:t>Money held in the account</w:t>
            </w:r>
          </w:p>
        </w:tc>
      </w:tr>
      <w:tr>
        <w:tc>
          <w:tcPr>
            <w:tcW w:type="dxa" w:w="2088"/>
          </w:tcPr>
          <w:p>
            <w:pPr>
              <w:keepNext/>
              <w:spacing w:after="20" w:before="20" w:line="240" w:lineRule="auto"/>
              <w:jc w:val="left"/>
            </w:pPr>
            <w:r>
              <w:rPr>
                <w:sz w:val="18"/>
              </w:rPr>
              <w:t>NumOfProducts</w:t>
            </w:r>
          </w:p>
        </w:tc>
        <w:tc>
          <w:tcPr>
            <w:tcW w:type="dxa" w:w="1152"/>
          </w:tcPr>
          <w:p>
            <w:pPr>
              <w:keepNext/>
              <w:spacing w:after="20" w:before="20" w:line="240" w:lineRule="auto"/>
              <w:jc w:val="left"/>
            </w:pPr>
            <w:r>
              <w:rPr>
                <w:sz w:val="18"/>
              </w:rPr>
              <w:t>Number</w:t>
            </w:r>
          </w:p>
        </w:tc>
        <w:tc>
          <w:tcPr>
            <w:tcW w:type="dxa" w:w="5616"/>
          </w:tcPr>
          <w:p>
            <w:pPr>
              <w:keepNext/>
              <w:spacing w:after="20" w:before="20" w:line="240" w:lineRule="auto"/>
              <w:jc w:val="left"/>
            </w:pPr>
            <w:r>
              <w:rPr>
                <w:sz w:val="18"/>
              </w:rPr>
              <w:t>Number of bank products held (accounts, cards, loans)</w:t>
            </w:r>
          </w:p>
        </w:tc>
      </w:tr>
      <w:tr>
        <w:tc>
          <w:tcPr>
            <w:tcW w:type="dxa" w:w="2088"/>
            <w:shd w:val="clear" w:color="auto" w:fill="EEF2F7"/>
          </w:tcPr>
          <w:p>
            <w:pPr>
              <w:keepNext/>
              <w:spacing w:after="20" w:before="20" w:line="240" w:lineRule="auto"/>
              <w:jc w:val="left"/>
            </w:pPr>
            <w:r>
              <w:rPr>
                <w:sz w:val="18"/>
              </w:rPr>
              <w:t>HasCrCard</w:t>
            </w:r>
          </w:p>
        </w:tc>
        <w:tc>
          <w:tcPr>
            <w:tcW w:type="dxa" w:w="1152"/>
            <w:shd w:val="clear" w:color="auto" w:fill="EEF2F7"/>
          </w:tcPr>
          <w:p>
            <w:pPr>
              <w:keepNext/>
              <w:spacing w:after="20" w:before="20" w:line="240" w:lineRule="auto"/>
              <w:jc w:val="left"/>
            </w:pPr>
            <w:r>
              <w:rPr>
                <w:sz w:val="18"/>
              </w:rPr>
              <w:t>0/1</w:t>
            </w:r>
          </w:p>
        </w:tc>
        <w:tc>
          <w:tcPr>
            <w:tcW w:type="dxa" w:w="5616"/>
            <w:shd w:val="clear" w:color="auto" w:fill="EEF2F7"/>
          </w:tcPr>
          <w:p>
            <w:pPr>
              <w:keepNext/>
              <w:spacing w:after="20" w:before="20" w:line="240" w:lineRule="auto"/>
              <w:jc w:val="left"/>
            </w:pPr>
            <w:r>
              <w:rPr>
                <w:sz w:val="18"/>
              </w:rPr>
              <w:t>1 if the customer has a credit card</w:t>
            </w:r>
          </w:p>
        </w:tc>
      </w:tr>
      <w:tr>
        <w:tc>
          <w:tcPr>
            <w:tcW w:type="dxa" w:w="2088"/>
          </w:tcPr>
          <w:p>
            <w:pPr>
              <w:keepNext/>
              <w:spacing w:after="20" w:before="20" w:line="240" w:lineRule="auto"/>
              <w:jc w:val="left"/>
            </w:pPr>
            <w:r>
              <w:rPr>
                <w:sz w:val="18"/>
              </w:rPr>
              <w:t>IsActiveMember</w:t>
            </w:r>
          </w:p>
        </w:tc>
        <w:tc>
          <w:tcPr>
            <w:tcW w:type="dxa" w:w="1152"/>
          </w:tcPr>
          <w:p>
            <w:pPr>
              <w:keepNext/>
              <w:spacing w:after="20" w:before="20" w:line="240" w:lineRule="auto"/>
              <w:jc w:val="left"/>
            </w:pPr>
            <w:r>
              <w:rPr>
                <w:sz w:val="18"/>
              </w:rPr>
              <w:t>0/1</w:t>
            </w:r>
          </w:p>
        </w:tc>
        <w:tc>
          <w:tcPr>
            <w:tcW w:type="dxa" w:w="5616"/>
          </w:tcPr>
          <w:p>
            <w:pPr>
              <w:keepNext/>
              <w:spacing w:after="20" w:before="20" w:line="240" w:lineRule="auto"/>
              <w:jc w:val="left"/>
            </w:pPr>
            <w:r>
              <w:rPr>
                <w:sz w:val="18"/>
              </w:rPr>
              <w:t>1 if the customer actively uses the bank</w:t>
            </w:r>
          </w:p>
        </w:tc>
      </w:tr>
      <w:tr>
        <w:tc>
          <w:tcPr>
            <w:tcW w:type="dxa" w:w="2088"/>
            <w:shd w:val="clear" w:color="auto" w:fill="EEF2F7"/>
          </w:tcPr>
          <w:p>
            <w:pPr>
              <w:keepNext/>
              <w:spacing w:after="20" w:before="20" w:line="240" w:lineRule="auto"/>
              <w:jc w:val="left"/>
            </w:pPr>
            <w:r>
              <w:rPr>
                <w:sz w:val="18"/>
              </w:rPr>
              <w:t>EstimatedSalary</w:t>
            </w:r>
          </w:p>
        </w:tc>
        <w:tc>
          <w:tcPr>
            <w:tcW w:type="dxa" w:w="1152"/>
            <w:shd w:val="clear" w:color="auto" w:fill="EEF2F7"/>
          </w:tcPr>
          <w:p>
            <w:pPr>
              <w:keepNext/>
              <w:spacing w:after="20" w:before="20" w:line="240" w:lineRule="auto"/>
              <w:jc w:val="left"/>
            </w:pPr>
            <w:r>
              <w:rPr>
                <w:sz w:val="18"/>
              </w:rPr>
              <w:t>Number</w:t>
            </w:r>
          </w:p>
        </w:tc>
        <w:tc>
          <w:tcPr>
            <w:tcW w:type="dxa" w:w="5616"/>
            <w:shd w:val="clear" w:color="auto" w:fill="EEF2F7"/>
          </w:tcPr>
          <w:p>
            <w:pPr>
              <w:keepNext/>
              <w:spacing w:after="20" w:before="20" w:line="240" w:lineRule="auto"/>
              <w:jc w:val="left"/>
            </w:pPr>
            <w:r>
              <w:rPr>
                <w:sz w:val="18"/>
              </w:rPr>
              <w:t>Estimated yearly income</w:t>
            </w:r>
          </w:p>
        </w:tc>
      </w:tr>
      <w:tr>
        <w:tc>
          <w:tcPr>
            <w:tcW w:type="dxa" w:w="2088"/>
          </w:tcPr>
          <w:p>
            <w:pPr>
              <w:spacing w:after="20" w:before="20" w:line="240" w:lineRule="auto"/>
              <w:jc w:val="left"/>
            </w:pPr>
            <w:r>
              <w:rPr>
                <w:sz w:val="18"/>
              </w:rPr>
              <w:t>Exited (target)</w:t>
            </w:r>
          </w:p>
        </w:tc>
        <w:tc>
          <w:tcPr>
            <w:tcW w:type="dxa" w:w="1152"/>
          </w:tcPr>
          <w:p>
            <w:pPr>
              <w:spacing w:after="20" w:before="20" w:line="240" w:lineRule="auto"/>
              <w:jc w:val="left"/>
            </w:pPr>
            <w:r>
              <w:rPr>
                <w:sz w:val="18"/>
              </w:rPr>
              <w:t>0/1</w:t>
            </w:r>
          </w:p>
        </w:tc>
        <w:tc>
          <w:tcPr>
            <w:tcW w:type="dxa" w:w="5616"/>
          </w:tcPr>
          <w:p>
            <w:pPr>
              <w:spacing w:after="20" w:before="20" w:line="240" w:lineRule="auto"/>
              <w:jc w:val="left"/>
            </w:pPr>
            <w:r>
              <w:rPr>
                <w:sz w:val="18"/>
              </w:rPr>
              <w:t>1 if the customer left the bank, 0 if the customer stayed</w:t>
            </w:r>
          </w:p>
        </w:tc>
      </w:tr>
    </w:tbl>
    <w:p>
      <w:pPr>
        <w:spacing w:after="40"/>
      </w:pPr>
    </w:p>
    <w:p>
      <w:pPr>
        <w:jc w:val="both"/>
      </w:pPr>
      <w:r>
        <w:rPr>
          <w:b/>
          <w:i w:val="0"/>
        </w:rPr>
        <w:t>Class balance.</w:t>
      </w:r>
      <w:r>
        <w:rPr>
          <w:b w:val="0"/>
          <w:i w:val="0"/>
        </w:rPr>
        <w:t xml:space="preserve"> 2,037 of the 10,000 customers left, a churn rate of 20.4% (Figure 1). Because only about one customer in five churns, a model that predicted that nobody leaves would already be right about 80% of the time. Accuracy alone is therefore a poor measure of quality, and models in this study are judged on precision, recall, F1 and ROC-AUC.</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3108960" cy="2331720"/>
                  <wp:docPr id="1" name="Picture 1"/>
                  <wp:cNvGraphicFramePr>
                    <a:graphicFrameLocks noChangeAspect="1"/>
                  </wp:cNvGraphicFramePr>
                  <a:graphic>
                    <a:graphicData uri="http://schemas.openxmlformats.org/drawingml/2006/picture">
                      <pic:pic>
                        <pic:nvPicPr>
                          <pic:cNvPr id="0" name="01_churn_rate.png"/>
                          <pic:cNvPicPr/>
                        </pic:nvPicPr>
                        <pic:blipFill>
                          <a:blip r:embed="rId10"/>
                          <a:stretch>
                            <a:fillRect/>
                          </a:stretch>
                        </pic:blipFill>
                        <pic:spPr>
                          <a:xfrm>
                            <a:off x="0" y="0"/>
                            <a:ext cx="3108960" cy="2331720"/>
                          </a:xfrm>
                          <a:prstGeom prst="rect"/>
                        </pic:spPr>
                      </pic:pic>
                    </a:graphicData>
                  </a:graphic>
                </wp:inline>
              </w:drawing>
            </w:r>
          </w:p>
        </w:tc>
      </w:tr>
    </w:tbl>
    <w:p>
      <w:pPr>
        <w:spacing w:after="160"/>
        <w:jc w:val="center"/>
      </w:pPr>
      <w:r>
        <w:rPr>
          <w:b/>
          <w:i w:val="0"/>
          <w:sz w:val="19"/>
        </w:rPr>
        <w:t>Figure 1.</w:t>
      </w:r>
      <w:r>
        <w:rPr>
          <w:b w:val="0"/>
          <w:i w:val="0"/>
          <w:sz w:val="19"/>
        </w:rPr>
        <w:t xml:space="preserve"> Customers who stayed and left (churn rate 20.4%).</w:t>
      </w:r>
    </w:p>
    <w:p>
      <w:pPr>
        <w:pStyle w:val="Heading1"/>
      </w:pPr>
      <w:r>
        <w:t>3. Exploratory data analysis</w:t>
      </w:r>
    </w:p>
    <w:p>
      <w:pPr>
        <w:jc w:val="both"/>
      </w:pPr>
      <w:r>
        <w:rPr>
          <w:b w:val="0"/>
          <w:i w:val="0"/>
        </w:rPr>
        <w:t>This section shows who churns. Each chart reports the churn rate, the share of customers in a group who left.</w:t>
      </w:r>
    </w:p>
    <w:p>
      <w:pPr>
        <w:pStyle w:val="Heading2"/>
      </w:pPr>
      <w:r>
        <w:t>3.1 Country and gender</w:t>
      </w:r>
    </w:p>
    <w:p>
      <w:pPr>
        <w:jc w:val="both"/>
      </w:pPr>
      <w:r>
        <w:rPr>
          <w:b w:val="0"/>
          <w:i w:val="0"/>
        </w:rPr>
        <w:t>Customers in Germany churn at 32.4%, about twice the rate in France (16.2%) and Spain (16.7%). Women churn more than men (25.1% against 16.5%) (Figure 2).</w:t>
      </w:r>
    </w:p>
    <w:tbl>
      <w:tblPr>
        <w:tblW w:type="auto" w:w="0"/>
        <w:jc w:val="center"/>
        <w:tblLook w:firstColumn="1" w:firstRow="1" w:lastColumn="0" w:lastRow="0" w:noHBand="0" w:noVBand="1" w:val="04A0"/>
      </w:tblPr>
      <w:tblGrid>
        <w:gridCol w:w="4513"/>
        <w:gridCol w:w="4513"/>
      </w:tblGrid>
      <w:tr>
        <w:tc>
          <w:tcPr>
            <w:tcW w:type="dxa" w:w="4513"/>
          </w:tcPr>
          <w:p>
            <w:pPr>
              <w:spacing w:after="0"/>
              <w:jc w:val="center"/>
            </w:pPr>
            <w:r>
              <w:drawing>
                <wp:inline xmlns:a="http://schemas.openxmlformats.org/drawingml/2006/main" xmlns:pic="http://schemas.openxmlformats.org/drawingml/2006/picture">
                  <wp:extent cx="2788920" cy="1716258"/>
                  <wp:docPr id="2" name="Picture 2"/>
                  <wp:cNvGraphicFramePr>
                    <a:graphicFrameLocks noChangeAspect="1"/>
                  </wp:cNvGraphicFramePr>
                  <a:graphic>
                    <a:graphicData uri="http://schemas.openxmlformats.org/drawingml/2006/picture">
                      <pic:pic>
                        <pic:nvPicPr>
                          <pic:cNvPr id="0" name="02_churn_by_Geography.png"/>
                          <pic:cNvPicPr/>
                        </pic:nvPicPr>
                        <pic:blipFill>
                          <a:blip r:embed="rId11"/>
                          <a:stretch>
                            <a:fillRect/>
                          </a:stretch>
                        </pic:blipFill>
                        <pic:spPr>
                          <a:xfrm>
                            <a:off x="0" y="0"/>
                            <a:ext cx="2788920" cy="1716258"/>
                          </a:xfrm>
                          <a:prstGeom prst="rect"/>
                        </pic:spPr>
                      </pic:pic>
                    </a:graphicData>
                  </a:graphic>
                </wp:inline>
              </w:drawing>
            </w:r>
          </w:p>
        </w:tc>
        <w:tc>
          <w:tcPr>
            <w:tcW w:type="dxa" w:w="4513"/>
          </w:tcPr>
          <w:p>
            <w:pPr>
              <w:spacing w:after="0"/>
              <w:jc w:val="center"/>
            </w:pPr>
            <w:r>
              <w:drawing>
                <wp:inline xmlns:a="http://schemas.openxmlformats.org/drawingml/2006/main" xmlns:pic="http://schemas.openxmlformats.org/drawingml/2006/picture">
                  <wp:extent cx="2788920" cy="1716258"/>
                  <wp:docPr id="3" name="Picture 3"/>
                  <wp:cNvGraphicFramePr>
                    <a:graphicFrameLocks noChangeAspect="1"/>
                  </wp:cNvGraphicFramePr>
                  <a:graphic>
                    <a:graphicData uri="http://schemas.openxmlformats.org/drawingml/2006/picture">
                      <pic:pic>
                        <pic:nvPicPr>
                          <pic:cNvPr id="0" name="03_churn_by_Gender.png"/>
                          <pic:cNvPicPr/>
                        </pic:nvPicPr>
                        <pic:blipFill>
                          <a:blip r:embed="rId12"/>
                          <a:stretch>
                            <a:fillRect/>
                          </a:stretch>
                        </pic:blipFill>
                        <pic:spPr>
                          <a:xfrm>
                            <a:off x="0" y="0"/>
                            <a:ext cx="2788920" cy="1716258"/>
                          </a:xfrm>
                          <a:prstGeom prst="rect"/>
                        </pic:spPr>
                      </pic:pic>
                    </a:graphicData>
                  </a:graphic>
                </wp:inline>
              </w:drawing>
            </w:r>
          </w:p>
        </w:tc>
      </w:tr>
    </w:tbl>
    <w:p>
      <w:pPr>
        <w:spacing w:after="160"/>
        <w:jc w:val="center"/>
      </w:pPr>
      <w:r>
        <w:rPr>
          <w:b/>
          <w:i w:val="0"/>
          <w:sz w:val="19"/>
        </w:rPr>
        <w:t>Figure 2.</w:t>
      </w:r>
      <w:r>
        <w:rPr>
          <w:b w:val="0"/>
          <w:i w:val="0"/>
          <w:sz w:val="19"/>
        </w:rPr>
        <w:t xml:space="preserve"> Churn rate by (a) country and (b) gender.</w:t>
      </w:r>
    </w:p>
    <w:p>
      <w:pPr>
        <w:pStyle w:val="Heading2"/>
      </w:pPr>
      <w:r>
        <w:t>3.2 Products and activity</w:t>
      </w:r>
    </w:p>
    <w:p>
      <w:pPr>
        <w:jc w:val="both"/>
      </w:pPr>
      <w:r>
        <w:rPr>
          <w:b w:val="0"/>
          <w:i w:val="0"/>
        </w:rPr>
        <w:t>The number of products is the most striking pattern. Customers holding two products are the safest (7.6% churn), single-product customers churn at 27.7%, and churn jumps to 82.7% for three products and 100% for four. The three- and four-product groups are small (266 and 60 customers, together 3.3% of the bank), so the rates are real but cover few customers. Inactive members churn at 26.9% against 14.3% for active members (Figure 3).</w:t>
      </w:r>
    </w:p>
    <w:tbl>
      <w:tblPr>
        <w:tblW w:type="auto" w:w="0"/>
        <w:jc w:val="center"/>
        <w:tblLook w:firstColumn="1" w:firstRow="1" w:lastColumn="0" w:lastRow="0" w:noHBand="0" w:noVBand="1" w:val="04A0"/>
      </w:tblPr>
      <w:tblGrid>
        <w:gridCol w:w="4513"/>
        <w:gridCol w:w="4513"/>
      </w:tblGrid>
      <w:tr>
        <w:tc>
          <w:tcPr>
            <w:tcW w:type="dxa" w:w="4513"/>
          </w:tcPr>
          <w:p>
            <w:pPr>
              <w:spacing w:after="0"/>
              <w:jc w:val="center"/>
            </w:pPr>
            <w:r>
              <w:drawing>
                <wp:inline xmlns:a="http://schemas.openxmlformats.org/drawingml/2006/main" xmlns:pic="http://schemas.openxmlformats.org/drawingml/2006/picture">
                  <wp:extent cx="2788920" cy="1716258"/>
                  <wp:docPr id="4" name="Picture 4"/>
                  <wp:cNvGraphicFramePr>
                    <a:graphicFrameLocks noChangeAspect="1"/>
                  </wp:cNvGraphicFramePr>
                  <a:graphic>
                    <a:graphicData uri="http://schemas.openxmlformats.org/drawingml/2006/picture">
                      <pic:pic>
                        <pic:nvPicPr>
                          <pic:cNvPr id="0" name="04_churn_by_NumOfProducts.png"/>
                          <pic:cNvPicPr/>
                        </pic:nvPicPr>
                        <pic:blipFill>
                          <a:blip r:embed="rId13"/>
                          <a:stretch>
                            <a:fillRect/>
                          </a:stretch>
                        </pic:blipFill>
                        <pic:spPr>
                          <a:xfrm>
                            <a:off x="0" y="0"/>
                            <a:ext cx="2788920" cy="1716258"/>
                          </a:xfrm>
                          <a:prstGeom prst="rect"/>
                        </pic:spPr>
                      </pic:pic>
                    </a:graphicData>
                  </a:graphic>
                </wp:inline>
              </w:drawing>
            </w:r>
          </w:p>
        </w:tc>
        <w:tc>
          <w:tcPr>
            <w:tcW w:type="dxa" w:w="4513"/>
          </w:tcPr>
          <w:p>
            <w:pPr>
              <w:spacing w:after="0"/>
              <w:jc w:val="center"/>
            </w:pPr>
            <w:r>
              <w:drawing>
                <wp:inline xmlns:a="http://schemas.openxmlformats.org/drawingml/2006/main" xmlns:pic="http://schemas.openxmlformats.org/drawingml/2006/picture">
                  <wp:extent cx="2788920" cy="1716258"/>
                  <wp:docPr id="5" name="Picture 5"/>
                  <wp:cNvGraphicFramePr>
                    <a:graphicFrameLocks noChangeAspect="1"/>
                  </wp:cNvGraphicFramePr>
                  <a:graphic>
                    <a:graphicData uri="http://schemas.openxmlformats.org/drawingml/2006/picture">
                      <pic:pic>
                        <pic:nvPicPr>
                          <pic:cNvPr id="0" name="06_churn_by_IsActiveMember.png"/>
                          <pic:cNvPicPr/>
                        </pic:nvPicPr>
                        <pic:blipFill>
                          <a:blip r:embed="rId14"/>
                          <a:stretch>
                            <a:fillRect/>
                          </a:stretch>
                        </pic:blipFill>
                        <pic:spPr>
                          <a:xfrm>
                            <a:off x="0" y="0"/>
                            <a:ext cx="2788920" cy="1716258"/>
                          </a:xfrm>
                          <a:prstGeom prst="rect"/>
                        </pic:spPr>
                      </pic:pic>
                    </a:graphicData>
                  </a:graphic>
                </wp:inline>
              </w:drawing>
            </w:r>
          </w:p>
        </w:tc>
      </w:tr>
    </w:tbl>
    <w:p>
      <w:pPr>
        <w:spacing w:after="160"/>
        <w:jc w:val="center"/>
      </w:pPr>
      <w:r>
        <w:rPr>
          <w:b/>
          <w:i w:val="0"/>
          <w:sz w:val="19"/>
        </w:rPr>
        <w:t>Figure 3.</w:t>
      </w:r>
      <w:r>
        <w:rPr>
          <w:b w:val="0"/>
          <w:i w:val="0"/>
          <w:sz w:val="19"/>
        </w:rPr>
        <w:t xml:space="preserve"> Churn rate by (a) number of products and (b) activity status.</w:t>
      </w:r>
    </w:p>
    <w:p>
      <w:pPr>
        <w:pStyle w:val="Heading2"/>
      </w:pPr>
      <w:r>
        <w:t>3.3 Age</w:t>
      </w:r>
    </w:p>
    <w:p>
      <w:pPr>
        <w:jc w:val="both"/>
      </w:pPr>
      <w:r>
        <w:rPr>
          <w:b w:val="0"/>
          <w:i w:val="0"/>
        </w:rPr>
        <w:t>Churn rises steeply with age: 7.5% for ages 18-30, 12.1% for 31-40, 34.0% for 41-50 and 56.2% for 51-60. It then falls to 24.8% for customers over 60 (Figure 4).</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3291840" cy="2025748"/>
                  <wp:docPr id="6" name="Picture 6"/>
                  <wp:cNvGraphicFramePr>
                    <a:graphicFrameLocks noChangeAspect="1"/>
                  </wp:cNvGraphicFramePr>
                  <a:graphic>
                    <a:graphicData uri="http://schemas.openxmlformats.org/drawingml/2006/picture">
                      <pic:pic>
                        <pic:nvPicPr>
                          <pic:cNvPr id="0" name="07_churn_by_AgeBand.png"/>
                          <pic:cNvPicPr/>
                        </pic:nvPicPr>
                        <pic:blipFill>
                          <a:blip r:embed="rId15"/>
                          <a:stretch>
                            <a:fillRect/>
                          </a:stretch>
                        </pic:blipFill>
                        <pic:spPr>
                          <a:xfrm>
                            <a:off x="0" y="0"/>
                            <a:ext cx="3291840" cy="2025748"/>
                          </a:xfrm>
                          <a:prstGeom prst="rect"/>
                        </pic:spPr>
                      </pic:pic>
                    </a:graphicData>
                  </a:graphic>
                </wp:inline>
              </w:drawing>
            </w:r>
          </w:p>
        </w:tc>
      </w:tr>
    </w:tbl>
    <w:p>
      <w:pPr>
        <w:spacing w:after="160"/>
        <w:jc w:val="center"/>
      </w:pPr>
      <w:r>
        <w:rPr>
          <w:b/>
          <w:i w:val="0"/>
          <w:sz w:val="19"/>
        </w:rPr>
        <w:t>Figure 4.</w:t>
      </w:r>
      <w:r>
        <w:rPr>
          <w:b w:val="0"/>
          <w:i w:val="0"/>
          <w:sz w:val="19"/>
        </w:rPr>
        <w:t xml:space="preserve"> Churn rate by age band.</w:t>
      </w:r>
    </w:p>
    <w:p>
      <w:pPr>
        <w:pStyle w:val="Heading2"/>
      </w:pPr>
      <w:r>
        <w:t>3.4 Variables with little effect</w:t>
      </w:r>
    </w:p>
    <w:p>
      <w:pPr>
        <w:jc w:val="both"/>
      </w:pPr>
      <w:r>
        <w:rPr>
          <w:b w:val="0"/>
          <w:i w:val="0"/>
        </w:rPr>
        <w:t>Having a credit card (20.8% churn without, 20.2% with), tenure (about 17-23% in every year) and credit score (23.6% below 500 and about 20% above 600) make little difference. One result runs against the initial expectation: customers with a zero balance churn less (13.8%) than customers with a balance (24.1%) (Figure 5).</w:t>
      </w:r>
    </w:p>
    <w:tbl>
      <w:tblPr>
        <w:tblW w:type="auto" w:w="0"/>
        <w:jc w:val="center"/>
        <w:tblLook w:firstColumn="1" w:firstRow="1" w:lastColumn="0" w:lastRow="0" w:noHBand="0" w:noVBand="1" w:val="04A0"/>
      </w:tblPr>
      <w:tblGrid>
        <w:gridCol w:w="4513"/>
        <w:gridCol w:w="4513"/>
      </w:tblGrid>
      <w:tr>
        <w:tc>
          <w:tcPr>
            <w:tcW w:type="dxa" w:w="4513"/>
          </w:tcPr>
          <w:p>
            <w:pPr>
              <w:spacing w:after="0"/>
              <w:jc w:val="center"/>
            </w:pPr>
            <w:r>
              <w:drawing>
                <wp:inline xmlns:a="http://schemas.openxmlformats.org/drawingml/2006/main" xmlns:pic="http://schemas.openxmlformats.org/drawingml/2006/picture">
                  <wp:extent cx="2651760" cy="1631852"/>
                  <wp:docPr id="7" name="Picture 7"/>
                  <wp:cNvGraphicFramePr>
                    <a:graphicFrameLocks noChangeAspect="1"/>
                  </wp:cNvGraphicFramePr>
                  <a:graphic>
                    <a:graphicData uri="http://schemas.openxmlformats.org/drawingml/2006/picture">
                      <pic:pic>
                        <pic:nvPicPr>
                          <pic:cNvPr id="0" name="05_churn_by_HasCrCard.png"/>
                          <pic:cNvPicPr/>
                        </pic:nvPicPr>
                        <pic:blipFill>
                          <a:blip r:embed="rId16"/>
                          <a:stretch>
                            <a:fillRect/>
                          </a:stretch>
                        </pic:blipFill>
                        <pic:spPr>
                          <a:xfrm>
                            <a:off x="0" y="0"/>
                            <a:ext cx="2651760" cy="1631852"/>
                          </a:xfrm>
                          <a:prstGeom prst="rect"/>
                        </pic:spPr>
                      </pic:pic>
                    </a:graphicData>
                  </a:graphic>
                </wp:inline>
              </w:drawing>
            </w:r>
          </w:p>
        </w:tc>
        <w:tc>
          <w:tcPr>
            <w:tcW w:type="dxa" w:w="4513"/>
          </w:tcPr>
          <w:p>
            <w:pPr>
              <w:spacing w:after="0"/>
              <w:jc w:val="center"/>
            </w:pPr>
            <w:r>
              <w:drawing>
                <wp:inline xmlns:a="http://schemas.openxmlformats.org/drawingml/2006/main" xmlns:pic="http://schemas.openxmlformats.org/drawingml/2006/picture">
                  <wp:extent cx="2651760" cy="1631852"/>
                  <wp:docPr id="8" name="Picture 8"/>
                  <wp:cNvGraphicFramePr>
                    <a:graphicFrameLocks noChangeAspect="1"/>
                  </wp:cNvGraphicFramePr>
                  <a:graphic>
                    <a:graphicData uri="http://schemas.openxmlformats.org/drawingml/2006/picture">
                      <pic:pic>
                        <pic:nvPicPr>
                          <pic:cNvPr id="0" name="08_churn_by_Tenure.png"/>
                          <pic:cNvPicPr/>
                        </pic:nvPicPr>
                        <pic:blipFill>
                          <a:blip r:embed="rId17"/>
                          <a:stretch>
                            <a:fillRect/>
                          </a:stretch>
                        </pic:blipFill>
                        <pic:spPr>
                          <a:xfrm>
                            <a:off x="0" y="0"/>
                            <a:ext cx="2651760" cy="1631852"/>
                          </a:xfrm>
                          <a:prstGeom prst="rect"/>
                        </pic:spPr>
                      </pic:pic>
                    </a:graphicData>
                  </a:graphic>
                </wp:inline>
              </w:drawing>
            </w:r>
          </w:p>
        </w:tc>
      </w:tr>
      <w:tr>
        <w:tc>
          <w:tcPr>
            <w:tcW w:type="dxa" w:w="4513"/>
          </w:tcPr>
          <w:p>
            <w:pPr>
              <w:spacing w:after="0"/>
              <w:jc w:val="center"/>
            </w:pPr>
            <w:r>
              <w:drawing>
                <wp:inline xmlns:a="http://schemas.openxmlformats.org/drawingml/2006/main" xmlns:pic="http://schemas.openxmlformats.org/drawingml/2006/picture">
                  <wp:extent cx="2651760" cy="1631852"/>
                  <wp:docPr id="9" name="Picture 9"/>
                  <wp:cNvGraphicFramePr>
                    <a:graphicFrameLocks noChangeAspect="1"/>
                  </wp:cNvGraphicFramePr>
                  <a:graphic>
                    <a:graphicData uri="http://schemas.openxmlformats.org/drawingml/2006/picture">
                      <pic:pic>
                        <pic:nvPicPr>
                          <pic:cNvPr id="0" name="09_churn_by_CreditBand.png"/>
                          <pic:cNvPicPr/>
                        </pic:nvPicPr>
                        <pic:blipFill>
                          <a:blip r:embed="rId18"/>
                          <a:stretch>
                            <a:fillRect/>
                          </a:stretch>
                        </pic:blipFill>
                        <pic:spPr>
                          <a:xfrm>
                            <a:off x="0" y="0"/>
                            <a:ext cx="2651760" cy="1631852"/>
                          </a:xfrm>
                          <a:prstGeom prst="rect"/>
                        </pic:spPr>
                      </pic:pic>
                    </a:graphicData>
                  </a:graphic>
                </wp:inline>
              </w:drawing>
            </w:r>
          </w:p>
        </w:tc>
        <w:tc>
          <w:tcPr>
            <w:tcW w:type="dxa" w:w="4513"/>
          </w:tcPr>
          <w:p>
            <w:pPr>
              <w:spacing w:after="0"/>
              <w:jc w:val="center"/>
            </w:pPr>
            <w:r>
              <w:drawing>
                <wp:inline xmlns:a="http://schemas.openxmlformats.org/drawingml/2006/main" xmlns:pic="http://schemas.openxmlformats.org/drawingml/2006/picture">
                  <wp:extent cx="2651760" cy="1631852"/>
                  <wp:docPr id="10" name="Picture 10"/>
                  <wp:cNvGraphicFramePr>
                    <a:graphicFrameLocks noChangeAspect="1"/>
                  </wp:cNvGraphicFramePr>
                  <a:graphic>
                    <a:graphicData uri="http://schemas.openxmlformats.org/drawingml/2006/picture">
                      <pic:pic>
                        <pic:nvPicPr>
                          <pic:cNvPr id="0" name="10_churn_by_ZeroBalance.png"/>
                          <pic:cNvPicPr/>
                        </pic:nvPicPr>
                        <pic:blipFill>
                          <a:blip r:embed="rId19"/>
                          <a:stretch>
                            <a:fillRect/>
                          </a:stretch>
                        </pic:blipFill>
                        <pic:spPr>
                          <a:xfrm>
                            <a:off x="0" y="0"/>
                            <a:ext cx="2651760" cy="1631852"/>
                          </a:xfrm>
                          <a:prstGeom prst="rect"/>
                        </pic:spPr>
                      </pic:pic>
                    </a:graphicData>
                  </a:graphic>
                </wp:inline>
              </w:drawing>
            </w:r>
          </w:p>
        </w:tc>
      </w:tr>
    </w:tbl>
    <w:p>
      <w:pPr>
        <w:spacing w:after="160"/>
        <w:jc w:val="center"/>
      </w:pPr>
      <w:r>
        <w:rPr>
          <w:b/>
          <w:i w:val="0"/>
          <w:sz w:val="19"/>
        </w:rPr>
        <w:t>Figure 5.</w:t>
      </w:r>
      <w:r>
        <w:rPr>
          <w:b w:val="0"/>
          <w:i w:val="0"/>
          <w:sz w:val="19"/>
        </w:rPr>
        <w:t xml:space="preserve"> Churn rate by (a) credit card, (b) tenure, (c) credit score band and (d) zero balance.</w:t>
      </w:r>
    </w:p>
    <w:p>
      <w:pPr>
        <w:keepNext/>
        <w:spacing w:after="60"/>
      </w:pPr>
      <w:r>
        <w:rPr>
          <w:b/>
          <w:i w:val="0"/>
          <w:sz w:val="19"/>
        </w:rPr>
        <w:t>Table 2.</w:t>
      </w:r>
      <w:r>
        <w:rPr>
          <w:b w:val="0"/>
          <w:i w:val="0"/>
          <w:sz w:val="19"/>
        </w:rPr>
        <w:t xml:space="preserve"> Highest-churn groups compared with a reference group.</w:t>
      </w:r>
    </w:p>
    <w:tbl>
      <w:tblPr>
        <w:tblStyle w:val="TableGrid"/>
        <w:tblW w:type="auto" w:w="0"/>
        <w:jc w:val="center"/>
        <w:tblLayout w:type="fixed"/>
        <w:tblLook w:firstColumn="1" w:firstRow="1" w:lastColumn="0" w:lastRow="0" w:noHBand="0" w:noVBand="1" w:val="04A0"/>
      </w:tblPr>
      <w:tblGrid>
        <w:gridCol w:w="2448"/>
        <w:gridCol w:w="1728"/>
        <w:gridCol w:w="3744"/>
      </w:tblGrid>
      <w:tr>
        <w:tc>
          <w:tcPr>
            <w:tcW w:type="dxa" w:w="2448"/>
            <w:shd w:val="clear" w:color="auto" w:fill="1F3A5F"/>
          </w:tcPr>
          <w:p>
            <w:pPr>
              <w:keepNext/>
              <w:spacing w:after="20" w:before="20" w:line="240" w:lineRule="auto"/>
              <w:jc w:val="center"/>
            </w:pPr>
            <w:r>
              <w:rPr>
                <w:b/>
                <w:color w:val="FFFFFF"/>
                <w:sz w:val="18"/>
              </w:rPr>
              <w:t>Group</w:t>
            </w:r>
          </w:p>
        </w:tc>
        <w:tc>
          <w:tcPr>
            <w:tcW w:type="dxa" w:w="1728"/>
            <w:shd w:val="clear" w:color="auto" w:fill="1F3A5F"/>
          </w:tcPr>
          <w:p>
            <w:pPr>
              <w:keepNext/>
              <w:spacing w:after="20" w:before="20" w:line="240" w:lineRule="auto"/>
              <w:jc w:val="center"/>
            </w:pPr>
            <w:r>
              <w:rPr>
                <w:b/>
                <w:color w:val="FFFFFF"/>
                <w:sz w:val="18"/>
              </w:rPr>
              <w:t>Churn rate</w:t>
            </w:r>
          </w:p>
        </w:tc>
        <w:tc>
          <w:tcPr>
            <w:tcW w:type="dxa" w:w="3744"/>
            <w:shd w:val="clear" w:color="auto" w:fill="1F3A5F"/>
          </w:tcPr>
          <w:p>
            <w:pPr>
              <w:keepNext/>
              <w:spacing w:after="20" w:before="20" w:line="240" w:lineRule="auto"/>
              <w:jc w:val="center"/>
            </w:pPr>
            <w:r>
              <w:rPr>
                <w:b/>
                <w:color w:val="FFFFFF"/>
                <w:sz w:val="18"/>
              </w:rPr>
              <w:t>Reference group</w:t>
            </w:r>
          </w:p>
        </w:tc>
      </w:tr>
      <w:tr>
        <w:tc>
          <w:tcPr>
            <w:tcW w:type="dxa" w:w="2448"/>
          </w:tcPr>
          <w:p>
            <w:pPr>
              <w:keepNext/>
              <w:spacing w:after="20" w:before="20" w:line="240" w:lineRule="auto"/>
              <w:jc w:val="left"/>
            </w:pPr>
            <w:r>
              <w:rPr>
                <w:sz w:val="18"/>
              </w:rPr>
              <w:t>4 products</w:t>
            </w:r>
          </w:p>
        </w:tc>
        <w:tc>
          <w:tcPr>
            <w:tcW w:type="dxa" w:w="1728"/>
          </w:tcPr>
          <w:p>
            <w:pPr>
              <w:keepNext/>
              <w:spacing w:after="20" w:before="20" w:line="240" w:lineRule="auto"/>
              <w:jc w:val="right"/>
            </w:pPr>
            <w:r>
              <w:rPr>
                <w:sz w:val="18"/>
              </w:rPr>
              <w:t>100.0%</w:t>
            </w:r>
          </w:p>
        </w:tc>
        <w:tc>
          <w:tcPr>
            <w:tcW w:type="dxa" w:w="3744"/>
          </w:tcPr>
          <w:p>
            <w:pPr>
              <w:keepNext/>
              <w:spacing w:after="20" w:before="20" w:line="240" w:lineRule="auto"/>
              <w:jc w:val="left"/>
            </w:pPr>
            <w:r>
              <w:rPr>
                <w:sz w:val="18"/>
              </w:rPr>
              <w:t>2 products: 7.6%</w:t>
            </w:r>
          </w:p>
        </w:tc>
      </w:tr>
      <w:tr>
        <w:tc>
          <w:tcPr>
            <w:tcW w:type="dxa" w:w="2448"/>
            <w:shd w:val="clear" w:color="auto" w:fill="EEF2F7"/>
          </w:tcPr>
          <w:p>
            <w:pPr>
              <w:keepNext/>
              <w:spacing w:after="20" w:before="20" w:line="240" w:lineRule="auto"/>
              <w:jc w:val="left"/>
            </w:pPr>
            <w:r>
              <w:rPr>
                <w:sz w:val="18"/>
              </w:rPr>
              <w:t>3 products</w:t>
            </w:r>
          </w:p>
        </w:tc>
        <w:tc>
          <w:tcPr>
            <w:tcW w:type="dxa" w:w="1728"/>
            <w:shd w:val="clear" w:color="auto" w:fill="EEF2F7"/>
          </w:tcPr>
          <w:p>
            <w:pPr>
              <w:keepNext/>
              <w:spacing w:after="20" w:before="20" w:line="240" w:lineRule="auto"/>
              <w:jc w:val="right"/>
            </w:pPr>
            <w:r>
              <w:rPr>
                <w:sz w:val="18"/>
              </w:rPr>
              <w:t>82.7%</w:t>
            </w:r>
          </w:p>
        </w:tc>
        <w:tc>
          <w:tcPr>
            <w:tcW w:type="dxa" w:w="3744"/>
            <w:shd w:val="clear" w:color="auto" w:fill="EEF2F7"/>
          </w:tcPr>
          <w:p>
            <w:pPr>
              <w:keepNext/>
              <w:spacing w:after="20" w:before="20" w:line="240" w:lineRule="auto"/>
              <w:jc w:val="left"/>
            </w:pPr>
            <w:r>
              <w:rPr>
                <w:sz w:val="18"/>
              </w:rPr>
              <w:t>2 products: 7.6%</w:t>
            </w:r>
          </w:p>
        </w:tc>
      </w:tr>
      <w:tr>
        <w:tc>
          <w:tcPr>
            <w:tcW w:type="dxa" w:w="2448"/>
          </w:tcPr>
          <w:p>
            <w:pPr>
              <w:keepNext/>
              <w:spacing w:after="20" w:before="20" w:line="240" w:lineRule="auto"/>
              <w:jc w:val="left"/>
            </w:pPr>
            <w:r>
              <w:rPr>
                <w:sz w:val="18"/>
              </w:rPr>
              <w:t>Age 51-60</w:t>
            </w:r>
          </w:p>
        </w:tc>
        <w:tc>
          <w:tcPr>
            <w:tcW w:type="dxa" w:w="1728"/>
          </w:tcPr>
          <w:p>
            <w:pPr>
              <w:keepNext/>
              <w:spacing w:after="20" w:before="20" w:line="240" w:lineRule="auto"/>
              <w:jc w:val="right"/>
            </w:pPr>
            <w:r>
              <w:rPr>
                <w:sz w:val="18"/>
              </w:rPr>
              <w:t>56.2%</w:t>
            </w:r>
          </w:p>
        </w:tc>
        <w:tc>
          <w:tcPr>
            <w:tcW w:type="dxa" w:w="3744"/>
          </w:tcPr>
          <w:p>
            <w:pPr>
              <w:keepNext/>
              <w:spacing w:after="20" w:before="20" w:line="240" w:lineRule="auto"/>
              <w:jc w:val="left"/>
            </w:pPr>
            <w:r>
              <w:rPr>
                <w:sz w:val="18"/>
              </w:rPr>
              <w:t>Age 18-30: 7.5%</w:t>
            </w:r>
          </w:p>
        </w:tc>
      </w:tr>
      <w:tr>
        <w:tc>
          <w:tcPr>
            <w:tcW w:type="dxa" w:w="2448"/>
            <w:shd w:val="clear" w:color="auto" w:fill="EEF2F7"/>
          </w:tcPr>
          <w:p>
            <w:pPr>
              <w:keepNext/>
              <w:spacing w:after="20" w:before="20" w:line="240" w:lineRule="auto"/>
              <w:jc w:val="left"/>
            </w:pPr>
            <w:r>
              <w:rPr>
                <w:sz w:val="18"/>
              </w:rPr>
              <w:t>Age 41-50</w:t>
            </w:r>
          </w:p>
        </w:tc>
        <w:tc>
          <w:tcPr>
            <w:tcW w:type="dxa" w:w="1728"/>
            <w:shd w:val="clear" w:color="auto" w:fill="EEF2F7"/>
          </w:tcPr>
          <w:p>
            <w:pPr>
              <w:keepNext/>
              <w:spacing w:after="20" w:before="20" w:line="240" w:lineRule="auto"/>
              <w:jc w:val="right"/>
            </w:pPr>
            <w:r>
              <w:rPr>
                <w:sz w:val="18"/>
              </w:rPr>
              <w:t>34.0%</w:t>
            </w:r>
          </w:p>
        </w:tc>
        <w:tc>
          <w:tcPr>
            <w:tcW w:type="dxa" w:w="3744"/>
            <w:shd w:val="clear" w:color="auto" w:fill="EEF2F7"/>
          </w:tcPr>
          <w:p>
            <w:pPr>
              <w:keepNext/>
              <w:spacing w:after="20" w:before="20" w:line="240" w:lineRule="auto"/>
              <w:jc w:val="left"/>
            </w:pPr>
            <w:r>
              <w:rPr>
                <w:sz w:val="18"/>
              </w:rPr>
              <w:t>Age 18-30: 7.5%</w:t>
            </w:r>
          </w:p>
        </w:tc>
      </w:tr>
      <w:tr>
        <w:tc>
          <w:tcPr>
            <w:tcW w:type="dxa" w:w="2448"/>
          </w:tcPr>
          <w:p>
            <w:pPr>
              <w:spacing w:after="20" w:before="20" w:line="240" w:lineRule="auto"/>
              <w:jc w:val="left"/>
            </w:pPr>
            <w:r>
              <w:rPr>
                <w:sz w:val="18"/>
              </w:rPr>
              <w:t>Germany</w:t>
            </w:r>
          </w:p>
        </w:tc>
        <w:tc>
          <w:tcPr>
            <w:tcW w:type="dxa" w:w="1728"/>
          </w:tcPr>
          <w:p>
            <w:pPr>
              <w:spacing w:after="20" w:before="20" w:line="240" w:lineRule="auto"/>
              <w:jc w:val="right"/>
            </w:pPr>
            <w:r>
              <w:rPr>
                <w:sz w:val="18"/>
              </w:rPr>
              <w:t>32.4%</w:t>
            </w:r>
          </w:p>
        </w:tc>
        <w:tc>
          <w:tcPr>
            <w:tcW w:type="dxa" w:w="3744"/>
          </w:tcPr>
          <w:p>
            <w:pPr>
              <w:spacing w:after="20" w:before="20" w:line="240" w:lineRule="auto"/>
              <w:jc w:val="left"/>
            </w:pPr>
            <w:r>
              <w:rPr>
                <w:sz w:val="18"/>
              </w:rPr>
              <w:t>France 16.2%, Spain 16.7%</w:t>
            </w:r>
          </w:p>
        </w:tc>
      </w:tr>
    </w:tbl>
    <w:p>
      <w:pPr>
        <w:spacing w:after="40"/>
      </w:pPr>
    </w:p>
    <w:p>
      <w:pPr>
        <w:pStyle w:val="Heading2"/>
      </w:pPr>
      <w:r>
        <w:t>3.5 Correlations and outliers</w:t>
      </w:r>
    </w:p>
    <w:p>
      <w:pPr>
        <w:jc w:val="both"/>
      </w:pPr>
      <w:r>
        <w:rPr>
          <w:b w:val="0"/>
          <w:i w:val="0"/>
        </w:rPr>
        <w:t>Age has the strongest correlation with churn (+0.29), followed by activity (-0.16) and balance (+0.12). The correlation with the number of products is weak (-0.05) even though its effect on churn is large, because the effect is not a straight line: two products are safest, while one, three and four are riskier. This favours models that can capture non-linear patterns (Figure 6). Balance and the number of products are moderately linked (-0.30), which is not high enough to cause concern.</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4023360" cy="3017520"/>
                  <wp:docPr id="11" name="Picture 11"/>
                  <wp:cNvGraphicFramePr>
                    <a:graphicFrameLocks noChangeAspect="1"/>
                  </wp:cNvGraphicFramePr>
                  <a:graphic>
                    <a:graphicData uri="http://schemas.openxmlformats.org/drawingml/2006/picture">
                      <pic:pic>
                        <pic:nvPicPr>
                          <pic:cNvPr id="0" name="11_correlation_heatmap.png"/>
                          <pic:cNvPicPr/>
                        </pic:nvPicPr>
                        <pic:blipFill>
                          <a:blip r:embed="rId20"/>
                          <a:stretch>
                            <a:fillRect/>
                          </a:stretch>
                        </pic:blipFill>
                        <pic:spPr>
                          <a:xfrm>
                            <a:off x="0" y="0"/>
                            <a:ext cx="4023360" cy="3017520"/>
                          </a:xfrm>
                          <a:prstGeom prst="rect"/>
                        </pic:spPr>
                      </pic:pic>
                    </a:graphicData>
                  </a:graphic>
                </wp:inline>
              </w:drawing>
            </w:r>
          </w:p>
        </w:tc>
      </w:tr>
    </w:tbl>
    <w:p>
      <w:pPr>
        <w:spacing w:after="160"/>
        <w:jc w:val="center"/>
      </w:pPr>
      <w:r>
        <w:rPr>
          <w:b/>
          <w:i w:val="0"/>
          <w:sz w:val="19"/>
        </w:rPr>
        <w:t>Figure 6.</w:t>
      </w:r>
      <w:r>
        <w:rPr>
          <w:b w:val="0"/>
          <w:i w:val="0"/>
          <w:sz w:val="19"/>
        </w:rPr>
        <w:t xml:space="preserve"> Correlation between numeric features and churn.</w:t>
      </w:r>
    </w:p>
    <w:p>
      <w:pPr>
        <w:jc w:val="both"/>
      </w:pPr>
      <w:r>
        <w:rPr>
          <w:b w:val="0"/>
          <w:i w:val="0"/>
        </w:rPr>
        <w:t>Boxplots show high ages (62-92) and a few very low credit scores (about 350-400), but these are plausible values and all outliers were kept. Balance shows no outliers (Figure 7).</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5120640" cy="1706880"/>
                  <wp:docPr id="12" name="Picture 12"/>
                  <wp:cNvGraphicFramePr>
                    <a:graphicFrameLocks noChangeAspect="1"/>
                  </wp:cNvGraphicFramePr>
                  <a:graphic>
                    <a:graphicData uri="http://schemas.openxmlformats.org/drawingml/2006/picture">
                      <pic:pic>
                        <pic:nvPicPr>
                          <pic:cNvPr id="0" name="12_outliers.png"/>
                          <pic:cNvPicPr/>
                        </pic:nvPicPr>
                        <pic:blipFill>
                          <a:blip r:embed="rId21"/>
                          <a:stretch>
                            <a:fillRect/>
                          </a:stretch>
                        </pic:blipFill>
                        <pic:spPr>
                          <a:xfrm>
                            <a:off x="0" y="0"/>
                            <a:ext cx="5120640" cy="1706880"/>
                          </a:xfrm>
                          <a:prstGeom prst="rect"/>
                        </pic:spPr>
                      </pic:pic>
                    </a:graphicData>
                  </a:graphic>
                </wp:inline>
              </w:drawing>
            </w:r>
          </w:p>
        </w:tc>
      </w:tr>
    </w:tbl>
    <w:p>
      <w:pPr>
        <w:spacing w:after="160"/>
        <w:jc w:val="center"/>
      </w:pPr>
      <w:r>
        <w:rPr>
          <w:b/>
          <w:i w:val="0"/>
          <w:sz w:val="19"/>
        </w:rPr>
        <w:t>Figure 7.</w:t>
      </w:r>
      <w:r>
        <w:rPr>
          <w:b w:val="0"/>
          <w:i w:val="0"/>
          <w:sz w:val="19"/>
        </w:rPr>
        <w:t xml:space="preserve"> Boxplots of age, balance and credit score.</w:t>
      </w:r>
    </w:p>
    <w:p>
      <w:pPr>
        <w:pStyle w:val="Heading1"/>
      </w:pPr>
      <w:r>
        <w:t>4. Methodology</w:t>
      </w:r>
    </w:p>
    <w:p>
      <w:pPr>
        <w:pStyle w:val="Heading2"/>
      </w:pPr>
      <w:r>
        <w:t>4.1 Preprocessing and feature engineering</w:t>
      </w:r>
    </w:p>
    <w:p>
      <w:pPr>
        <w:jc w:val="both"/>
      </w:pPr>
      <w:r>
        <w:rPr>
          <w:b w:val="0"/>
          <w:i w:val="0"/>
        </w:rPr>
        <w:t>All steps were built as one scikit-learn pipeline, so training and the dashboard use exactly the same transformations. Geography and Gender were one-hot encoded, dropping the first category to avoid redundancy. Numeric features were standardised only for Logistic Regression, since tree-based models do not need scaling, and the scaler was fitted on training data only to prevent data leakage. Five features were engineered (Table 3).</w:t>
      </w:r>
    </w:p>
    <w:p>
      <w:pPr>
        <w:keepNext/>
        <w:spacing w:after="60"/>
      </w:pPr>
      <w:r>
        <w:rPr>
          <w:b/>
          <w:i w:val="0"/>
          <w:sz w:val="19"/>
        </w:rPr>
        <w:t>Table 3.</w:t>
      </w:r>
      <w:r>
        <w:rPr>
          <w:b w:val="0"/>
          <w:i w:val="0"/>
          <w:sz w:val="19"/>
        </w:rPr>
        <w:t xml:space="preserve"> Engineered features.</w:t>
      </w:r>
    </w:p>
    <w:tbl>
      <w:tblPr>
        <w:tblStyle w:val="TableGrid"/>
        <w:tblW w:type="auto" w:w="0"/>
        <w:jc w:val="center"/>
        <w:tblLayout w:type="fixed"/>
        <w:tblLook w:firstColumn="1" w:firstRow="1" w:lastColumn="0" w:lastRow="0" w:noHBand="0" w:noVBand="1" w:val="04A0"/>
      </w:tblPr>
      <w:tblGrid>
        <w:gridCol w:w="2232"/>
        <w:gridCol w:w="3600"/>
        <w:gridCol w:w="3024"/>
      </w:tblGrid>
      <w:tr>
        <w:tc>
          <w:tcPr>
            <w:tcW w:type="dxa" w:w="2232"/>
            <w:shd w:val="clear" w:color="auto" w:fill="1F3A5F"/>
          </w:tcPr>
          <w:p>
            <w:pPr>
              <w:keepNext/>
              <w:spacing w:after="20" w:before="20" w:line="240" w:lineRule="auto"/>
              <w:jc w:val="center"/>
            </w:pPr>
            <w:r>
              <w:rPr>
                <w:b/>
                <w:color w:val="FFFFFF"/>
                <w:sz w:val="18"/>
              </w:rPr>
              <w:t>Feature</w:t>
            </w:r>
          </w:p>
        </w:tc>
        <w:tc>
          <w:tcPr>
            <w:tcW w:type="dxa" w:w="3600"/>
            <w:shd w:val="clear" w:color="auto" w:fill="1F3A5F"/>
          </w:tcPr>
          <w:p>
            <w:pPr>
              <w:keepNext/>
              <w:spacing w:after="20" w:before="20" w:line="240" w:lineRule="auto"/>
              <w:jc w:val="center"/>
            </w:pPr>
            <w:r>
              <w:rPr>
                <w:b/>
                <w:color w:val="FFFFFF"/>
                <w:sz w:val="18"/>
              </w:rPr>
              <w:t>Definition</w:t>
            </w:r>
          </w:p>
        </w:tc>
        <w:tc>
          <w:tcPr>
            <w:tcW w:type="dxa" w:w="3024"/>
            <w:shd w:val="clear" w:color="auto" w:fill="1F3A5F"/>
          </w:tcPr>
          <w:p>
            <w:pPr>
              <w:keepNext/>
              <w:spacing w:after="20" w:before="20" w:line="240" w:lineRule="auto"/>
              <w:jc w:val="center"/>
            </w:pPr>
            <w:r>
              <w:rPr>
                <w:b/>
                <w:color w:val="FFFFFF"/>
                <w:sz w:val="18"/>
              </w:rPr>
              <w:t>Idea</w:t>
            </w:r>
          </w:p>
        </w:tc>
      </w:tr>
      <w:tr>
        <w:tc>
          <w:tcPr>
            <w:tcW w:type="dxa" w:w="2232"/>
          </w:tcPr>
          <w:p>
            <w:pPr>
              <w:keepNext/>
              <w:spacing w:after="20" w:before="20" w:line="240" w:lineRule="auto"/>
              <w:jc w:val="left"/>
            </w:pPr>
            <w:r>
              <w:rPr>
                <w:sz w:val="18"/>
              </w:rPr>
              <w:t>BalanceSalaryRatio</w:t>
            </w:r>
          </w:p>
        </w:tc>
        <w:tc>
          <w:tcPr>
            <w:tcW w:type="dxa" w:w="3600"/>
          </w:tcPr>
          <w:p>
            <w:pPr>
              <w:keepNext/>
              <w:spacing w:after="20" w:before="20" w:line="240" w:lineRule="auto"/>
              <w:jc w:val="left"/>
            </w:pPr>
            <w:r>
              <w:rPr>
                <w:sz w:val="18"/>
              </w:rPr>
              <w:t>Balance / EstimatedSalary (0 if salary is 0)</w:t>
            </w:r>
          </w:p>
        </w:tc>
        <w:tc>
          <w:tcPr>
            <w:tcW w:type="dxa" w:w="3024"/>
          </w:tcPr>
          <w:p>
            <w:pPr>
              <w:keepNext/>
              <w:spacing w:after="20" w:before="20" w:line="240" w:lineRule="auto"/>
              <w:jc w:val="left"/>
            </w:pPr>
            <w:r>
              <w:rPr>
                <w:sz w:val="18"/>
              </w:rPr>
              <w:t>Size of balance relative to income</w:t>
            </w:r>
          </w:p>
        </w:tc>
      </w:tr>
      <w:tr>
        <w:tc>
          <w:tcPr>
            <w:tcW w:type="dxa" w:w="2232"/>
            <w:shd w:val="clear" w:color="auto" w:fill="EEF2F7"/>
          </w:tcPr>
          <w:p>
            <w:pPr>
              <w:keepNext/>
              <w:spacing w:after="20" w:before="20" w:line="240" w:lineRule="auto"/>
              <w:jc w:val="left"/>
            </w:pPr>
            <w:r>
              <w:rPr>
                <w:sz w:val="18"/>
              </w:rPr>
              <w:t>ProductDensity</w:t>
            </w:r>
          </w:p>
        </w:tc>
        <w:tc>
          <w:tcPr>
            <w:tcW w:type="dxa" w:w="3600"/>
            <w:shd w:val="clear" w:color="auto" w:fill="EEF2F7"/>
          </w:tcPr>
          <w:p>
            <w:pPr>
              <w:keepNext/>
              <w:spacing w:after="20" w:before="20" w:line="240" w:lineRule="auto"/>
              <w:jc w:val="left"/>
            </w:pPr>
            <w:r>
              <w:rPr>
                <w:sz w:val="18"/>
              </w:rPr>
              <w:t>NumOfProducts / (Tenure + 1)</w:t>
            </w:r>
          </w:p>
        </w:tc>
        <w:tc>
          <w:tcPr>
            <w:tcW w:type="dxa" w:w="3024"/>
            <w:shd w:val="clear" w:color="auto" w:fill="EEF2F7"/>
          </w:tcPr>
          <w:p>
            <w:pPr>
              <w:keepNext/>
              <w:spacing w:after="20" w:before="20" w:line="240" w:lineRule="auto"/>
              <w:jc w:val="left"/>
            </w:pPr>
            <w:r>
              <w:rPr>
                <w:sz w:val="18"/>
              </w:rPr>
              <w:t>Products per year with the bank</w:t>
            </w:r>
          </w:p>
        </w:tc>
      </w:tr>
      <w:tr>
        <w:tc>
          <w:tcPr>
            <w:tcW w:type="dxa" w:w="2232"/>
          </w:tcPr>
          <w:p>
            <w:pPr>
              <w:keepNext/>
              <w:spacing w:after="20" w:before="20" w:line="240" w:lineRule="auto"/>
              <w:jc w:val="left"/>
            </w:pPr>
            <w:r>
              <w:rPr>
                <w:sz w:val="18"/>
              </w:rPr>
              <w:t>EngagementProduct</w:t>
            </w:r>
          </w:p>
        </w:tc>
        <w:tc>
          <w:tcPr>
            <w:tcW w:type="dxa" w:w="3600"/>
          </w:tcPr>
          <w:p>
            <w:pPr>
              <w:keepNext/>
              <w:spacing w:after="20" w:before="20" w:line="240" w:lineRule="auto"/>
              <w:jc w:val="left"/>
            </w:pPr>
            <w:r>
              <w:rPr>
                <w:sz w:val="18"/>
              </w:rPr>
              <w:t>IsActiveMember x NumOfProducts</w:t>
            </w:r>
          </w:p>
        </w:tc>
        <w:tc>
          <w:tcPr>
            <w:tcW w:type="dxa" w:w="3024"/>
          </w:tcPr>
          <w:p>
            <w:pPr>
              <w:keepNext/>
              <w:spacing w:after="20" w:before="20" w:line="240" w:lineRule="auto"/>
              <w:jc w:val="left"/>
            </w:pPr>
            <w:r>
              <w:rPr>
                <w:sz w:val="18"/>
              </w:rPr>
              <w:t>Activity combined with product holding</w:t>
            </w:r>
          </w:p>
        </w:tc>
      </w:tr>
      <w:tr>
        <w:tc>
          <w:tcPr>
            <w:tcW w:type="dxa" w:w="2232"/>
            <w:shd w:val="clear" w:color="auto" w:fill="EEF2F7"/>
          </w:tcPr>
          <w:p>
            <w:pPr>
              <w:keepNext/>
              <w:spacing w:after="20" w:before="20" w:line="240" w:lineRule="auto"/>
              <w:jc w:val="left"/>
            </w:pPr>
            <w:r>
              <w:rPr>
                <w:sz w:val="18"/>
              </w:rPr>
              <w:t>AgeTenure</w:t>
            </w:r>
          </w:p>
        </w:tc>
        <w:tc>
          <w:tcPr>
            <w:tcW w:type="dxa" w:w="3600"/>
            <w:shd w:val="clear" w:color="auto" w:fill="EEF2F7"/>
          </w:tcPr>
          <w:p>
            <w:pPr>
              <w:keepNext/>
              <w:spacing w:after="20" w:before="20" w:line="240" w:lineRule="auto"/>
              <w:jc w:val="left"/>
            </w:pPr>
            <w:r>
              <w:rPr>
                <w:sz w:val="18"/>
              </w:rPr>
              <w:t>Age x Tenure</w:t>
            </w:r>
          </w:p>
        </w:tc>
        <w:tc>
          <w:tcPr>
            <w:tcW w:type="dxa" w:w="3024"/>
            <w:shd w:val="clear" w:color="auto" w:fill="EEF2F7"/>
          </w:tcPr>
          <w:p>
            <w:pPr>
              <w:keepNext/>
              <w:spacing w:after="20" w:before="20" w:line="240" w:lineRule="auto"/>
              <w:jc w:val="left"/>
            </w:pPr>
            <w:r>
              <w:rPr>
                <w:sz w:val="18"/>
              </w:rPr>
              <w:t>Age and loyalty together</w:t>
            </w:r>
          </w:p>
        </w:tc>
      </w:tr>
      <w:tr>
        <w:tc>
          <w:tcPr>
            <w:tcW w:type="dxa" w:w="2232"/>
          </w:tcPr>
          <w:p>
            <w:pPr>
              <w:spacing w:after="20" w:before="20" w:line="240" w:lineRule="auto"/>
              <w:jc w:val="left"/>
            </w:pPr>
            <w:r>
              <w:rPr>
                <w:sz w:val="18"/>
              </w:rPr>
              <w:t>AgeByTenure</w:t>
            </w:r>
          </w:p>
        </w:tc>
        <w:tc>
          <w:tcPr>
            <w:tcW w:type="dxa" w:w="3600"/>
          </w:tcPr>
          <w:p>
            <w:pPr>
              <w:spacing w:after="20" w:before="20" w:line="240" w:lineRule="auto"/>
              <w:jc w:val="left"/>
            </w:pPr>
            <w:r>
              <w:rPr>
                <w:sz w:val="18"/>
              </w:rPr>
              <w:t>Age / (Tenure + 1)</w:t>
            </w:r>
          </w:p>
        </w:tc>
        <w:tc>
          <w:tcPr>
            <w:tcW w:type="dxa" w:w="3024"/>
          </w:tcPr>
          <w:p>
            <w:pPr>
              <w:spacing w:after="20" w:before="20" w:line="240" w:lineRule="auto"/>
              <w:jc w:val="left"/>
            </w:pPr>
            <w:r>
              <w:rPr>
                <w:sz w:val="18"/>
              </w:rPr>
              <w:t>Age relative to time with the bank</w:t>
            </w:r>
          </w:p>
        </w:tc>
      </w:tr>
    </w:tbl>
    <w:p>
      <w:pPr>
        <w:spacing w:after="40"/>
      </w:pPr>
    </w:p>
    <w:p>
      <w:pPr>
        <w:spacing w:after="120"/>
      </w:pPr>
      <w:r>
        <w:rPr>
          <w:b w:val="0"/>
          <w:i w:val="0"/>
        </w:rPr>
        <w:t>Adding 1 to Tenure avoids division by zero for new customers.</w:t>
      </w:r>
    </w:p>
    <w:p>
      <w:pPr>
        <w:pStyle w:val="Heading2"/>
      </w:pPr>
      <w:r>
        <w:t>4.2 Train-test split</w:t>
      </w:r>
    </w:p>
    <w:p>
      <w:pPr>
        <w:jc w:val="both"/>
      </w:pPr>
      <w:r>
        <w:rPr>
          <w:b w:val="0"/>
          <w:i w:val="0"/>
        </w:rPr>
        <w:t>The data was split 80/20 with stratification on the target and a fixed random seed (42). The training set holds 8,000 customers (churn rate 20.375%) and the test set 2,000 customers (20.350%, 407 churners). Matching churn rates confirm that the split is balanced. The test set was not used for any modelling choice.</w:t>
      </w:r>
    </w:p>
    <w:p>
      <w:pPr>
        <w:pStyle w:val="Heading2"/>
      </w:pPr>
      <w:r>
        <w:t>4.3 Models and tuning</w:t>
      </w:r>
    </w:p>
    <w:p>
      <w:pPr>
        <w:jc w:val="both"/>
      </w:pPr>
      <w:r>
        <w:rPr>
          <w:b w:val="0"/>
          <w:i w:val="0"/>
        </w:rPr>
        <w:t>A Logistic Regression (with and without class weighting) served as the interpretable benchmark. We then trained a Decision Tree (maximum depth 5) and a Random Forest (300 trees), followed by Gradient Boosting and XGBoost. Random Forest, Gradient Boosting and XGBoost were tuned with randomised search (15 settings each) using 5-fold stratified cross-validation scored on ROC-AUC (Table 4).</w:t>
      </w:r>
    </w:p>
    <w:p>
      <w:pPr>
        <w:keepNext/>
        <w:spacing w:after="60"/>
      </w:pPr>
      <w:r>
        <w:rPr>
          <w:b/>
          <w:i w:val="0"/>
          <w:sz w:val="19"/>
        </w:rPr>
        <w:t>Table 4.</w:t>
      </w:r>
      <w:r>
        <w:rPr>
          <w:b w:val="0"/>
          <w:i w:val="0"/>
          <w:sz w:val="19"/>
        </w:rPr>
        <w:t xml:space="preserve"> Tuned model settings.</w:t>
      </w:r>
    </w:p>
    <w:tbl>
      <w:tblPr>
        <w:tblStyle w:val="TableGrid"/>
        <w:tblW w:type="auto" w:w="0"/>
        <w:jc w:val="center"/>
        <w:tblLayout w:type="fixed"/>
        <w:tblLook w:firstColumn="1" w:firstRow="1" w:lastColumn="0" w:lastRow="0" w:noHBand="0" w:noVBand="1" w:val="04A0"/>
      </w:tblPr>
      <w:tblGrid>
        <w:gridCol w:w="2160"/>
        <w:gridCol w:w="5760"/>
        <w:gridCol w:w="1008"/>
      </w:tblGrid>
      <w:tr>
        <w:tc>
          <w:tcPr>
            <w:tcW w:type="dxa" w:w="2160"/>
            <w:shd w:val="clear" w:color="auto" w:fill="1F3A5F"/>
          </w:tcPr>
          <w:p>
            <w:pPr>
              <w:keepNext/>
              <w:spacing w:after="20" w:before="20" w:line="240" w:lineRule="auto"/>
              <w:jc w:val="center"/>
            </w:pPr>
            <w:r>
              <w:rPr>
                <w:b/>
                <w:color w:val="FFFFFF"/>
                <w:sz w:val="18"/>
              </w:rPr>
              <w:t>Model</w:t>
            </w:r>
          </w:p>
        </w:tc>
        <w:tc>
          <w:tcPr>
            <w:tcW w:type="dxa" w:w="5760"/>
            <w:shd w:val="clear" w:color="auto" w:fill="1F3A5F"/>
          </w:tcPr>
          <w:p>
            <w:pPr>
              <w:keepNext/>
              <w:spacing w:after="20" w:before="20" w:line="240" w:lineRule="auto"/>
              <w:jc w:val="center"/>
            </w:pPr>
            <w:r>
              <w:rPr>
                <w:b/>
                <w:color w:val="FFFFFF"/>
                <w:sz w:val="18"/>
              </w:rPr>
              <w:t>Selected settings</w:t>
            </w:r>
          </w:p>
        </w:tc>
        <w:tc>
          <w:tcPr>
            <w:tcW w:type="dxa" w:w="1008"/>
            <w:shd w:val="clear" w:color="auto" w:fill="1F3A5F"/>
          </w:tcPr>
          <w:p>
            <w:pPr>
              <w:keepNext/>
              <w:spacing w:after="20" w:before="20" w:line="240" w:lineRule="auto"/>
              <w:jc w:val="center"/>
            </w:pPr>
            <w:r>
              <w:rPr>
                <w:b/>
                <w:color w:val="FFFFFF"/>
                <w:sz w:val="18"/>
              </w:rPr>
              <w:t>CV AUC</w:t>
            </w:r>
          </w:p>
        </w:tc>
      </w:tr>
      <w:tr>
        <w:tc>
          <w:tcPr>
            <w:tcW w:type="dxa" w:w="2160"/>
          </w:tcPr>
          <w:p>
            <w:pPr>
              <w:keepNext/>
              <w:spacing w:after="20" w:before="20" w:line="240" w:lineRule="auto"/>
              <w:jc w:val="left"/>
            </w:pPr>
            <w:r>
              <w:rPr>
                <w:sz w:val="18"/>
              </w:rPr>
              <w:t>Random Forest</w:t>
            </w:r>
          </w:p>
        </w:tc>
        <w:tc>
          <w:tcPr>
            <w:tcW w:type="dxa" w:w="5760"/>
          </w:tcPr>
          <w:p>
            <w:pPr>
              <w:keepNext/>
              <w:spacing w:after="20" w:before="20" w:line="240" w:lineRule="auto"/>
              <w:jc w:val="left"/>
            </w:pPr>
            <w:r>
              <w:rPr>
                <w:sz w:val="18"/>
              </w:rPr>
              <w:t>500 trees, depth 8, min. leaf 10, max. features 0.5</w:t>
            </w:r>
          </w:p>
        </w:tc>
        <w:tc>
          <w:tcPr>
            <w:tcW w:type="dxa" w:w="1008"/>
          </w:tcPr>
          <w:p>
            <w:pPr>
              <w:keepNext/>
              <w:spacing w:after="20" w:before="20" w:line="240" w:lineRule="auto"/>
              <w:jc w:val="right"/>
            </w:pPr>
            <w:r>
              <w:rPr>
                <w:sz w:val="18"/>
              </w:rPr>
              <w:t>0.858</w:t>
            </w:r>
          </w:p>
        </w:tc>
      </w:tr>
      <w:tr>
        <w:tc>
          <w:tcPr>
            <w:tcW w:type="dxa" w:w="2160"/>
            <w:shd w:val="clear" w:color="auto" w:fill="EEF2F7"/>
          </w:tcPr>
          <w:p>
            <w:pPr>
              <w:keepNext/>
              <w:spacing w:after="20" w:before="20" w:line="240" w:lineRule="auto"/>
              <w:jc w:val="left"/>
            </w:pPr>
            <w:r>
              <w:rPr>
                <w:sz w:val="18"/>
              </w:rPr>
              <w:t>Gradient Boosting</w:t>
            </w:r>
          </w:p>
        </w:tc>
        <w:tc>
          <w:tcPr>
            <w:tcW w:type="dxa" w:w="5760"/>
            <w:shd w:val="clear" w:color="auto" w:fill="EEF2F7"/>
          </w:tcPr>
          <w:p>
            <w:pPr>
              <w:keepNext/>
              <w:spacing w:after="20" w:before="20" w:line="240" w:lineRule="auto"/>
              <w:jc w:val="left"/>
            </w:pPr>
            <w:r>
              <w:rPr>
                <w:sz w:val="18"/>
              </w:rPr>
              <w:t>200 trees, depth 4, learning rate 0.03, subsample 0.8</w:t>
            </w:r>
          </w:p>
        </w:tc>
        <w:tc>
          <w:tcPr>
            <w:tcW w:type="dxa" w:w="1008"/>
            <w:shd w:val="clear" w:color="auto" w:fill="EEF2F7"/>
          </w:tcPr>
          <w:p>
            <w:pPr>
              <w:keepNext/>
              <w:spacing w:after="20" w:before="20" w:line="240" w:lineRule="auto"/>
              <w:jc w:val="right"/>
            </w:pPr>
            <w:r>
              <w:rPr>
                <w:sz w:val="18"/>
              </w:rPr>
              <w:t>0.863</w:t>
            </w:r>
          </w:p>
        </w:tc>
      </w:tr>
      <w:tr>
        <w:tc>
          <w:tcPr>
            <w:tcW w:type="dxa" w:w="2160"/>
          </w:tcPr>
          <w:p>
            <w:pPr>
              <w:spacing w:after="20" w:before="20" w:line="240" w:lineRule="auto"/>
              <w:jc w:val="left"/>
            </w:pPr>
            <w:r>
              <w:rPr>
                <w:sz w:val="18"/>
              </w:rPr>
              <w:t>XGBoost</w:t>
            </w:r>
          </w:p>
        </w:tc>
        <w:tc>
          <w:tcPr>
            <w:tcW w:type="dxa" w:w="5760"/>
          </w:tcPr>
          <w:p>
            <w:pPr>
              <w:spacing w:after="20" w:before="20" w:line="240" w:lineRule="auto"/>
              <w:jc w:val="left"/>
            </w:pPr>
            <w:r>
              <w:rPr>
                <w:sz w:val="18"/>
              </w:rPr>
              <w:t>300 trees, depth 3, learning rate 0.03, subsample 0.8, column sample 0.85</w:t>
            </w:r>
          </w:p>
        </w:tc>
        <w:tc>
          <w:tcPr>
            <w:tcW w:type="dxa" w:w="1008"/>
          </w:tcPr>
          <w:p>
            <w:pPr>
              <w:spacing w:after="20" w:before="20" w:line="240" w:lineRule="auto"/>
              <w:jc w:val="right"/>
            </w:pPr>
            <w:r>
              <w:rPr>
                <w:sz w:val="18"/>
              </w:rPr>
              <w:t>0.864</w:t>
            </w:r>
          </w:p>
        </w:tc>
      </w:tr>
    </w:tbl>
    <w:p>
      <w:pPr>
        <w:spacing w:after="40"/>
      </w:pPr>
    </w:p>
    <w:p>
      <w:pPr>
        <w:pStyle w:val="Heading2"/>
      </w:pPr>
      <w:r>
        <w:t>4.4 Evaluation and choice of threshold</w:t>
      </w:r>
    </w:p>
    <w:p>
      <w:pPr>
        <w:jc w:val="both"/>
      </w:pPr>
      <w:r>
        <w:rPr>
          <w:b w:val="0"/>
          <w:i w:val="0"/>
        </w:rPr>
        <w:t>Models were compared on accuracy, precision, recall, F1 and ROC-AUC, and on the gap between training and test scores to detect overfitting. The final model was chosen by cross-validated AUC on the training data, which keeps the test set unbiased. A churn probability must be turned into a yes or no flag by a threshold. The default of 0.5 is rarely best when only one customer in five churns, so the threshold was chosen from the precision-recall curve of cross-validated predictions on the training data, at the point that maximises F1.</w:t>
      </w:r>
    </w:p>
    <w:p>
      <w:pPr>
        <w:pStyle w:val="Heading2"/>
      </w:pPr>
      <w:r>
        <w:t>4.5 Dashboard</w:t>
      </w:r>
    </w:p>
    <w:p>
      <w:pPr>
        <w:jc w:val="both"/>
      </w:pPr>
      <w:r>
        <w:rPr>
          <w:b w:val="0"/>
          <w:i w:val="0"/>
        </w:rPr>
        <w:t>The locked model and its pipeline are deployed as an interactive Streamlit dashboard (https://bank-churn-data-model.streamlit.app). Its four modules are a Risk Calculator (probability, Low/Medium/High label and follow-up flag for any customer), a Distribution page (predicted risk across customers with the threshold marked), a Feature Importance page (importance and SHAP), and a What-If Simulator that shows the risk before and after changes to activity, products, balance or tenure. Its predictions were checked against the notebook results, and edge cases (new customers, zero balance, four products, very young and very old customers) were tested (Appendix B).</w:t>
      </w:r>
    </w:p>
    <w:p>
      <w:pPr>
        <w:pStyle w:val="Heading1"/>
      </w:pPr>
      <w:r>
        <w:t>5. Model results</w:t>
      </w:r>
    </w:p>
    <w:p>
      <w:pPr>
        <w:pStyle w:val="Heading2"/>
      </w:pPr>
      <w:r>
        <w:t>5.1 Baseline and tree-based models</w:t>
      </w:r>
    </w:p>
    <w:p>
      <w:pPr>
        <w:keepNext/>
        <w:spacing w:after="60"/>
      </w:pPr>
      <w:r>
        <w:rPr>
          <w:b/>
          <w:i w:val="0"/>
          <w:sz w:val="19"/>
        </w:rPr>
        <w:t>Table 5.</w:t>
      </w:r>
      <w:r>
        <w:rPr>
          <w:b w:val="0"/>
          <w:i w:val="0"/>
          <w:sz w:val="19"/>
        </w:rPr>
        <w:t xml:space="preserve"> Baseline and tree-based models on the test set (default 0.5 threshold).</w:t>
      </w:r>
    </w:p>
    <w:tbl>
      <w:tblPr>
        <w:tblStyle w:val="TableGrid"/>
        <w:tblW w:type="auto" w:w="0"/>
        <w:jc w:val="center"/>
        <w:tblLayout w:type="fixed"/>
        <w:tblLook w:firstColumn="1" w:firstRow="1" w:lastColumn="0" w:lastRow="0" w:noHBand="0" w:noVBand="1" w:val="04A0"/>
      </w:tblPr>
      <w:tblGrid>
        <w:gridCol w:w="2448"/>
        <w:gridCol w:w="720"/>
        <w:gridCol w:w="720"/>
        <w:gridCol w:w="792"/>
        <w:gridCol w:w="720"/>
        <w:gridCol w:w="864"/>
        <w:gridCol w:w="936"/>
        <w:gridCol w:w="792"/>
        <w:gridCol w:w="864"/>
      </w:tblGrid>
      <w:tr>
        <w:tc>
          <w:tcPr>
            <w:tcW w:type="dxa" w:w="2448"/>
            <w:shd w:val="clear" w:color="auto" w:fill="1F3A5F"/>
          </w:tcPr>
          <w:p>
            <w:pPr>
              <w:keepNext/>
              <w:spacing w:after="20" w:before="20" w:line="240" w:lineRule="auto"/>
              <w:jc w:val="center"/>
            </w:pPr>
            <w:r>
              <w:rPr>
                <w:b/>
                <w:color w:val="FFFFFF"/>
                <w:sz w:val="17"/>
              </w:rPr>
              <w:t>Model</w:t>
            </w:r>
          </w:p>
        </w:tc>
        <w:tc>
          <w:tcPr>
            <w:tcW w:type="dxa" w:w="720"/>
            <w:shd w:val="clear" w:color="auto" w:fill="1F3A5F"/>
          </w:tcPr>
          <w:p>
            <w:pPr>
              <w:keepNext/>
              <w:spacing w:after="20" w:before="20" w:line="240" w:lineRule="auto"/>
              <w:jc w:val="center"/>
            </w:pPr>
            <w:r>
              <w:rPr>
                <w:b/>
                <w:color w:val="FFFFFF"/>
                <w:sz w:val="17"/>
              </w:rPr>
              <w:t>Acc.</w:t>
            </w:r>
          </w:p>
        </w:tc>
        <w:tc>
          <w:tcPr>
            <w:tcW w:type="dxa" w:w="720"/>
            <w:shd w:val="clear" w:color="auto" w:fill="1F3A5F"/>
          </w:tcPr>
          <w:p>
            <w:pPr>
              <w:keepNext/>
              <w:spacing w:after="20" w:before="20" w:line="240" w:lineRule="auto"/>
              <w:jc w:val="center"/>
            </w:pPr>
            <w:r>
              <w:rPr>
                <w:b/>
                <w:color w:val="FFFFFF"/>
                <w:sz w:val="17"/>
              </w:rPr>
              <w:t>Prec.</w:t>
            </w:r>
          </w:p>
        </w:tc>
        <w:tc>
          <w:tcPr>
            <w:tcW w:type="dxa" w:w="792"/>
            <w:shd w:val="clear" w:color="auto" w:fill="1F3A5F"/>
          </w:tcPr>
          <w:p>
            <w:pPr>
              <w:keepNext/>
              <w:spacing w:after="20" w:before="20" w:line="240" w:lineRule="auto"/>
              <w:jc w:val="center"/>
            </w:pPr>
            <w:r>
              <w:rPr>
                <w:b/>
                <w:color w:val="FFFFFF"/>
                <w:sz w:val="17"/>
              </w:rPr>
              <w:t>Recall</w:t>
            </w:r>
          </w:p>
        </w:tc>
        <w:tc>
          <w:tcPr>
            <w:tcW w:type="dxa" w:w="720"/>
            <w:shd w:val="clear" w:color="auto" w:fill="1F3A5F"/>
          </w:tcPr>
          <w:p>
            <w:pPr>
              <w:keepNext/>
              <w:spacing w:after="20" w:before="20" w:line="240" w:lineRule="auto"/>
              <w:jc w:val="center"/>
            </w:pPr>
            <w:r>
              <w:rPr>
                <w:b/>
                <w:color w:val="FFFFFF"/>
                <w:sz w:val="17"/>
              </w:rPr>
              <w:t>F1</w:t>
            </w:r>
          </w:p>
        </w:tc>
        <w:tc>
          <w:tcPr>
            <w:tcW w:type="dxa" w:w="864"/>
            <w:shd w:val="clear" w:color="auto" w:fill="1F3A5F"/>
          </w:tcPr>
          <w:p>
            <w:pPr>
              <w:keepNext/>
              <w:spacing w:after="20" w:before="20" w:line="240" w:lineRule="auto"/>
              <w:jc w:val="center"/>
            </w:pPr>
            <w:r>
              <w:rPr>
                <w:b/>
                <w:color w:val="FFFFFF"/>
                <w:sz w:val="17"/>
              </w:rPr>
              <w:t>AUC test</w:t>
            </w:r>
          </w:p>
        </w:tc>
        <w:tc>
          <w:tcPr>
            <w:tcW w:type="dxa" w:w="936"/>
            <w:shd w:val="clear" w:color="auto" w:fill="1F3A5F"/>
          </w:tcPr>
          <w:p>
            <w:pPr>
              <w:keepNext/>
              <w:spacing w:after="20" w:before="20" w:line="240" w:lineRule="auto"/>
              <w:jc w:val="center"/>
            </w:pPr>
            <w:r>
              <w:rPr>
                <w:b/>
                <w:color w:val="FFFFFF"/>
                <w:sz w:val="17"/>
              </w:rPr>
              <w:t>AUC train</w:t>
            </w:r>
          </w:p>
        </w:tc>
        <w:tc>
          <w:tcPr>
            <w:tcW w:type="dxa" w:w="792"/>
            <w:shd w:val="clear" w:color="auto" w:fill="1F3A5F"/>
          </w:tcPr>
          <w:p>
            <w:pPr>
              <w:keepNext/>
              <w:spacing w:after="20" w:before="20" w:line="240" w:lineRule="auto"/>
              <w:jc w:val="center"/>
            </w:pPr>
            <w:r>
              <w:rPr>
                <w:b/>
                <w:color w:val="FFFFFF"/>
                <w:sz w:val="17"/>
              </w:rPr>
              <w:t>CV AUC</w:t>
            </w:r>
          </w:p>
        </w:tc>
        <w:tc>
          <w:tcPr>
            <w:tcW w:type="dxa" w:w="864"/>
            <w:shd w:val="clear" w:color="auto" w:fill="1F3A5F"/>
          </w:tcPr>
          <w:p>
            <w:pPr>
              <w:keepNext/>
              <w:spacing w:after="20" w:before="20" w:line="240" w:lineRule="auto"/>
              <w:jc w:val="center"/>
            </w:pPr>
            <w:r>
              <w:rPr>
                <w:b/>
                <w:color w:val="FFFFFF"/>
                <w:sz w:val="17"/>
              </w:rPr>
              <w:t>Gap</w:t>
            </w:r>
          </w:p>
        </w:tc>
      </w:tr>
      <w:tr>
        <w:tc>
          <w:tcPr>
            <w:tcW w:type="dxa" w:w="2448"/>
          </w:tcPr>
          <w:p>
            <w:pPr>
              <w:keepNext/>
              <w:spacing w:after="20" w:before="20" w:line="240" w:lineRule="auto"/>
              <w:jc w:val="left"/>
            </w:pPr>
            <w:r>
              <w:rPr>
                <w:sz w:val="17"/>
              </w:rPr>
              <w:t>Logistic Regression</w:t>
            </w:r>
          </w:p>
        </w:tc>
        <w:tc>
          <w:tcPr>
            <w:tcW w:type="dxa" w:w="720"/>
          </w:tcPr>
          <w:p>
            <w:pPr>
              <w:keepNext/>
              <w:spacing w:after="20" w:before="20" w:line="240" w:lineRule="auto"/>
              <w:jc w:val="right"/>
            </w:pPr>
            <w:r>
              <w:rPr>
                <w:sz w:val="17"/>
              </w:rPr>
              <w:t>0.808</w:t>
            </w:r>
          </w:p>
        </w:tc>
        <w:tc>
          <w:tcPr>
            <w:tcW w:type="dxa" w:w="720"/>
          </w:tcPr>
          <w:p>
            <w:pPr>
              <w:keepNext/>
              <w:spacing w:after="20" w:before="20" w:line="240" w:lineRule="auto"/>
              <w:jc w:val="right"/>
            </w:pPr>
            <w:r>
              <w:rPr>
                <w:sz w:val="17"/>
              </w:rPr>
              <w:t>0.583</w:t>
            </w:r>
          </w:p>
        </w:tc>
        <w:tc>
          <w:tcPr>
            <w:tcW w:type="dxa" w:w="792"/>
          </w:tcPr>
          <w:p>
            <w:pPr>
              <w:keepNext/>
              <w:spacing w:after="20" w:before="20" w:line="240" w:lineRule="auto"/>
              <w:jc w:val="right"/>
            </w:pPr>
            <w:r>
              <w:rPr>
                <w:sz w:val="17"/>
              </w:rPr>
              <w:t>0.189</w:t>
            </w:r>
          </w:p>
        </w:tc>
        <w:tc>
          <w:tcPr>
            <w:tcW w:type="dxa" w:w="720"/>
          </w:tcPr>
          <w:p>
            <w:pPr>
              <w:keepNext/>
              <w:spacing w:after="20" w:before="20" w:line="240" w:lineRule="auto"/>
              <w:jc w:val="right"/>
            </w:pPr>
            <w:r>
              <w:rPr>
                <w:sz w:val="17"/>
              </w:rPr>
              <w:t>0.286</w:t>
            </w:r>
          </w:p>
        </w:tc>
        <w:tc>
          <w:tcPr>
            <w:tcW w:type="dxa" w:w="864"/>
          </w:tcPr>
          <w:p>
            <w:pPr>
              <w:keepNext/>
              <w:spacing w:after="20" w:before="20" w:line="240" w:lineRule="auto"/>
              <w:jc w:val="right"/>
            </w:pPr>
            <w:r>
              <w:rPr>
                <w:sz w:val="17"/>
              </w:rPr>
              <w:t>0.774</w:t>
            </w:r>
          </w:p>
        </w:tc>
        <w:tc>
          <w:tcPr>
            <w:tcW w:type="dxa" w:w="936"/>
          </w:tcPr>
          <w:p>
            <w:pPr>
              <w:keepNext/>
              <w:spacing w:after="20" w:before="20" w:line="240" w:lineRule="auto"/>
              <w:jc w:val="right"/>
            </w:pPr>
            <w:r>
              <w:rPr>
                <w:sz w:val="17"/>
              </w:rPr>
              <w:t>0.767</w:t>
            </w:r>
          </w:p>
        </w:tc>
        <w:tc>
          <w:tcPr>
            <w:tcW w:type="dxa" w:w="792"/>
          </w:tcPr>
          <w:p>
            <w:pPr>
              <w:keepNext/>
              <w:spacing w:after="20" w:before="20" w:line="240" w:lineRule="auto"/>
              <w:jc w:val="right"/>
            </w:pPr>
            <w:r>
              <w:rPr>
                <w:sz w:val="17"/>
              </w:rPr>
              <w:t>0.762</w:t>
            </w:r>
          </w:p>
        </w:tc>
        <w:tc>
          <w:tcPr>
            <w:tcW w:type="dxa" w:w="864"/>
          </w:tcPr>
          <w:p>
            <w:pPr>
              <w:keepNext/>
              <w:spacing w:after="20" w:before="20" w:line="240" w:lineRule="auto"/>
              <w:jc w:val="right"/>
            </w:pPr>
            <w:r>
              <w:rPr>
                <w:sz w:val="17"/>
              </w:rPr>
              <w:t>-0.008</w:t>
            </w:r>
          </w:p>
        </w:tc>
      </w:tr>
      <w:tr>
        <w:tc>
          <w:tcPr>
            <w:tcW w:type="dxa" w:w="2448"/>
            <w:shd w:val="clear" w:color="auto" w:fill="EEF2F7"/>
          </w:tcPr>
          <w:p>
            <w:pPr>
              <w:keepNext/>
              <w:spacing w:after="20" w:before="20" w:line="240" w:lineRule="auto"/>
              <w:jc w:val="left"/>
            </w:pPr>
            <w:r>
              <w:rPr>
                <w:sz w:val="17"/>
              </w:rPr>
              <w:t>Logistic Regression (balanced)</w:t>
            </w:r>
          </w:p>
        </w:tc>
        <w:tc>
          <w:tcPr>
            <w:tcW w:type="dxa" w:w="720"/>
            <w:shd w:val="clear" w:color="auto" w:fill="EEF2F7"/>
          </w:tcPr>
          <w:p>
            <w:pPr>
              <w:keepNext/>
              <w:spacing w:after="20" w:before="20" w:line="240" w:lineRule="auto"/>
              <w:jc w:val="right"/>
            </w:pPr>
            <w:r>
              <w:rPr>
                <w:sz w:val="17"/>
              </w:rPr>
              <w:t>0.714</w:t>
            </w:r>
          </w:p>
        </w:tc>
        <w:tc>
          <w:tcPr>
            <w:tcW w:type="dxa" w:w="720"/>
            <w:shd w:val="clear" w:color="auto" w:fill="EEF2F7"/>
          </w:tcPr>
          <w:p>
            <w:pPr>
              <w:keepNext/>
              <w:spacing w:after="20" w:before="20" w:line="240" w:lineRule="auto"/>
              <w:jc w:val="right"/>
            </w:pPr>
            <w:r>
              <w:rPr>
                <w:sz w:val="17"/>
              </w:rPr>
              <w:t>0.388</w:t>
            </w:r>
          </w:p>
        </w:tc>
        <w:tc>
          <w:tcPr>
            <w:tcW w:type="dxa" w:w="792"/>
            <w:shd w:val="clear" w:color="auto" w:fill="EEF2F7"/>
          </w:tcPr>
          <w:p>
            <w:pPr>
              <w:keepNext/>
              <w:spacing w:after="20" w:before="20" w:line="240" w:lineRule="auto"/>
              <w:jc w:val="right"/>
            </w:pPr>
            <w:r>
              <w:rPr>
                <w:sz w:val="17"/>
              </w:rPr>
              <w:t>0.708</w:t>
            </w:r>
          </w:p>
        </w:tc>
        <w:tc>
          <w:tcPr>
            <w:tcW w:type="dxa" w:w="720"/>
            <w:shd w:val="clear" w:color="auto" w:fill="EEF2F7"/>
          </w:tcPr>
          <w:p>
            <w:pPr>
              <w:keepNext/>
              <w:spacing w:after="20" w:before="20" w:line="240" w:lineRule="auto"/>
              <w:jc w:val="right"/>
            </w:pPr>
            <w:r>
              <w:rPr>
                <w:sz w:val="17"/>
              </w:rPr>
              <w:t>0.501</w:t>
            </w:r>
          </w:p>
        </w:tc>
        <w:tc>
          <w:tcPr>
            <w:tcW w:type="dxa" w:w="864"/>
            <w:shd w:val="clear" w:color="auto" w:fill="EEF2F7"/>
          </w:tcPr>
          <w:p>
            <w:pPr>
              <w:keepNext/>
              <w:spacing w:after="20" w:before="20" w:line="240" w:lineRule="auto"/>
              <w:jc w:val="right"/>
            </w:pPr>
            <w:r>
              <w:rPr>
                <w:sz w:val="17"/>
              </w:rPr>
              <w:t>0.777</w:t>
            </w:r>
          </w:p>
        </w:tc>
        <w:tc>
          <w:tcPr>
            <w:tcW w:type="dxa" w:w="936"/>
            <w:shd w:val="clear" w:color="auto" w:fill="EEF2F7"/>
          </w:tcPr>
          <w:p>
            <w:pPr>
              <w:keepNext/>
              <w:spacing w:after="20" w:before="20" w:line="240" w:lineRule="auto"/>
              <w:jc w:val="right"/>
            </w:pPr>
            <w:r>
              <w:rPr>
                <w:sz w:val="17"/>
              </w:rPr>
              <w:t>0.770</w:t>
            </w:r>
          </w:p>
        </w:tc>
        <w:tc>
          <w:tcPr>
            <w:tcW w:type="dxa" w:w="792"/>
            <w:shd w:val="clear" w:color="auto" w:fill="EEF2F7"/>
          </w:tcPr>
          <w:p>
            <w:pPr>
              <w:keepNext/>
              <w:spacing w:after="20" w:before="20" w:line="240" w:lineRule="auto"/>
              <w:jc w:val="right"/>
            </w:pPr>
            <w:r>
              <w:rPr>
                <w:sz w:val="17"/>
              </w:rPr>
              <w:t>0.765</w:t>
            </w:r>
          </w:p>
        </w:tc>
        <w:tc>
          <w:tcPr>
            <w:tcW w:type="dxa" w:w="864"/>
            <w:shd w:val="clear" w:color="auto" w:fill="EEF2F7"/>
          </w:tcPr>
          <w:p>
            <w:pPr>
              <w:keepNext/>
              <w:spacing w:after="20" w:before="20" w:line="240" w:lineRule="auto"/>
              <w:jc w:val="right"/>
            </w:pPr>
            <w:r>
              <w:rPr>
                <w:sz w:val="17"/>
              </w:rPr>
              <w:t>-0.007</w:t>
            </w:r>
          </w:p>
        </w:tc>
      </w:tr>
      <w:tr>
        <w:tc>
          <w:tcPr>
            <w:tcW w:type="dxa" w:w="2448"/>
          </w:tcPr>
          <w:p>
            <w:pPr>
              <w:keepNext/>
              <w:spacing w:after="20" w:before="20" w:line="240" w:lineRule="auto"/>
              <w:jc w:val="left"/>
            </w:pPr>
            <w:r>
              <w:rPr>
                <w:sz w:val="17"/>
              </w:rPr>
              <w:t>Decision Tree</w:t>
            </w:r>
          </w:p>
        </w:tc>
        <w:tc>
          <w:tcPr>
            <w:tcW w:type="dxa" w:w="720"/>
          </w:tcPr>
          <w:p>
            <w:pPr>
              <w:keepNext/>
              <w:spacing w:after="20" w:before="20" w:line="240" w:lineRule="auto"/>
              <w:jc w:val="right"/>
            </w:pPr>
            <w:r>
              <w:rPr>
                <w:sz w:val="17"/>
              </w:rPr>
              <w:t>0.858</w:t>
            </w:r>
          </w:p>
        </w:tc>
        <w:tc>
          <w:tcPr>
            <w:tcW w:type="dxa" w:w="720"/>
          </w:tcPr>
          <w:p>
            <w:pPr>
              <w:keepNext/>
              <w:spacing w:after="20" w:before="20" w:line="240" w:lineRule="auto"/>
              <w:jc w:val="right"/>
            </w:pPr>
            <w:r>
              <w:rPr>
                <w:sz w:val="17"/>
              </w:rPr>
              <w:t>0.796</w:t>
            </w:r>
          </w:p>
        </w:tc>
        <w:tc>
          <w:tcPr>
            <w:tcW w:type="dxa" w:w="792"/>
          </w:tcPr>
          <w:p>
            <w:pPr>
              <w:keepNext/>
              <w:spacing w:after="20" w:before="20" w:line="240" w:lineRule="auto"/>
              <w:jc w:val="right"/>
            </w:pPr>
            <w:r>
              <w:rPr>
                <w:sz w:val="17"/>
              </w:rPr>
              <w:t>0.403</w:t>
            </w:r>
          </w:p>
        </w:tc>
        <w:tc>
          <w:tcPr>
            <w:tcW w:type="dxa" w:w="720"/>
          </w:tcPr>
          <w:p>
            <w:pPr>
              <w:keepNext/>
              <w:spacing w:after="20" w:before="20" w:line="240" w:lineRule="auto"/>
              <w:jc w:val="right"/>
            </w:pPr>
            <w:r>
              <w:rPr>
                <w:sz w:val="17"/>
              </w:rPr>
              <w:t>0.535</w:t>
            </w:r>
          </w:p>
        </w:tc>
        <w:tc>
          <w:tcPr>
            <w:tcW w:type="dxa" w:w="864"/>
          </w:tcPr>
          <w:p>
            <w:pPr>
              <w:keepNext/>
              <w:spacing w:after="20" w:before="20" w:line="240" w:lineRule="auto"/>
              <w:jc w:val="right"/>
            </w:pPr>
            <w:r>
              <w:rPr>
                <w:sz w:val="17"/>
              </w:rPr>
              <w:t>0.844</w:t>
            </w:r>
          </w:p>
        </w:tc>
        <w:tc>
          <w:tcPr>
            <w:tcW w:type="dxa" w:w="936"/>
          </w:tcPr>
          <w:p>
            <w:pPr>
              <w:keepNext/>
              <w:spacing w:after="20" w:before="20" w:line="240" w:lineRule="auto"/>
              <w:jc w:val="right"/>
            </w:pPr>
            <w:r>
              <w:rPr>
                <w:sz w:val="17"/>
              </w:rPr>
              <w:t>0.848</w:t>
            </w:r>
          </w:p>
        </w:tc>
        <w:tc>
          <w:tcPr>
            <w:tcW w:type="dxa" w:w="792"/>
          </w:tcPr>
          <w:p>
            <w:pPr>
              <w:keepNext/>
              <w:spacing w:after="20" w:before="20" w:line="240" w:lineRule="auto"/>
              <w:jc w:val="right"/>
            </w:pPr>
            <w:r>
              <w:rPr>
                <w:sz w:val="17"/>
              </w:rPr>
              <w:t>0.827</w:t>
            </w:r>
          </w:p>
        </w:tc>
        <w:tc>
          <w:tcPr>
            <w:tcW w:type="dxa" w:w="864"/>
          </w:tcPr>
          <w:p>
            <w:pPr>
              <w:keepNext/>
              <w:spacing w:after="20" w:before="20" w:line="240" w:lineRule="auto"/>
              <w:jc w:val="right"/>
            </w:pPr>
            <w:r>
              <w:rPr>
                <w:sz w:val="17"/>
              </w:rPr>
              <w:t>0.003</w:t>
            </w:r>
          </w:p>
        </w:tc>
      </w:tr>
      <w:tr>
        <w:tc>
          <w:tcPr>
            <w:tcW w:type="dxa" w:w="2448"/>
            <w:shd w:val="clear" w:color="auto" w:fill="EEF2F7"/>
          </w:tcPr>
          <w:p>
            <w:pPr>
              <w:spacing w:after="20" w:before="20" w:line="240" w:lineRule="auto"/>
              <w:jc w:val="left"/>
            </w:pPr>
            <w:r>
              <w:rPr>
                <w:sz w:val="17"/>
              </w:rPr>
              <w:t>Random Forest</w:t>
            </w:r>
          </w:p>
        </w:tc>
        <w:tc>
          <w:tcPr>
            <w:tcW w:type="dxa" w:w="720"/>
            <w:shd w:val="clear" w:color="auto" w:fill="EEF2F7"/>
          </w:tcPr>
          <w:p>
            <w:pPr>
              <w:spacing w:after="20" w:before="20" w:line="240" w:lineRule="auto"/>
              <w:jc w:val="right"/>
            </w:pPr>
            <w:r>
              <w:rPr>
                <w:sz w:val="17"/>
              </w:rPr>
              <w:t>0.863</w:t>
            </w:r>
          </w:p>
        </w:tc>
        <w:tc>
          <w:tcPr>
            <w:tcW w:type="dxa" w:w="720"/>
            <w:shd w:val="clear" w:color="auto" w:fill="EEF2F7"/>
          </w:tcPr>
          <w:p>
            <w:pPr>
              <w:spacing w:after="20" w:before="20" w:line="240" w:lineRule="auto"/>
              <w:jc w:val="right"/>
            </w:pPr>
            <w:r>
              <w:rPr>
                <w:sz w:val="17"/>
              </w:rPr>
              <w:t>0.767</w:t>
            </w:r>
          </w:p>
        </w:tc>
        <w:tc>
          <w:tcPr>
            <w:tcW w:type="dxa" w:w="792"/>
            <w:shd w:val="clear" w:color="auto" w:fill="EEF2F7"/>
          </w:tcPr>
          <w:p>
            <w:pPr>
              <w:spacing w:after="20" w:before="20" w:line="240" w:lineRule="auto"/>
              <w:jc w:val="right"/>
            </w:pPr>
            <w:r>
              <w:rPr>
                <w:sz w:val="17"/>
              </w:rPr>
              <w:t>0.469</w:t>
            </w:r>
          </w:p>
        </w:tc>
        <w:tc>
          <w:tcPr>
            <w:tcW w:type="dxa" w:w="720"/>
            <w:shd w:val="clear" w:color="auto" w:fill="EEF2F7"/>
          </w:tcPr>
          <w:p>
            <w:pPr>
              <w:spacing w:after="20" w:before="20" w:line="240" w:lineRule="auto"/>
              <w:jc w:val="right"/>
            </w:pPr>
            <w:r>
              <w:rPr>
                <w:sz w:val="17"/>
              </w:rPr>
              <w:t>0.582</w:t>
            </w:r>
          </w:p>
        </w:tc>
        <w:tc>
          <w:tcPr>
            <w:tcW w:type="dxa" w:w="864"/>
            <w:shd w:val="clear" w:color="auto" w:fill="EEF2F7"/>
          </w:tcPr>
          <w:p>
            <w:pPr>
              <w:spacing w:after="20" w:before="20" w:line="240" w:lineRule="auto"/>
              <w:jc w:val="right"/>
            </w:pPr>
            <w:r>
              <w:rPr>
                <w:sz w:val="17"/>
              </w:rPr>
              <w:t>0.851</w:t>
            </w:r>
          </w:p>
        </w:tc>
        <w:tc>
          <w:tcPr>
            <w:tcW w:type="dxa" w:w="936"/>
            <w:shd w:val="clear" w:color="auto" w:fill="EEF2F7"/>
          </w:tcPr>
          <w:p>
            <w:pPr>
              <w:spacing w:after="20" w:before="20" w:line="240" w:lineRule="auto"/>
              <w:jc w:val="right"/>
            </w:pPr>
            <w:r>
              <w:rPr>
                <w:sz w:val="17"/>
              </w:rPr>
              <w:t>1.000</w:t>
            </w:r>
          </w:p>
        </w:tc>
        <w:tc>
          <w:tcPr>
            <w:tcW w:type="dxa" w:w="792"/>
            <w:shd w:val="clear" w:color="auto" w:fill="EEF2F7"/>
          </w:tcPr>
          <w:p>
            <w:pPr>
              <w:spacing w:after="20" w:before="20" w:line="240" w:lineRule="auto"/>
              <w:jc w:val="right"/>
            </w:pPr>
            <w:r>
              <w:rPr>
                <w:sz w:val="17"/>
              </w:rPr>
              <w:t>0.844</w:t>
            </w:r>
          </w:p>
        </w:tc>
        <w:tc>
          <w:tcPr>
            <w:tcW w:type="dxa" w:w="864"/>
            <w:shd w:val="clear" w:color="auto" w:fill="EEF2F7"/>
          </w:tcPr>
          <w:p>
            <w:pPr>
              <w:spacing w:after="20" w:before="20" w:line="240" w:lineRule="auto"/>
              <w:jc w:val="right"/>
            </w:pPr>
            <w:r>
              <w:rPr>
                <w:sz w:val="17"/>
              </w:rPr>
              <w:t>0.149</w:t>
            </w:r>
          </w:p>
        </w:tc>
      </w:tr>
    </w:tbl>
    <w:p>
      <w:pPr>
        <w:spacing w:after="40"/>
      </w:pPr>
    </w:p>
    <w:p>
      <w:pPr>
        <w:jc w:val="both"/>
      </w:pPr>
      <w:r>
        <w:rPr>
          <w:b w:val="0"/>
          <w:i w:val="0"/>
        </w:rPr>
        <w:t>Table 5 shows the results. Plain Logistic Regression reaches 80.8% accuracy but finds only 18.9% of churners, barely better than predicting that nobody leaves (79.7% on the test set). Balancing the classes raises recall to 70.8%, at the cost of many false alarms (454 stayers flagged). The Decision Tree and Random Forest are clearly stronger, with test AUC of 0.844 and 0.851 (Figure 8). The Random Forest overfits: its training AUC is 1.000 against 0.851 on the test set, a gap of 0.149, while the other models show gaps close to zero. Cross-validation scores are close to test scores (spread 0.013-0.020), so the results are stable.</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3931920" cy="3495040"/>
                  <wp:docPr id="13" name="Picture 13"/>
                  <wp:cNvGraphicFramePr>
                    <a:graphicFrameLocks noChangeAspect="1"/>
                  </wp:cNvGraphicFramePr>
                  <a:graphic>
                    <a:graphicData uri="http://schemas.openxmlformats.org/drawingml/2006/picture">
                      <pic:pic>
                        <pic:nvPicPr>
                          <pic:cNvPr id="0" name="13_confusion_matrices.png"/>
                          <pic:cNvPicPr/>
                        </pic:nvPicPr>
                        <pic:blipFill>
                          <a:blip r:embed="rId22"/>
                          <a:stretch>
                            <a:fillRect/>
                          </a:stretch>
                        </pic:blipFill>
                        <pic:spPr>
                          <a:xfrm>
                            <a:off x="0" y="0"/>
                            <a:ext cx="3931920" cy="3495040"/>
                          </a:xfrm>
                          <a:prstGeom prst="rect"/>
                        </pic:spPr>
                      </pic:pic>
                    </a:graphicData>
                  </a:graphic>
                </wp:inline>
              </w:drawing>
            </w:r>
          </w:p>
        </w:tc>
      </w:tr>
    </w:tbl>
    <w:p>
      <w:pPr>
        <w:spacing w:after="160"/>
        <w:jc w:val="center"/>
      </w:pPr>
      <w:r>
        <w:rPr>
          <w:b/>
          <w:i w:val="0"/>
          <w:sz w:val="19"/>
        </w:rPr>
        <w:t>Figure 8.</w:t>
      </w:r>
      <w:r>
        <w:rPr>
          <w:b w:val="0"/>
          <w:i w:val="0"/>
          <w:sz w:val="19"/>
        </w:rPr>
        <w:t xml:space="preserve"> Confusion matrices of the four baseline models on the test set (threshold 0.5).</w:t>
      </w:r>
    </w:p>
    <w:p>
      <w:pPr>
        <w:pStyle w:val="Heading2"/>
      </w:pPr>
      <w:r>
        <w:t>5.2 Tuned and boosted models</w:t>
      </w:r>
    </w:p>
    <w:p>
      <w:pPr>
        <w:keepNext/>
        <w:spacing w:after="60"/>
      </w:pPr>
      <w:r>
        <w:rPr>
          <w:b/>
          <w:i w:val="0"/>
          <w:sz w:val="19"/>
        </w:rPr>
        <w:t>Table 6.</w:t>
      </w:r>
      <w:r>
        <w:rPr>
          <w:b w:val="0"/>
          <w:i w:val="0"/>
          <w:sz w:val="19"/>
        </w:rPr>
        <w:t xml:space="preserve"> All models compared on the test set (default 0.5 threshold).</w:t>
      </w:r>
    </w:p>
    <w:tbl>
      <w:tblPr>
        <w:tblStyle w:val="TableGrid"/>
        <w:tblW w:type="auto" w:w="0"/>
        <w:jc w:val="center"/>
        <w:tblLayout w:type="fixed"/>
        <w:tblLook w:firstColumn="1" w:firstRow="1" w:lastColumn="0" w:lastRow="0" w:noHBand="0" w:noVBand="1" w:val="04A0"/>
      </w:tblPr>
      <w:tblGrid>
        <w:gridCol w:w="3024"/>
        <w:gridCol w:w="1008"/>
        <w:gridCol w:w="1080"/>
        <w:gridCol w:w="864"/>
        <w:gridCol w:w="792"/>
        <w:gridCol w:w="1008"/>
        <w:gridCol w:w="936"/>
      </w:tblGrid>
      <w:tr>
        <w:tc>
          <w:tcPr>
            <w:tcW w:type="dxa" w:w="3024"/>
            <w:shd w:val="clear" w:color="auto" w:fill="1F3A5F"/>
          </w:tcPr>
          <w:p>
            <w:pPr>
              <w:keepNext/>
              <w:spacing w:after="20" w:before="20" w:line="240" w:lineRule="auto"/>
              <w:jc w:val="center"/>
            </w:pPr>
            <w:r>
              <w:rPr>
                <w:b/>
                <w:color w:val="FFFFFF"/>
                <w:sz w:val="18"/>
              </w:rPr>
              <w:t>Model</w:t>
            </w:r>
          </w:p>
        </w:tc>
        <w:tc>
          <w:tcPr>
            <w:tcW w:type="dxa" w:w="1008"/>
            <w:shd w:val="clear" w:color="auto" w:fill="1F3A5F"/>
          </w:tcPr>
          <w:p>
            <w:pPr>
              <w:keepNext/>
              <w:spacing w:after="20" w:before="20" w:line="240" w:lineRule="auto"/>
              <w:jc w:val="center"/>
            </w:pPr>
            <w:r>
              <w:rPr>
                <w:b/>
                <w:color w:val="FFFFFF"/>
                <w:sz w:val="18"/>
              </w:rPr>
              <w:t>Accuracy</w:t>
            </w:r>
          </w:p>
        </w:tc>
        <w:tc>
          <w:tcPr>
            <w:tcW w:type="dxa" w:w="1080"/>
            <w:shd w:val="clear" w:color="auto" w:fill="1F3A5F"/>
          </w:tcPr>
          <w:p>
            <w:pPr>
              <w:keepNext/>
              <w:spacing w:after="20" w:before="20" w:line="240" w:lineRule="auto"/>
              <w:jc w:val="center"/>
            </w:pPr>
            <w:r>
              <w:rPr>
                <w:b/>
                <w:color w:val="FFFFFF"/>
                <w:sz w:val="18"/>
              </w:rPr>
              <w:t>Precision</w:t>
            </w:r>
          </w:p>
        </w:tc>
        <w:tc>
          <w:tcPr>
            <w:tcW w:type="dxa" w:w="864"/>
            <w:shd w:val="clear" w:color="auto" w:fill="1F3A5F"/>
          </w:tcPr>
          <w:p>
            <w:pPr>
              <w:keepNext/>
              <w:spacing w:after="20" w:before="20" w:line="240" w:lineRule="auto"/>
              <w:jc w:val="center"/>
            </w:pPr>
            <w:r>
              <w:rPr>
                <w:b/>
                <w:color w:val="FFFFFF"/>
                <w:sz w:val="18"/>
              </w:rPr>
              <w:t>Recall</w:t>
            </w:r>
          </w:p>
        </w:tc>
        <w:tc>
          <w:tcPr>
            <w:tcW w:type="dxa" w:w="792"/>
            <w:shd w:val="clear" w:color="auto" w:fill="1F3A5F"/>
          </w:tcPr>
          <w:p>
            <w:pPr>
              <w:keepNext/>
              <w:spacing w:after="20" w:before="20" w:line="240" w:lineRule="auto"/>
              <w:jc w:val="center"/>
            </w:pPr>
            <w:r>
              <w:rPr>
                <w:b/>
                <w:color w:val="FFFFFF"/>
                <w:sz w:val="18"/>
              </w:rPr>
              <w:t>F1</w:t>
            </w:r>
          </w:p>
        </w:tc>
        <w:tc>
          <w:tcPr>
            <w:tcW w:type="dxa" w:w="1008"/>
            <w:shd w:val="clear" w:color="auto" w:fill="1F3A5F"/>
          </w:tcPr>
          <w:p>
            <w:pPr>
              <w:keepNext/>
              <w:spacing w:after="20" w:before="20" w:line="240" w:lineRule="auto"/>
              <w:jc w:val="center"/>
            </w:pPr>
            <w:r>
              <w:rPr>
                <w:b/>
                <w:color w:val="FFFFFF"/>
                <w:sz w:val="18"/>
              </w:rPr>
              <w:t>ROC-AUC</w:t>
            </w:r>
          </w:p>
        </w:tc>
        <w:tc>
          <w:tcPr>
            <w:tcW w:type="dxa" w:w="936"/>
            <w:shd w:val="clear" w:color="auto" w:fill="1F3A5F"/>
          </w:tcPr>
          <w:p>
            <w:pPr>
              <w:keepNext/>
              <w:spacing w:after="20" w:before="20" w:line="240" w:lineRule="auto"/>
              <w:jc w:val="center"/>
            </w:pPr>
            <w:r>
              <w:rPr>
                <w:b/>
                <w:color w:val="FFFFFF"/>
                <w:sz w:val="18"/>
              </w:rPr>
              <w:t>CV AUC</w:t>
            </w:r>
          </w:p>
        </w:tc>
      </w:tr>
      <w:tr>
        <w:tc>
          <w:tcPr>
            <w:tcW w:type="dxa" w:w="3024"/>
          </w:tcPr>
          <w:p>
            <w:pPr>
              <w:keepNext/>
              <w:spacing w:after="20" w:before="20" w:line="240" w:lineRule="auto"/>
              <w:jc w:val="left"/>
            </w:pPr>
            <w:r>
              <w:rPr>
                <w:sz w:val="18"/>
              </w:rPr>
              <w:t>Logistic Regression</w:t>
            </w:r>
          </w:p>
        </w:tc>
        <w:tc>
          <w:tcPr>
            <w:tcW w:type="dxa" w:w="1008"/>
          </w:tcPr>
          <w:p>
            <w:pPr>
              <w:keepNext/>
              <w:spacing w:after="20" w:before="20" w:line="240" w:lineRule="auto"/>
              <w:jc w:val="right"/>
            </w:pPr>
            <w:r>
              <w:rPr>
                <w:sz w:val="18"/>
              </w:rPr>
              <w:t>0.808</w:t>
            </w:r>
          </w:p>
        </w:tc>
        <w:tc>
          <w:tcPr>
            <w:tcW w:type="dxa" w:w="1080"/>
          </w:tcPr>
          <w:p>
            <w:pPr>
              <w:keepNext/>
              <w:spacing w:after="20" w:before="20" w:line="240" w:lineRule="auto"/>
              <w:jc w:val="right"/>
            </w:pPr>
            <w:r>
              <w:rPr>
                <w:sz w:val="18"/>
              </w:rPr>
              <w:t>0.583</w:t>
            </w:r>
          </w:p>
        </w:tc>
        <w:tc>
          <w:tcPr>
            <w:tcW w:type="dxa" w:w="864"/>
          </w:tcPr>
          <w:p>
            <w:pPr>
              <w:keepNext/>
              <w:spacing w:after="20" w:before="20" w:line="240" w:lineRule="auto"/>
              <w:jc w:val="right"/>
            </w:pPr>
            <w:r>
              <w:rPr>
                <w:sz w:val="18"/>
              </w:rPr>
              <w:t>0.189</w:t>
            </w:r>
          </w:p>
        </w:tc>
        <w:tc>
          <w:tcPr>
            <w:tcW w:type="dxa" w:w="792"/>
          </w:tcPr>
          <w:p>
            <w:pPr>
              <w:keepNext/>
              <w:spacing w:after="20" w:before="20" w:line="240" w:lineRule="auto"/>
              <w:jc w:val="right"/>
            </w:pPr>
            <w:r>
              <w:rPr>
                <w:sz w:val="18"/>
              </w:rPr>
              <w:t>0.286</w:t>
            </w:r>
          </w:p>
        </w:tc>
        <w:tc>
          <w:tcPr>
            <w:tcW w:type="dxa" w:w="1008"/>
          </w:tcPr>
          <w:p>
            <w:pPr>
              <w:keepNext/>
              <w:spacing w:after="20" w:before="20" w:line="240" w:lineRule="auto"/>
              <w:jc w:val="right"/>
            </w:pPr>
            <w:r>
              <w:rPr>
                <w:sz w:val="18"/>
              </w:rPr>
              <w:t>0.774</w:t>
            </w:r>
          </w:p>
        </w:tc>
        <w:tc>
          <w:tcPr>
            <w:tcW w:type="dxa" w:w="936"/>
          </w:tcPr>
          <w:p>
            <w:pPr>
              <w:keepNext/>
              <w:spacing w:after="20" w:before="20" w:line="240" w:lineRule="auto"/>
              <w:jc w:val="right"/>
            </w:pPr>
            <w:r>
              <w:rPr>
                <w:sz w:val="18"/>
              </w:rPr>
              <w:t>0.762</w:t>
            </w:r>
          </w:p>
        </w:tc>
      </w:tr>
      <w:tr>
        <w:tc>
          <w:tcPr>
            <w:tcW w:type="dxa" w:w="3024"/>
            <w:shd w:val="clear" w:color="auto" w:fill="EEF2F7"/>
          </w:tcPr>
          <w:p>
            <w:pPr>
              <w:keepNext/>
              <w:spacing w:after="20" w:before="20" w:line="240" w:lineRule="auto"/>
              <w:jc w:val="left"/>
            </w:pPr>
            <w:r>
              <w:rPr>
                <w:sz w:val="18"/>
              </w:rPr>
              <w:t>Logistic Regression (balanced)</w:t>
            </w:r>
          </w:p>
        </w:tc>
        <w:tc>
          <w:tcPr>
            <w:tcW w:type="dxa" w:w="1008"/>
            <w:shd w:val="clear" w:color="auto" w:fill="EEF2F7"/>
          </w:tcPr>
          <w:p>
            <w:pPr>
              <w:keepNext/>
              <w:spacing w:after="20" w:before="20" w:line="240" w:lineRule="auto"/>
              <w:jc w:val="right"/>
            </w:pPr>
            <w:r>
              <w:rPr>
                <w:sz w:val="18"/>
              </w:rPr>
              <w:t>0.714</w:t>
            </w:r>
          </w:p>
        </w:tc>
        <w:tc>
          <w:tcPr>
            <w:tcW w:type="dxa" w:w="1080"/>
            <w:shd w:val="clear" w:color="auto" w:fill="EEF2F7"/>
          </w:tcPr>
          <w:p>
            <w:pPr>
              <w:keepNext/>
              <w:spacing w:after="20" w:before="20" w:line="240" w:lineRule="auto"/>
              <w:jc w:val="right"/>
            </w:pPr>
            <w:r>
              <w:rPr>
                <w:sz w:val="18"/>
              </w:rPr>
              <w:t>0.388</w:t>
            </w:r>
          </w:p>
        </w:tc>
        <w:tc>
          <w:tcPr>
            <w:tcW w:type="dxa" w:w="864"/>
            <w:shd w:val="clear" w:color="auto" w:fill="EEF2F7"/>
          </w:tcPr>
          <w:p>
            <w:pPr>
              <w:keepNext/>
              <w:spacing w:after="20" w:before="20" w:line="240" w:lineRule="auto"/>
              <w:jc w:val="right"/>
            </w:pPr>
            <w:r>
              <w:rPr>
                <w:sz w:val="18"/>
              </w:rPr>
              <w:t>0.708</w:t>
            </w:r>
          </w:p>
        </w:tc>
        <w:tc>
          <w:tcPr>
            <w:tcW w:type="dxa" w:w="792"/>
            <w:shd w:val="clear" w:color="auto" w:fill="EEF2F7"/>
          </w:tcPr>
          <w:p>
            <w:pPr>
              <w:keepNext/>
              <w:spacing w:after="20" w:before="20" w:line="240" w:lineRule="auto"/>
              <w:jc w:val="right"/>
            </w:pPr>
            <w:r>
              <w:rPr>
                <w:sz w:val="18"/>
              </w:rPr>
              <w:t>0.501</w:t>
            </w:r>
          </w:p>
        </w:tc>
        <w:tc>
          <w:tcPr>
            <w:tcW w:type="dxa" w:w="1008"/>
            <w:shd w:val="clear" w:color="auto" w:fill="EEF2F7"/>
          </w:tcPr>
          <w:p>
            <w:pPr>
              <w:keepNext/>
              <w:spacing w:after="20" w:before="20" w:line="240" w:lineRule="auto"/>
              <w:jc w:val="right"/>
            </w:pPr>
            <w:r>
              <w:rPr>
                <w:sz w:val="18"/>
              </w:rPr>
              <w:t>0.777</w:t>
            </w:r>
          </w:p>
        </w:tc>
        <w:tc>
          <w:tcPr>
            <w:tcW w:type="dxa" w:w="936"/>
            <w:shd w:val="clear" w:color="auto" w:fill="EEF2F7"/>
          </w:tcPr>
          <w:p>
            <w:pPr>
              <w:keepNext/>
              <w:spacing w:after="20" w:before="20" w:line="240" w:lineRule="auto"/>
              <w:jc w:val="right"/>
            </w:pPr>
            <w:r>
              <w:rPr>
                <w:sz w:val="18"/>
              </w:rPr>
              <w:t>0.765</w:t>
            </w:r>
          </w:p>
        </w:tc>
      </w:tr>
      <w:tr>
        <w:tc>
          <w:tcPr>
            <w:tcW w:type="dxa" w:w="3024"/>
          </w:tcPr>
          <w:p>
            <w:pPr>
              <w:keepNext/>
              <w:spacing w:after="20" w:before="20" w:line="240" w:lineRule="auto"/>
              <w:jc w:val="left"/>
            </w:pPr>
            <w:r>
              <w:rPr>
                <w:sz w:val="18"/>
              </w:rPr>
              <w:t>Decision Tree</w:t>
            </w:r>
          </w:p>
        </w:tc>
        <w:tc>
          <w:tcPr>
            <w:tcW w:type="dxa" w:w="1008"/>
          </w:tcPr>
          <w:p>
            <w:pPr>
              <w:keepNext/>
              <w:spacing w:after="20" w:before="20" w:line="240" w:lineRule="auto"/>
              <w:jc w:val="right"/>
            </w:pPr>
            <w:r>
              <w:rPr>
                <w:sz w:val="18"/>
              </w:rPr>
              <w:t>0.858</w:t>
            </w:r>
          </w:p>
        </w:tc>
        <w:tc>
          <w:tcPr>
            <w:tcW w:type="dxa" w:w="1080"/>
          </w:tcPr>
          <w:p>
            <w:pPr>
              <w:keepNext/>
              <w:spacing w:after="20" w:before="20" w:line="240" w:lineRule="auto"/>
              <w:jc w:val="right"/>
            </w:pPr>
            <w:r>
              <w:rPr>
                <w:sz w:val="18"/>
              </w:rPr>
              <w:t>0.796</w:t>
            </w:r>
          </w:p>
        </w:tc>
        <w:tc>
          <w:tcPr>
            <w:tcW w:type="dxa" w:w="864"/>
          </w:tcPr>
          <w:p>
            <w:pPr>
              <w:keepNext/>
              <w:spacing w:after="20" w:before="20" w:line="240" w:lineRule="auto"/>
              <w:jc w:val="right"/>
            </w:pPr>
            <w:r>
              <w:rPr>
                <w:sz w:val="18"/>
              </w:rPr>
              <w:t>0.403</w:t>
            </w:r>
          </w:p>
        </w:tc>
        <w:tc>
          <w:tcPr>
            <w:tcW w:type="dxa" w:w="792"/>
          </w:tcPr>
          <w:p>
            <w:pPr>
              <w:keepNext/>
              <w:spacing w:after="20" w:before="20" w:line="240" w:lineRule="auto"/>
              <w:jc w:val="right"/>
            </w:pPr>
            <w:r>
              <w:rPr>
                <w:sz w:val="18"/>
              </w:rPr>
              <w:t>0.535</w:t>
            </w:r>
          </w:p>
        </w:tc>
        <w:tc>
          <w:tcPr>
            <w:tcW w:type="dxa" w:w="1008"/>
          </w:tcPr>
          <w:p>
            <w:pPr>
              <w:keepNext/>
              <w:spacing w:after="20" w:before="20" w:line="240" w:lineRule="auto"/>
              <w:jc w:val="right"/>
            </w:pPr>
            <w:r>
              <w:rPr>
                <w:sz w:val="18"/>
              </w:rPr>
              <w:t>0.844</w:t>
            </w:r>
          </w:p>
        </w:tc>
        <w:tc>
          <w:tcPr>
            <w:tcW w:type="dxa" w:w="936"/>
          </w:tcPr>
          <w:p>
            <w:pPr>
              <w:keepNext/>
              <w:spacing w:after="20" w:before="20" w:line="240" w:lineRule="auto"/>
              <w:jc w:val="right"/>
            </w:pPr>
            <w:r>
              <w:rPr>
                <w:sz w:val="18"/>
              </w:rPr>
              <w:t>0.827</w:t>
            </w:r>
          </w:p>
        </w:tc>
      </w:tr>
      <w:tr>
        <w:tc>
          <w:tcPr>
            <w:tcW w:type="dxa" w:w="3024"/>
            <w:shd w:val="clear" w:color="auto" w:fill="EEF2F7"/>
          </w:tcPr>
          <w:p>
            <w:pPr>
              <w:keepNext/>
              <w:spacing w:after="20" w:before="20" w:line="240" w:lineRule="auto"/>
              <w:jc w:val="left"/>
            </w:pPr>
            <w:r>
              <w:rPr>
                <w:sz w:val="18"/>
              </w:rPr>
              <w:t>Random Forest</w:t>
            </w:r>
          </w:p>
        </w:tc>
        <w:tc>
          <w:tcPr>
            <w:tcW w:type="dxa" w:w="1008"/>
            <w:shd w:val="clear" w:color="auto" w:fill="EEF2F7"/>
          </w:tcPr>
          <w:p>
            <w:pPr>
              <w:keepNext/>
              <w:spacing w:after="20" w:before="20" w:line="240" w:lineRule="auto"/>
              <w:jc w:val="right"/>
            </w:pPr>
            <w:r>
              <w:rPr>
                <w:sz w:val="18"/>
              </w:rPr>
              <w:t>0.863</w:t>
            </w:r>
          </w:p>
        </w:tc>
        <w:tc>
          <w:tcPr>
            <w:tcW w:type="dxa" w:w="1080"/>
            <w:shd w:val="clear" w:color="auto" w:fill="EEF2F7"/>
          </w:tcPr>
          <w:p>
            <w:pPr>
              <w:keepNext/>
              <w:spacing w:after="20" w:before="20" w:line="240" w:lineRule="auto"/>
              <w:jc w:val="right"/>
            </w:pPr>
            <w:r>
              <w:rPr>
                <w:sz w:val="18"/>
              </w:rPr>
              <w:t>0.767</w:t>
            </w:r>
          </w:p>
        </w:tc>
        <w:tc>
          <w:tcPr>
            <w:tcW w:type="dxa" w:w="864"/>
            <w:shd w:val="clear" w:color="auto" w:fill="EEF2F7"/>
          </w:tcPr>
          <w:p>
            <w:pPr>
              <w:keepNext/>
              <w:spacing w:after="20" w:before="20" w:line="240" w:lineRule="auto"/>
              <w:jc w:val="right"/>
            </w:pPr>
            <w:r>
              <w:rPr>
                <w:sz w:val="18"/>
              </w:rPr>
              <w:t>0.469</w:t>
            </w:r>
          </w:p>
        </w:tc>
        <w:tc>
          <w:tcPr>
            <w:tcW w:type="dxa" w:w="792"/>
            <w:shd w:val="clear" w:color="auto" w:fill="EEF2F7"/>
          </w:tcPr>
          <w:p>
            <w:pPr>
              <w:keepNext/>
              <w:spacing w:after="20" w:before="20" w:line="240" w:lineRule="auto"/>
              <w:jc w:val="right"/>
            </w:pPr>
            <w:r>
              <w:rPr>
                <w:sz w:val="18"/>
              </w:rPr>
              <w:t>0.582</w:t>
            </w:r>
          </w:p>
        </w:tc>
        <w:tc>
          <w:tcPr>
            <w:tcW w:type="dxa" w:w="1008"/>
            <w:shd w:val="clear" w:color="auto" w:fill="EEF2F7"/>
          </w:tcPr>
          <w:p>
            <w:pPr>
              <w:keepNext/>
              <w:spacing w:after="20" w:before="20" w:line="240" w:lineRule="auto"/>
              <w:jc w:val="right"/>
            </w:pPr>
            <w:r>
              <w:rPr>
                <w:sz w:val="18"/>
              </w:rPr>
              <w:t>0.851</w:t>
            </w:r>
          </w:p>
        </w:tc>
        <w:tc>
          <w:tcPr>
            <w:tcW w:type="dxa" w:w="936"/>
            <w:shd w:val="clear" w:color="auto" w:fill="EEF2F7"/>
          </w:tcPr>
          <w:p>
            <w:pPr>
              <w:keepNext/>
              <w:spacing w:after="20" w:before="20" w:line="240" w:lineRule="auto"/>
              <w:jc w:val="right"/>
            </w:pPr>
            <w:r>
              <w:rPr>
                <w:sz w:val="18"/>
              </w:rPr>
              <w:t>0.844</w:t>
            </w:r>
          </w:p>
        </w:tc>
      </w:tr>
      <w:tr>
        <w:tc>
          <w:tcPr>
            <w:tcW w:type="dxa" w:w="3024"/>
          </w:tcPr>
          <w:p>
            <w:pPr>
              <w:keepNext/>
              <w:spacing w:after="20" w:before="20" w:line="240" w:lineRule="auto"/>
              <w:jc w:val="left"/>
            </w:pPr>
            <w:r>
              <w:rPr>
                <w:sz w:val="18"/>
              </w:rPr>
              <w:t>Random Forest (tuned)</w:t>
            </w:r>
          </w:p>
        </w:tc>
        <w:tc>
          <w:tcPr>
            <w:tcW w:type="dxa" w:w="1008"/>
          </w:tcPr>
          <w:p>
            <w:pPr>
              <w:keepNext/>
              <w:spacing w:after="20" w:before="20" w:line="240" w:lineRule="auto"/>
              <w:jc w:val="right"/>
            </w:pPr>
            <w:r>
              <w:rPr>
                <w:sz w:val="18"/>
              </w:rPr>
              <w:t>0.865</w:t>
            </w:r>
          </w:p>
        </w:tc>
        <w:tc>
          <w:tcPr>
            <w:tcW w:type="dxa" w:w="1080"/>
          </w:tcPr>
          <w:p>
            <w:pPr>
              <w:keepNext/>
              <w:spacing w:after="20" w:before="20" w:line="240" w:lineRule="auto"/>
              <w:jc w:val="right"/>
            </w:pPr>
            <w:r>
              <w:rPr>
                <w:sz w:val="18"/>
              </w:rPr>
              <w:t>0.791</w:t>
            </w:r>
          </w:p>
        </w:tc>
        <w:tc>
          <w:tcPr>
            <w:tcW w:type="dxa" w:w="864"/>
          </w:tcPr>
          <w:p>
            <w:pPr>
              <w:keepNext/>
              <w:spacing w:after="20" w:before="20" w:line="240" w:lineRule="auto"/>
              <w:jc w:val="right"/>
            </w:pPr>
            <w:r>
              <w:rPr>
                <w:sz w:val="18"/>
              </w:rPr>
              <w:t>0.457</w:t>
            </w:r>
          </w:p>
        </w:tc>
        <w:tc>
          <w:tcPr>
            <w:tcW w:type="dxa" w:w="792"/>
          </w:tcPr>
          <w:p>
            <w:pPr>
              <w:keepNext/>
              <w:spacing w:after="20" w:before="20" w:line="240" w:lineRule="auto"/>
              <w:jc w:val="right"/>
            </w:pPr>
            <w:r>
              <w:rPr>
                <w:sz w:val="18"/>
              </w:rPr>
              <w:t>0.579</w:t>
            </w:r>
          </w:p>
        </w:tc>
        <w:tc>
          <w:tcPr>
            <w:tcW w:type="dxa" w:w="1008"/>
          </w:tcPr>
          <w:p>
            <w:pPr>
              <w:keepNext/>
              <w:spacing w:after="20" w:before="20" w:line="240" w:lineRule="auto"/>
              <w:jc w:val="right"/>
            </w:pPr>
            <w:r>
              <w:rPr>
                <w:sz w:val="18"/>
              </w:rPr>
              <w:t>0.862</w:t>
            </w:r>
          </w:p>
        </w:tc>
        <w:tc>
          <w:tcPr>
            <w:tcW w:type="dxa" w:w="936"/>
          </w:tcPr>
          <w:p>
            <w:pPr>
              <w:keepNext/>
              <w:spacing w:after="20" w:before="20" w:line="240" w:lineRule="auto"/>
              <w:jc w:val="right"/>
            </w:pPr>
            <w:r>
              <w:rPr>
                <w:sz w:val="18"/>
              </w:rPr>
              <w:t>0.858</w:t>
            </w:r>
          </w:p>
        </w:tc>
      </w:tr>
      <w:tr>
        <w:tc>
          <w:tcPr>
            <w:tcW w:type="dxa" w:w="3024"/>
            <w:shd w:val="clear" w:color="auto" w:fill="EEF2F7"/>
          </w:tcPr>
          <w:p>
            <w:pPr>
              <w:keepNext/>
              <w:spacing w:after="20" w:before="20" w:line="240" w:lineRule="auto"/>
              <w:jc w:val="left"/>
            </w:pPr>
            <w:r>
              <w:rPr>
                <w:sz w:val="18"/>
              </w:rPr>
              <w:t>Gradient Boosting</w:t>
            </w:r>
          </w:p>
        </w:tc>
        <w:tc>
          <w:tcPr>
            <w:tcW w:type="dxa" w:w="1008"/>
            <w:shd w:val="clear" w:color="auto" w:fill="EEF2F7"/>
          </w:tcPr>
          <w:p>
            <w:pPr>
              <w:keepNext/>
              <w:spacing w:after="20" w:before="20" w:line="240" w:lineRule="auto"/>
              <w:jc w:val="right"/>
            </w:pPr>
            <w:r>
              <w:rPr>
                <w:sz w:val="18"/>
              </w:rPr>
              <w:t>0.866</w:t>
            </w:r>
          </w:p>
        </w:tc>
        <w:tc>
          <w:tcPr>
            <w:tcW w:type="dxa" w:w="1080"/>
            <w:shd w:val="clear" w:color="auto" w:fill="EEF2F7"/>
          </w:tcPr>
          <w:p>
            <w:pPr>
              <w:keepNext/>
              <w:spacing w:after="20" w:before="20" w:line="240" w:lineRule="auto"/>
              <w:jc w:val="right"/>
            </w:pPr>
            <w:r>
              <w:rPr>
                <w:sz w:val="18"/>
              </w:rPr>
              <w:t>0.782</w:t>
            </w:r>
          </w:p>
        </w:tc>
        <w:tc>
          <w:tcPr>
            <w:tcW w:type="dxa" w:w="864"/>
            <w:shd w:val="clear" w:color="auto" w:fill="EEF2F7"/>
          </w:tcPr>
          <w:p>
            <w:pPr>
              <w:keepNext/>
              <w:spacing w:after="20" w:before="20" w:line="240" w:lineRule="auto"/>
              <w:jc w:val="right"/>
            </w:pPr>
            <w:r>
              <w:rPr>
                <w:sz w:val="18"/>
              </w:rPr>
              <w:t>0.477</w:t>
            </w:r>
          </w:p>
        </w:tc>
        <w:tc>
          <w:tcPr>
            <w:tcW w:type="dxa" w:w="792"/>
            <w:shd w:val="clear" w:color="auto" w:fill="EEF2F7"/>
          </w:tcPr>
          <w:p>
            <w:pPr>
              <w:keepNext/>
              <w:spacing w:after="20" w:before="20" w:line="240" w:lineRule="auto"/>
              <w:jc w:val="right"/>
            </w:pPr>
            <w:r>
              <w:rPr>
                <w:sz w:val="18"/>
              </w:rPr>
              <w:t>0.592</w:t>
            </w:r>
          </w:p>
        </w:tc>
        <w:tc>
          <w:tcPr>
            <w:tcW w:type="dxa" w:w="1008"/>
            <w:shd w:val="clear" w:color="auto" w:fill="EEF2F7"/>
          </w:tcPr>
          <w:p>
            <w:pPr>
              <w:keepNext/>
              <w:spacing w:after="20" w:before="20" w:line="240" w:lineRule="auto"/>
              <w:jc w:val="right"/>
            </w:pPr>
            <w:r>
              <w:rPr>
                <w:sz w:val="18"/>
              </w:rPr>
              <w:t>0.870</w:t>
            </w:r>
          </w:p>
        </w:tc>
        <w:tc>
          <w:tcPr>
            <w:tcW w:type="dxa" w:w="936"/>
            <w:shd w:val="clear" w:color="auto" w:fill="EEF2F7"/>
          </w:tcPr>
          <w:p>
            <w:pPr>
              <w:keepNext/>
              <w:spacing w:after="20" w:before="20" w:line="240" w:lineRule="auto"/>
              <w:jc w:val="right"/>
            </w:pPr>
            <w:r>
              <w:rPr>
                <w:sz w:val="18"/>
              </w:rPr>
              <w:t>0.863</w:t>
            </w:r>
          </w:p>
        </w:tc>
      </w:tr>
      <w:tr>
        <w:tc>
          <w:tcPr>
            <w:tcW w:type="dxa" w:w="3024"/>
          </w:tcPr>
          <w:p>
            <w:pPr>
              <w:spacing w:after="20" w:before="20" w:line="240" w:lineRule="auto"/>
              <w:jc w:val="left"/>
            </w:pPr>
            <w:r>
              <w:rPr>
                <w:sz w:val="18"/>
              </w:rPr>
              <w:t>XGBoost</w:t>
            </w:r>
          </w:p>
        </w:tc>
        <w:tc>
          <w:tcPr>
            <w:tcW w:type="dxa" w:w="1008"/>
          </w:tcPr>
          <w:p>
            <w:pPr>
              <w:spacing w:after="20" w:before="20" w:line="240" w:lineRule="auto"/>
              <w:jc w:val="right"/>
            </w:pPr>
            <w:r>
              <w:rPr>
                <w:sz w:val="18"/>
              </w:rPr>
              <w:t>0.872</w:t>
            </w:r>
          </w:p>
        </w:tc>
        <w:tc>
          <w:tcPr>
            <w:tcW w:type="dxa" w:w="1080"/>
          </w:tcPr>
          <w:p>
            <w:pPr>
              <w:spacing w:after="20" w:before="20" w:line="240" w:lineRule="auto"/>
              <w:jc w:val="right"/>
            </w:pPr>
            <w:r>
              <w:rPr>
                <w:sz w:val="18"/>
              </w:rPr>
              <w:t>0.805</w:t>
            </w:r>
          </w:p>
        </w:tc>
        <w:tc>
          <w:tcPr>
            <w:tcW w:type="dxa" w:w="864"/>
          </w:tcPr>
          <w:p>
            <w:pPr>
              <w:spacing w:after="20" w:before="20" w:line="240" w:lineRule="auto"/>
              <w:jc w:val="right"/>
            </w:pPr>
            <w:r>
              <w:rPr>
                <w:sz w:val="18"/>
              </w:rPr>
              <w:t>0.486</w:t>
            </w:r>
          </w:p>
        </w:tc>
        <w:tc>
          <w:tcPr>
            <w:tcW w:type="dxa" w:w="792"/>
          </w:tcPr>
          <w:p>
            <w:pPr>
              <w:spacing w:after="20" w:before="20" w:line="240" w:lineRule="auto"/>
              <w:jc w:val="right"/>
            </w:pPr>
            <w:r>
              <w:rPr>
                <w:sz w:val="18"/>
              </w:rPr>
              <w:t>0.606</w:t>
            </w:r>
          </w:p>
        </w:tc>
        <w:tc>
          <w:tcPr>
            <w:tcW w:type="dxa" w:w="1008"/>
          </w:tcPr>
          <w:p>
            <w:pPr>
              <w:spacing w:after="20" w:before="20" w:line="240" w:lineRule="auto"/>
              <w:jc w:val="right"/>
            </w:pPr>
            <w:r>
              <w:rPr>
                <w:sz w:val="18"/>
              </w:rPr>
              <w:t>0.871</w:t>
            </w:r>
          </w:p>
        </w:tc>
        <w:tc>
          <w:tcPr>
            <w:tcW w:type="dxa" w:w="936"/>
          </w:tcPr>
          <w:p>
            <w:pPr>
              <w:spacing w:after="20" w:before="20" w:line="240" w:lineRule="auto"/>
              <w:jc w:val="right"/>
            </w:pPr>
            <w:r>
              <w:rPr>
                <w:sz w:val="18"/>
              </w:rPr>
              <w:t>0.864</w:t>
            </w:r>
          </w:p>
        </w:tc>
      </w:tr>
    </w:tbl>
    <w:p>
      <w:pPr>
        <w:spacing w:after="40"/>
      </w:pPr>
    </w:p>
    <w:p>
      <w:pPr>
        <w:jc w:val="both"/>
      </w:pPr>
      <w:r>
        <w:rPr>
          <w:b w:val="0"/>
          <w:i w:val="0"/>
        </w:rPr>
        <w:t>Table 6 compares all models. Tuning improved the Random Forest (test AUC 0.862) and the boosted models did better still. XGBoost had the best cross-validated AUC (0.864), the best test AUC (0.871), the highest F1 (0.606) and the highest accuracy (0.872) (Figure 9). It was selected as the final model, and its tree structure also works well with SHAP explanations.</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3657600" cy="3048000"/>
                  <wp:docPr id="14" name="Picture 14"/>
                  <wp:cNvGraphicFramePr>
                    <a:graphicFrameLocks noChangeAspect="1"/>
                  </wp:cNvGraphicFramePr>
                  <a:graphic>
                    <a:graphicData uri="http://schemas.openxmlformats.org/drawingml/2006/picture">
                      <pic:pic>
                        <pic:nvPicPr>
                          <pic:cNvPr id="0" name="14_roc_curves.png"/>
                          <pic:cNvPicPr/>
                        </pic:nvPicPr>
                        <pic:blipFill>
                          <a:blip r:embed="rId23"/>
                          <a:stretch>
                            <a:fillRect/>
                          </a:stretch>
                        </pic:blipFill>
                        <pic:spPr>
                          <a:xfrm>
                            <a:off x="0" y="0"/>
                            <a:ext cx="3657600" cy="3048000"/>
                          </a:xfrm>
                          <a:prstGeom prst="rect"/>
                        </pic:spPr>
                      </pic:pic>
                    </a:graphicData>
                  </a:graphic>
                </wp:inline>
              </w:drawing>
            </w:r>
          </w:p>
        </w:tc>
      </w:tr>
    </w:tbl>
    <w:p>
      <w:pPr>
        <w:spacing w:after="160"/>
        <w:jc w:val="center"/>
      </w:pPr>
      <w:r>
        <w:rPr>
          <w:b/>
          <w:i w:val="0"/>
          <w:sz w:val="19"/>
        </w:rPr>
        <w:t>Figure 9.</w:t>
      </w:r>
      <w:r>
        <w:rPr>
          <w:b w:val="0"/>
          <w:i w:val="0"/>
          <w:sz w:val="19"/>
        </w:rPr>
        <w:t xml:space="preserve"> ROC curves of the tuned models on the test set.</w:t>
      </w:r>
    </w:p>
    <w:p>
      <w:pPr>
        <w:pStyle w:val="Heading2"/>
      </w:pPr>
      <w:r>
        <w:t>5.3 Decision threshold</w:t>
      </w:r>
    </w:p>
    <w:p>
      <w:pPr>
        <w:jc w:val="both"/>
      </w:pPr>
      <w:r>
        <w:rPr>
          <w:b w:val="0"/>
          <w:i w:val="0"/>
        </w:rPr>
        <w:t>At the default 0.5 threshold, XGBoost finds 48.6% of churners at 80.5% precision. The precision-recall curve (Figure 10) shows that a lower threshold finds many more churners for a smaller loss in precision. The threshold of 0.29 maximises F1 on cross-validated training predictions. On the test set it gives precision 0.607, recall 0.676 and F1 0.640 (Table 7).</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3017520" cy="2514600"/>
                  <wp:docPr id="15" name="Picture 15"/>
                  <wp:cNvGraphicFramePr>
                    <a:graphicFrameLocks noChangeAspect="1"/>
                  </wp:cNvGraphicFramePr>
                  <a:graphic>
                    <a:graphicData uri="http://schemas.openxmlformats.org/drawingml/2006/picture">
                      <pic:pic>
                        <pic:nvPicPr>
                          <pic:cNvPr id="0" name="15_precision_recall.png"/>
                          <pic:cNvPicPr/>
                        </pic:nvPicPr>
                        <pic:blipFill>
                          <a:blip r:embed="rId24"/>
                          <a:stretch>
                            <a:fillRect/>
                          </a:stretch>
                        </pic:blipFill>
                        <pic:spPr>
                          <a:xfrm>
                            <a:off x="0" y="0"/>
                            <a:ext cx="3017520" cy="2514600"/>
                          </a:xfrm>
                          <a:prstGeom prst="rect"/>
                        </pic:spPr>
                      </pic:pic>
                    </a:graphicData>
                  </a:graphic>
                </wp:inline>
              </w:drawing>
            </w:r>
          </w:p>
        </w:tc>
      </w:tr>
    </w:tbl>
    <w:p>
      <w:pPr>
        <w:spacing w:after="160"/>
        <w:jc w:val="center"/>
      </w:pPr>
      <w:r>
        <w:rPr>
          <w:b/>
          <w:i w:val="0"/>
          <w:sz w:val="19"/>
        </w:rPr>
        <w:t>Figure 10.</w:t>
      </w:r>
      <w:r>
        <w:rPr>
          <w:b w:val="0"/>
          <w:i w:val="0"/>
          <w:sz w:val="19"/>
        </w:rPr>
        <w:t xml:space="preserve"> Precision-recall curve of the final model; the red dot marks the chosen threshold.</w:t>
      </w:r>
    </w:p>
    <w:p>
      <w:pPr>
        <w:keepNext/>
        <w:spacing w:after="60"/>
      </w:pPr>
      <w:r>
        <w:rPr>
          <w:b/>
          <w:i w:val="0"/>
          <w:sz w:val="19"/>
        </w:rPr>
        <w:t>Table 7.</w:t>
      </w:r>
      <w:r>
        <w:rPr>
          <w:b w:val="0"/>
          <w:i w:val="0"/>
          <w:sz w:val="19"/>
        </w:rPr>
        <w:t xml:space="preserve"> Final model at the default and chosen thresholds (test set).</w:t>
      </w:r>
    </w:p>
    <w:tbl>
      <w:tblPr>
        <w:tblStyle w:val="TableGrid"/>
        <w:tblW w:type="auto" w:w="0"/>
        <w:jc w:val="center"/>
        <w:tblLayout w:type="fixed"/>
        <w:tblLook w:firstColumn="1" w:firstRow="1" w:lastColumn="0" w:lastRow="0" w:noHBand="0" w:noVBand="1" w:val="04A0"/>
      </w:tblPr>
      <w:tblGrid>
        <w:gridCol w:w="2448"/>
        <w:gridCol w:w="1584"/>
        <w:gridCol w:w="1584"/>
        <w:gridCol w:w="1584"/>
      </w:tblGrid>
      <w:tr>
        <w:tc>
          <w:tcPr>
            <w:tcW w:type="dxa" w:w="2448"/>
            <w:shd w:val="clear" w:color="auto" w:fill="1F3A5F"/>
          </w:tcPr>
          <w:p>
            <w:pPr>
              <w:keepNext/>
              <w:spacing w:after="20" w:before="20" w:line="240" w:lineRule="auto"/>
              <w:jc w:val="center"/>
            </w:pPr>
            <w:r>
              <w:rPr>
                <w:b/>
                <w:color w:val="FFFFFF"/>
                <w:sz w:val="18"/>
              </w:rPr>
              <w:t>Threshold</w:t>
            </w:r>
          </w:p>
        </w:tc>
        <w:tc>
          <w:tcPr>
            <w:tcW w:type="dxa" w:w="1584"/>
            <w:shd w:val="clear" w:color="auto" w:fill="1F3A5F"/>
          </w:tcPr>
          <w:p>
            <w:pPr>
              <w:keepNext/>
              <w:spacing w:after="20" w:before="20" w:line="240" w:lineRule="auto"/>
              <w:jc w:val="center"/>
            </w:pPr>
            <w:r>
              <w:rPr>
                <w:b/>
                <w:color w:val="FFFFFF"/>
                <w:sz w:val="18"/>
              </w:rPr>
              <w:t>Precision</w:t>
            </w:r>
          </w:p>
        </w:tc>
        <w:tc>
          <w:tcPr>
            <w:tcW w:type="dxa" w:w="1584"/>
            <w:shd w:val="clear" w:color="auto" w:fill="1F3A5F"/>
          </w:tcPr>
          <w:p>
            <w:pPr>
              <w:keepNext/>
              <w:spacing w:after="20" w:before="20" w:line="240" w:lineRule="auto"/>
              <w:jc w:val="center"/>
            </w:pPr>
            <w:r>
              <w:rPr>
                <w:b/>
                <w:color w:val="FFFFFF"/>
                <w:sz w:val="18"/>
              </w:rPr>
              <w:t>Recall</w:t>
            </w:r>
          </w:p>
        </w:tc>
        <w:tc>
          <w:tcPr>
            <w:tcW w:type="dxa" w:w="1584"/>
            <w:shd w:val="clear" w:color="auto" w:fill="1F3A5F"/>
          </w:tcPr>
          <w:p>
            <w:pPr>
              <w:keepNext/>
              <w:spacing w:after="20" w:before="20" w:line="240" w:lineRule="auto"/>
              <w:jc w:val="center"/>
            </w:pPr>
            <w:r>
              <w:rPr>
                <w:b/>
                <w:color w:val="FFFFFF"/>
                <w:sz w:val="18"/>
              </w:rPr>
              <w:t>F1</w:t>
            </w:r>
          </w:p>
        </w:tc>
      </w:tr>
      <w:tr>
        <w:tc>
          <w:tcPr>
            <w:tcW w:type="dxa" w:w="2448"/>
          </w:tcPr>
          <w:p>
            <w:pPr>
              <w:keepNext/>
              <w:spacing w:after="20" w:before="20" w:line="240" w:lineRule="auto"/>
              <w:jc w:val="left"/>
            </w:pPr>
            <w:r>
              <w:rPr>
                <w:sz w:val="18"/>
              </w:rPr>
              <w:t>0.50 (default)</w:t>
            </w:r>
          </w:p>
        </w:tc>
        <w:tc>
          <w:tcPr>
            <w:tcW w:type="dxa" w:w="1584"/>
          </w:tcPr>
          <w:p>
            <w:pPr>
              <w:keepNext/>
              <w:spacing w:after="20" w:before="20" w:line="240" w:lineRule="auto"/>
              <w:jc w:val="right"/>
            </w:pPr>
            <w:r>
              <w:rPr>
                <w:sz w:val="18"/>
              </w:rPr>
              <w:t>0.805</w:t>
            </w:r>
          </w:p>
        </w:tc>
        <w:tc>
          <w:tcPr>
            <w:tcW w:type="dxa" w:w="1584"/>
          </w:tcPr>
          <w:p>
            <w:pPr>
              <w:keepNext/>
              <w:spacing w:after="20" w:before="20" w:line="240" w:lineRule="auto"/>
              <w:jc w:val="right"/>
            </w:pPr>
            <w:r>
              <w:rPr>
                <w:sz w:val="18"/>
              </w:rPr>
              <w:t>0.486</w:t>
            </w:r>
          </w:p>
        </w:tc>
        <w:tc>
          <w:tcPr>
            <w:tcW w:type="dxa" w:w="1584"/>
          </w:tcPr>
          <w:p>
            <w:pPr>
              <w:keepNext/>
              <w:spacing w:after="20" w:before="20" w:line="240" w:lineRule="auto"/>
              <w:jc w:val="right"/>
            </w:pPr>
            <w:r>
              <w:rPr>
                <w:sz w:val="18"/>
              </w:rPr>
              <w:t>0.606</w:t>
            </w:r>
          </w:p>
        </w:tc>
      </w:tr>
      <w:tr>
        <w:tc>
          <w:tcPr>
            <w:tcW w:type="dxa" w:w="2448"/>
            <w:shd w:val="clear" w:color="auto" w:fill="EEF2F7"/>
          </w:tcPr>
          <w:p>
            <w:pPr>
              <w:spacing w:after="20" w:before="20" w:line="240" w:lineRule="auto"/>
              <w:jc w:val="left"/>
            </w:pPr>
            <w:r>
              <w:rPr>
                <w:sz w:val="18"/>
              </w:rPr>
              <w:t>0.29 (chosen)</w:t>
            </w:r>
          </w:p>
        </w:tc>
        <w:tc>
          <w:tcPr>
            <w:tcW w:type="dxa" w:w="1584"/>
            <w:shd w:val="clear" w:color="auto" w:fill="EEF2F7"/>
          </w:tcPr>
          <w:p>
            <w:pPr>
              <w:spacing w:after="20" w:before="20" w:line="240" w:lineRule="auto"/>
              <w:jc w:val="right"/>
            </w:pPr>
            <w:r>
              <w:rPr>
                <w:sz w:val="18"/>
              </w:rPr>
              <w:t>0.607</w:t>
            </w:r>
          </w:p>
        </w:tc>
        <w:tc>
          <w:tcPr>
            <w:tcW w:type="dxa" w:w="1584"/>
            <w:shd w:val="clear" w:color="auto" w:fill="EEF2F7"/>
          </w:tcPr>
          <w:p>
            <w:pPr>
              <w:spacing w:after="20" w:before="20" w:line="240" w:lineRule="auto"/>
              <w:jc w:val="right"/>
            </w:pPr>
            <w:r>
              <w:rPr>
                <w:sz w:val="18"/>
              </w:rPr>
              <w:t>0.676</w:t>
            </w:r>
          </w:p>
        </w:tc>
        <w:tc>
          <w:tcPr>
            <w:tcW w:type="dxa" w:w="1584"/>
            <w:shd w:val="clear" w:color="auto" w:fill="EEF2F7"/>
          </w:tcPr>
          <w:p>
            <w:pPr>
              <w:spacing w:after="20" w:before="20" w:line="240" w:lineRule="auto"/>
              <w:jc w:val="right"/>
            </w:pPr>
            <w:r>
              <w:rPr>
                <w:sz w:val="18"/>
              </w:rPr>
              <w:t>0.640</w:t>
            </w:r>
          </w:p>
        </w:tc>
      </w:tr>
    </w:tbl>
    <w:p>
      <w:pPr>
        <w:spacing w:after="40"/>
      </w:pPr>
    </w:p>
    <w:p>
      <w:pPr>
        <w:jc w:val="both"/>
      </w:pPr>
      <w:r>
        <w:rPr>
          <w:b w:val="0"/>
          <w:i w:val="0"/>
        </w:rPr>
        <w:t>In practical terms (Figure 11), the model flags 453 of the 2,000 test customers (22.7%). Of these, 275 are real churners and 178 are false alarms. It misses 132 churners (32.4% of all churners) and correctly leaves 1,415 stayers alone. Whether this balance is right depends on the cost of a retention offer compared with the value of a saved customer; a higher threshold would reduce false alarms at the price of missing more churners.</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2743200" cy="2057400"/>
                  <wp:docPr id="16" name="Picture 16"/>
                  <wp:cNvGraphicFramePr>
                    <a:graphicFrameLocks noChangeAspect="1"/>
                  </wp:cNvGraphicFramePr>
                  <a:graphic>
                    <a:graphicData uri="http://schemas.openxmlformats.org/drawingml/2006/picture">
                      <pic:pic>
                        <pic:nvPicPr>
                          <pic:cNvPr id="0" name="16_final_confusion_matrix.png"/>
                          <pic:cNvPicPr/>
                        </pic:nvPicPr>
                        <pic:blipFill>
                          <a:blip r:embed="rId25"/>
                          <a:stretch>
                            <a:fillRect/>
                          </a:stretch>
                        </pic:blipFill>
                        <pic:spPr>
                          <a:xfrm>
                            <a:off x="0" y="0"/>
                            <a:ext cx="2743200" cy="2057400"/>
                          </a:xfrm>
                          <a:prstGeom prst="rect"/>
                        </pic:spPr>
                      </pic:pic>
                    </a:graphicData>
                  </a:graphic>
                </wp:inline>
              </w:drawing>
            </w:r>
          </w:p>
        </w:tc>
      </w:tr>
    </w:tbl>
    <w:p>
      <w:pPr>
        <w:spacing w:after="160"/>
        <w:jc w:val="center"/>
      </w:pPr>
      <w:r>
        <w:rPr>
          <w:b/>
          <w:i w:val="0"/>
          <w:sz w:val="19"/>
        </w:rPr>
        <w:t>Figure 11.</w:t>
      </w:r>
      <w:r>
        <w:rPr>
          <w:b w:val="0"/>
          <w:i w:val="0"/>
          <w:sz w:val="19"/>
        </w:rPr>
        <w:t xml:space="preserve"> Confusion matrix of the final XGBoost model at threshold 0.29 (test set).</w:t>
      </w:r>
    </w:p>
    <w:p>
      <w:pPr>
        <w:pStyle w:val="Heading1"/>
      </w:pPr>
      <w:r>
        <w:t>6. Explaining the final model</w:t>
      </w:r>
    </w:p>
    <w:p>
      <w:pPr>
        <w:pStyle w:val="Heading2"/>
      </w:pPr>
      <w:r>
        <w:t>6.1 Which features matter</w:t>
      </w:r>
    </w:p>
    <w:p>
      <w:pPr>
        <w:jc w:val="both"/>
      </w:pPr>
      <w:r>
        <w:rPr>
          <w:b w:val="0"/>
          <w:i w:val="0"/>
        </w:rPr>
        <w:t>SHAP values show how much each feature moves a customer's predicted risk. By mean absolute SHAP value, age (0.79) and the number of products (0.74) lead, followed by engagement (0.33), Germany (0.26) and gender (0.21). Balance, balance-to-salary ratio, salary and activity status each contribute 0.06-0.10 (Figures 12 and 13). Two points help reading these bars. Age enters through three features (Age, AgeTenure and AgeByTenure), so its total influence is larger than one bar suggests. The effect of activity is shared between IsActiveMember and EngagementProduct, so the single activity bar understates it.</w:t>
      </w:r>
    </w:p>
    <w:tbl>
      <w:tblPr>
        <w:tblW w:type="auto" w:w="0"/>
        <w:jc w:val="center"/>
        <w:tblLook w:firstColumn="1" w:firstRow="1" w:lastColumn="0" w:lastRow="0" w:noHBand="0" w:noVBand="1" w:val="04A0"/>
      </w:tblPr>
      <w:tblGrid>
        <w:gridCol w:w="4513"/>
        <w:gridCol w:w="4513"/>
      </w:tblGrid>
      <w:tr>
        <w:tc>
          <w:tcPr>
            <w:tcW w:type="dxa" w:w="4513"/>
          </w:tcPr>
          <w:p>
            <w:pPr>
              <w:spacing w:after="0"/>
              <w:jc w:val="center"/>
            </w:pPr>
            <w:r>
              <w:drawing>
                <wp:inline xmlns:a="http://schemas.openxmlformats.org/drawingml/2006/main" xmlns:pic="http://schemas.openxmlformats.org/drawingml/2006/picture">
                  <wp:extent cx="2834640" cy="2429691"/>
                  <wp:docPr id="17" name="Picture 17"/>
                  <wp:cNvGraphicFramePr>
                    <a:graphicFrameLocks noChangeAspect="1"/>
                  </wp:cNvGraphicFramePr>
                  <a:graphic>
                    <a:graphicData uri="http://schemas.openxmlformats.org/drawingml/2006/picture">
                      <pic:pic>
                        <pic:nvPicPr>
                          <pic:cNvPr id="0" name="17_feature_importance.png"/>
                          <pic:cNvPicPr/>
                        </pic:nvPicPr>
                        <pic:blipFill>
                          <a:blip r:embed="rId26"/>
                          <a:stretch>
                            <a:fillRect/>
                          </a:stretch>
                        </pic:blipFill>
                        <pic:spPr>
                          <a:xfrm>
                            <a:off x="0" y="0"/>
                            <a:ext cx="2834640" cy="2429691"/>
                          </a:xfrm>
                          <a:prstGeom prst="rect"/>
                        </pic:spPr>
                      </pic:pic>
                    </a:graphicData>
                  </a:graphic>
                </wp:inline>
              </w:drawing>
            </w:r>
          </w:p>
        </w:tc>
        <w:tc>
          <w:tcPr>
            <w:tcW w:type="dxa" w:w="4513"/>
          </w:tcPr>
          <w:p>
            <w:pPr>
              <w:spacing w:after="0"/>
              <w:jc w:val="center"/>
            </w:pPr>
            <w:r>
              <w:drawing>
                <wp:inline xmlns:a="http://schemas.openxmlformats.org/drawingml/2006/main" xmlns:pic="http://schemas.openxmlformats.org/drawingml/2006/picture">
                  <wp:extent cx="2834640" cy="1864262"/>
                  <wp:docPr id="18" name="Picture 18"/>
                  <wp:cNvGraphicFramePr>
                    <a:graphicFrameLocks noChangeAspect="1"/>
                  </wp:cNvGraphicFramePr>
                  <a:graphic>
                    <a:graphicData uri="http://schemas.openxmlformats.org/drawingml/2006/picture">
                      <pic:pic>
                        <pic:nvPicPr>
                          <pic:cNvPr id="0" name="19_shap_bar.png"/>
                          <pic:cNvPicPr/>
                        </pic:nvPicPr>
                        <pic:blipFill>
                          <a:blip r:embed="rId27"/>
                          <a:stretch>
                            <a:fillRect/>
                          </a:stretch>
                        </pic:blipFill>
                        <pic:spPr>
                          <a:xfrm>
                            <a:off x="0" y="0"/>
                            <a:ext cx="2834640" cy="1864262"/>
                          </a:xfrm>
                          <a:prstGeom prst="rect"/>
                        </pic:spPr>
                      </pic:pic>
                    </a:graphicData>
                  </a:graphic>
                </wp:inline>
              </w:drawing>
            </w:r>
          </w:p>
        </w:tc>
      </w:tr>
    </w:tbl>
    <w:p>
      <w:pPr>
        <w:spacing w:after="160"/>
        <w:jc w:val="center"/>
      </w:pPr>
      <w:r>
        <w:rPr>
          <w:b/>
          <w:i w:val="0"/>
          <w:sz w:val="19"/>
        </w:rPr>
        <w:t>Figure 12.</w:t>
      </w:r>
      <w:r>
        <w:rPr>
          <w:b w:val="0"/>
          <w:i w:val="0"/>
          <w:sz w:val="19"/>
        </w:rPr>
        <w:t xml:space="preserve"> (a) Model feature importance and (b) mean absolute SHAP value for each feature.</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4206240" cy="2443812"/>
                  <wp:docPr id="19" name="Picture 19"/>
                  <wp:cNvGraphicFramePr>
                    <a:graphicFrameLocks noChangeAspect="1"/>
                  </wp:cNvGraphicFramePr>
                  <a:graphic>
                    <a:graphicData uri="http://schemas.openxmlformats.org/drawingml/2006/picture">
                      <pic:pic>
                        <pic:nvPicPr>
                          <pic:cNvPr id="0" name="18_shap_beeswarm.png"/>
                          <pic:cNvPicPr/>
                        </pic:nvPicPr>
                        <pic:blipFill>
                          <a:blip r:embed="rId28"/>
                          <a:stretch>
                            <a:fillRect/>
                          </a:stretch>
                        </pic:blipFill>
                        <pic:spPr>
                          <a:xfrm>
                            <a:off x="0" y="0"/>
                            <a:ext cx="4206240" cy="2443812"/>
                          </a:xfrm>
                          <a:prstGeom prst="rect"/>
                        </pic:spPr>
                      </pic:pic>
                    </a:graphicData>
                  </a:graphic>
                </wp:inline>
              </w:drawing>
            </w:r>
          </w:p>
        </w:tc>
      </w:tr>
    </w:tbl>
    <w:p>
      <w:pPr>
        <w:spacing w:after="160"/>
        <w:jc w:val="center"/>
      </w:pPr>
      <w:r>
        <w:rPr>
          <w:b/>
          <w:i w:val="0"/>
          <w:sz w:val="19"/>
        </w:rPr>
        <w:t>Figure 13.</w:t>
      </w:r>
      <w:r>
        <w:rPr>
          <w:b w:val="0"/>
          <w:i w:val="0"/>
          <w:sz w:val="19"/>
        </w:rPr>
        <w:t xml:space="preserve"> SHAP summary: each dot is a customer; red means a high feature value, and dots to the right raise the risk.</w:t>
      </w:r>
    </w:p>
    <w:p>
      <w:pPr>
        <w:pStyle w:val="Heading2"/>
      </w:pPr>
      <w:r>
        <w:t>6.2 How risk changes with each feature</w:t>
      </w:r>
    </w:p>
    <w:p>
      <w:pPr>
        <w:jc w:val="both"/>
      </w:pPr>
      <w:r>
        <w:rPr>
          <w:b w:val="0"/>
          <w:i w:val="0"/>
        </w:rPr>
        <w:t>Partial dependence plots (Figure 14) show the average predicted risk as one feature changes. Risk rises from about 10% for customers up to their mid-30s to a peak of around 50% in the late 50s and early 60s, then falls sharply after about 65. By number of products it is about 27% for one product, 11% for two, 75% for three and 83% for four. Balance has almost no effect on its own (about 20% across the range), and inactive customers sit at about 27% against 16% for active ones.</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4572000" cy="3200400"/>
                  <wp:docPr id="20" name="Picture 20"/>
                  <wp:cNvGraphicFramePr>
                    <a:graphicFrameLocks noChangeAspect="1"/>
                  </wp:cNvGraphicFramePr>
                  <a:graphic>
                    <a:graphicData uri="http://schemas.openxmlformats.org/drawingml/2006/picture">
                      <pic:pic>
                        <pic:nvPicPr>
                          <pic:cNvPr id="0" name="23_partial_dependence.png"/>
                          <pic:cNvPicPr/>
                        </pic:nvPicPr>
                        <pic:blipFill>
                          <a:blip r:embed="rId29"/>
                          <a:stretch>
                            <a:fillRect/>
                          </a:stretch>
                        </pic:blipFill>
                        <pic:spPr>
                          <a:xfrm>
                            <a:off x="0" y="0"/>
                            <a:ext cx="4572000" cy="3200400"/>
                          </a:xfrm>
                          <a:prstGeom prst="rect"/>
                        </pic:spPr>
                      </pic:pic>
                    </a:graphicData>
                  </a:graphic>
                </wp:inline>
              </w:drawing>
            </w:r>
          </w:p>
        </w:tc>
      </w:tr>
    </w:tbl>
    <w:p>
      <w:pPr>
        <w:spacing w:after="160"/>
        <w:jc w:val="center"/>
      </w:pPr>
      <w:r>
        <w:rPr>
          <w:b/>
          <w:i w:val="0"/>
          <w:sz w:val="19"/>
        </w:rPr>
        <w:t>Figure 14.</w:t>
      </w:r>
      <w:r>
        <w:rPr>
          <w:b w:val="0"/>
          <w:i w:val="0"/>
          <w:sz w:val="19"/>
        </w:rPr>
        <w:t xml:space="preserve"> Partial dependence of predicted churn risk on age, products, balance and activity.</w:t>
      </w:r>
    </w:p>
    <w:p>
      <w:pPr>
        <w:pStyle w:val="Heading2"/>
      </w:pPr>
      <w:r>
        <w:t>6.3 Why individual customers are flagged</w:t>
      </w:r>
    </w:p>
    <w:p>
      <w:pPr>
        <w:jc w:val="both"/>
      </w:pPr>
      <w:r>
        <w:rPr>
          <w:b w:val="0"/>
          <w:i w:val="0"/>
        </w:rPr>
        <w:t>SHAP also explains single customers (Figure 15). The highest-risk customer in the test set (risk 0.995, who did leave) is a 58-year-old man in Germany with four products, who is inactive and holds a balance far above his salary. Holding four products adds the most risk, followed by age, inactivity and country. A customer exactly at the threshold (risk 0.29) is a 61-year-old woman in Spain with one product who is active: her age pushes the risk up, while being active pulls it down. The lowest-risk customer (0.009) is a 26-year-old man in France with two products who is active; two products and a young age both lower the risk.</w:t>
      </w:r>
    </w:p>
    <w:tbl>
      <w:tblPr>
        <w:tblW w:type="auto" w:w="0"/>
        <w:jc w:val="center"/>
        <w:tblLook w:firstColumn="1" w:firstRow="1" w:lastColumn="0" w:lastRow="0" w:noHBand="0" w:noVBand="1" w:val="04A0"/>
      </w:tblPr>
      <w:tblGrid>
        <w:gridCol w:w="9026"/>
      </w:tblGrid>
      <w:tr>
        <w:tc>
          <w:tcPr>
            <w:tcW w:type="dxa" w:w="9026"/>
          </w:tcPr>
          <w:p>
            <w:pPr>
              <w:spacing w:after="0"/>
              <w:jc w:val="center"/>
            </w:pPr>
            <w:r>
              <w:drawing>
                <wp:inline xmlns:a="http://schemas.openxmlformats.org/drawingml/2006/main" xmlns:pic="http://schemas.openxmlformats.org/drawingml/2006/picture">
                  <wp:extent cx="4023360" cy="2484934"/>
                  <wp:docPr id="21" name="Picture 21"/>
                  <wp:cNvGraphicFramePr>
                    <a:graphicFrameLocks noChangeAspect="1"/>
                  </wp:cNvGraphicFramePr>
                  <a:graphic>
                    <a:graphicData uri="http://schemas.openxmlformats.org/drawingml/2006/picture">
                      <pic:pic>
                        <pic:nvPicPr>
                          <pic:cNvPr id="0" name="20_shap_waterfall_high_risk.png"/>
                          <pic:cNvPicPr/>
                        </pic:nvPicPr>
                        <pic:blipFill>
                          <a:blip r:embed="rId30"/>
                          <a:stretch>
                            <a:fillRect/>
                          </a:stretch>
                        </pic:blipFill>
                        <pic:spPr>
                          <a:xfrm>
                            <a:off x="0" y="0"/>
                            <a:ext cx="4023360" cy="2484934"/>
                          </a:xfrm>
                          <a:prstGeom prst="rect"/>
                        </pic:spPr>
                      </pic:pic>
                    </a:graphicData>
                  </a:graphic>
                </wp:inline>
              </w:drawing>
            </w:r>
          </w:p>
        </w:tc>
      </w:tr>
      <w:tr>
        <w:tc>
          <w:tcPr>
            <w:tcW w:type="dxa" w:w="9026"/>
          </w:tcPr>
          <w:p>
            <w:pPr>
              <w:spacing w:after="0"/>
              <w:jc w:val="center"/>
            </w:pPr>
            <w:r>
              <w:drawing>
                <wp:inline xmlns:a="http://schemas.openxmlformats.org/drawingml/2006/main" xmlns:pic="http://schemas.openxmlformats.org/drawingml/2006/picture">
                  <wp:extent cx="4023360" cy="2417819"/>
                  <wp:docPr id="22" name="Picture 22"/>
                  <wp:cNvGraphicFramePr>
                    <a:graphicFrameLocks noChangeAspect="1"/>
                  </wp:cNvGraphicFramePr>
                  <a:graphic>
                    <a:graphicData uri="http://schemas.openxmlformats.org/drawingml/2006/picture">
                      <pic:pic>
                        <pic:nvPicPr>
                          <pic:cNvPr id="0" name="21_shap_waterfall_near_threshold.png"/>
                          <pic:cNvPicPr/>
                        </pic:nvPicPr>
                        <pic:blipFill>
                          <a:blip r:embed="rId31"/>
                          <a:stretch>
                            <a:fillRect/>
                          </a:stretch>
                        </pic:blipFill>
                        <pic:spPr>
                          <a:xfrm>
                            <a:off x="0" y="0"/>
                            <a:ext cx="4023360" cy="2417819"/>
                          </a:xfrm>
                          <a:prstGeom prst="rect"/>
                        </pic:spPr>
                      </pic:pic>
                    </a:graphicData>
                  </a:graphic>
                </wp:inline>
              </w:drawing>
            </w:r>
          </w:p>
        </w:tc>
      </w:tr>
      <w:tr>
        <w:tc>
          <w:tcPr>
            <w:tcW w:type="dxa" w:w="9026"/>
          </w:tcPr>
          <w:p>
            <w:pPr>
              <w:spacing w:after="0"/>
              <w:jc w:val="center"/>
            </w:pPr>
            <w:r>
              <w:drawing>
                <wp:inline xmlns:a="http://schemas.openxmlformats.org/drawingml/2006/main" xmlns:pic="http://schemas.openxmlformats.org/drawingml/2006/picture">
                  <wp:extent cx="4023360" cy="2320668"/>
                  <wp:docPr id="23" name="Picture 23"/>
                  <wp:cNvGraphicFramePr>
                    <a:graphicFrameLocks noChangeAspect="1"/>
                  </wp:cNvGraphicFramePr>
                  <a:graphic>
                    <a:graphicData uri="http://schemas.openxmlformats.org/drawingml/2006/picture">
                      <pic:pic>
                        <pic:nvPicPr>
                          <pic:cNvPr id="0" name="22_shap_waterfall_low_risk.png"/>
                          <pic:cNvPicPr/>
                        </pic:nvPicPr>
                        <pic:blipFill>
                          <a:blip r:embed="rId32"/>
                          <a:stretch>
                            <a:fillRect/>
                          </a:stretch>
                        </pic:blipFill>
                        <pic:spPr>
                          <a:xfrm>
                            <a:off x="0" y="0"/>
                            <a:ext cx="4023360" cy="2320668"/>
                          </a:xfrm>
                          <a:prstGeom prst="rect"/>
                        </pic:spPr>
                      </pic:pic>
                    </a:graphicData>
                  </a:graphic>
                </wp:inline>
              </w:drawing>
            </w:r>
          </w:p>
        </w:tc>
      </w:tr>
    </w:tbl>
    <w:p>
      <w:pPr>
        <w:spacing w:after="160"/>
        <w:jc w:val="center"/>
      </w:pPr>
      <w:r>
        <w:rPr>
          <w:b/>
          <w:i w:val="0"/>
          <w:sz w:val="19"/>
        </w:rPr>
        <w:t>Figure 15.</w:t>
      </w:r>
      <w:r>
        <w:rPr>
          <w:b w:val="0"/>
          <w:i w:val="0"/>
          <w:sz w:val="19"/>
        </w:rPr>
        <w:t xml:space="preserve"> SHAP explanations for (a) the highest-risk, (b) a threshold-level and (c) the lowest-risk test customer.</w:t>
      </w:r>
    </w:p>
    <w:p>
      <w:pPr>
        <w:pStyle w:val="Heading2"/>
      </w:pPr>
      <w:r>
        <w:t>6.4 Comparison with Logistic Regression</w:t>
      </w:r>
    </w:p>
    <w:p>
      <w:pPr>
        <w:keepNext/>
        <w:spacing w:after="60"/>
      </w:pPr>
      <w:r>
        <w:rPr>
          <w:b/>
          <w:i w:val="0"/>
          <w:sz w:val="19"/>
        </w:rPr>
        <w:t>Table 8.</w:t>
      </w:r>
      <w:r>
        <w:rPr>
          <w:b w:val="0"/>
          <w:i w:val="0"/>
          <w:sz w:val="19"/>
        </w:rPr>
        <w:t xml:space="preserve"> Top features in SHAP compared with Logistic Regression (all features in Appendix A).</w:t>
      </w:r>
    </w:p>
    <w:tbl>
      <w:tblPr>
        <w:tblStyle w:val="TableGrid"/>
        <w:tblW w:type="auto" w:w="0"/>
        <w:jc w:val="center"/>
        <w:tblLayout w:type="fixed"/>
        <w:tblLook w:firstColumn="1" w:firstRow="1" w:lastColumn="0" w:lastRow="0" w:noHBand="0" w:noVBand="1" w:val="04A0"/>
      </w:tblPr>
      <w:tblGrid>
        <w:gridCol w:w="2304"/>
        <w:gridCol w:w="1152"/>
        <w:gridCol w:w="1008"/>
        <w:gridCol w:w="1224"/>
        <w:gridCol w:w="1080"/>
        <w:gridCol w:w="864"/>
        <w:gridCol w:w="936"/>
      </w:tblGrid>
      <w:tr>
        <w:tc>
          <w:tcPr>
            <w:tcW w:type="dxa" w:w="2304"/>
            <w:shd w:val="clear" w:color="auto" w:fill="1F3A5F"/>
          </w:tcPr>
          <w:p>
            <w:pPr>
              <w:keepNext/>
              <w:spacing w:after="20" w:before="20" w:line="240" w:lineRule="auto"/>
              <w:jc w:val="center"/>
            </w:pPr>
            <w:r>
              <w:rPr>
                <w:b/>
                <w:color w:val="FFFFFF"/>
                <w:sz w:val="17"/>
              </w:rPr>
              <w:t>Feature</w:t>
            </w:r>
          </w:p>
        </w:tc>
        <w:tc>
          <w:tcPr>
            <w:tcW w:type="dxa" w:w="1152"/>
            <w:shd w:val="clear" w:color="auto" w:fill="1F3A5F"/>
          </w:tcPr>
          <w:p>
            <w:pPr>
              <w:keepNext/>
              <w:spacing w:after="20" w:before="20" w:line="240" w:lineRule="auto"/>
              <w:jc w:val="center"/>
            </w:pPr>
            <w:r>
              <w:rPr>
                <w:b/>
                <w:color w:val="FFFFFF"/>
                <w:sz w:val="17"/>
              </w:rPr>
              <w:t>SHAP importance</w:t>
            </w:r>
          </w:p>
        </w:tc>
        <w:tc>
          <w:tcPr>
            <w:tcW w:type="dxa" w:w="1008"/>
            <w:shd w:val="clear" w:color="auto" w:fill="1F3A5F"/>
          </w:tcPr>
          <w:p>
            <w:pPr>
              <w:keepNext/>
              <w:spacing w:after="20" w:before="20" w:line="240" w:lineRule="auto"/>
              <w:jc w:val="center"/>
            </w:pPr>
            <w:r>
              <w:rPr>
                <w:b/>
                <w:color w:val="FFFFFF"/>
                <w:sz w:val="17"/>
              </w:rPr>
              <w:t>SHAP direction</w:t>
            </w:r>
          </w:p>
        </w:tc>
        <w:tc>
          <w:tcPr>
            <w:tcW w:type="dxa" w:w="1224"/>
            <w:shd w:val="clear" w:color="auto" w:fill="1F3A5F"/>
          </w:tcPr>
          <w:p>
            <w:pPr>
              <w:keepNext/>
              <w:spacing w:after="20" w:before="20" w:line="240" w:lineRule="auto"/>
              <w:jc w:val="center"/>
            </w:pPr>
            <w:r>
              <w:rPr>
                <w:b/>
                <w:color w:val="FFFFFF"/>
                <w:sz w:val="17"/>
              </w:rPr>
              <w:t>LogReg coefficient</w:t>
            </w:r>
          </w:p>
        </w:tc>
        <w:tc>
          <w:tcPr>
            <w:tcW w:type="dxa" w:w="1080"/>
            <w:shd w:val="clear" w:color="auto" w:fill="1F3A5F"/>
          </w:tcPr>
          <w:p>
            <w:pPr>
              <w:keepNext/>
              <w:spacing w:after="20" w:before="20" w:line="240" w:lineRule="auto"/>
              <w:jc w:val="center"/>
            </w:pPr>
            <w:r>
              <w:rPr>
                <w:b/>
                <w:color w:val="FFFFFF"/>
                <w:sz w:val="17"/>
              </w:rPr>
              <w:t>LogReg direction</w:t>
            </w:r>
          </w:p>
        </w:tc>
        <w:tc>
          <w:tcPr>
            <w:tcW w:type="dxa" w:w="864"/>
            <w:shd w:val="clear" w:color="auto" w:fill="1F3A5F"/>
          </w:tcPr>
          <w:p>
            <w:pPr>
              <w:keepNext/>
              <w:spacing w:after="20" w:before="20" w:line="240" w:lineRule="auto"/>
              <w:jc w:val="center"/>
            </w:pPr>
            <w:r>
              <w:rPr>
                <w:b/>
                <w:color w:val="FFFFFF"/>
                <w:sz w:val="17"/>
              </w:rPr>
              <w:t>SHAP rank</w:t>
            </w:r>
          </w:p>
        </w:tc>
        <w:tc>
          <w:tcPr>
            <w:tcW w:type="dxa" w:w="936"/>
            <w:shd w:val="clear" w:color="auto" w:fill="1F3A5F"/>
          </w:tcPr>
          <w:p>
            <w:pPr>
              <w:keepNext/>
              <w:spacing w:after="20" w:before="20" w:line="240" w:lineRule="auto"/>
              <w:jc w:val="center"/>
            </w:pPr>
            <w:r>
              <w:rPr>
                <w:b/>
                <w:color w:val="FFFFFF"/>
                <w:sz w:val="17"/>
              </w:rPr>
              <w:t>LogReg rank</w:t>
            </w:r>
          </w:p>
        </w:tc>
      </w:tr>
      <w:tr>
        <w:tc>
          <w:tcPr>
            <w:tcW w:type="dxa" w:w="2304"/>
          </w:tcPr>
          <w:p>
            <w:pPr>
              <w:keepNext/>
              <w:spacing w:after="20" w:before="20" w:line="240" w:lineRule="auto"/>
              <w:jc w:val="left"/>
            </w:pPr>
            <w:r>
              <w:rPr>
                <w:sz w:val="17"/>
              </w:rPr>
              <w:t>Age</w:t>
            </w:r>
          </w:p>
        </w:tc>
        <w:tc>
          <w:tcPr>
            <w:tcW w:type="dxa" w:w="1152"/>
          </w:tcPr>
          <w:p>
            <w:pPr>
              <w:keepNext/>
              <w:spacing w:after="20" w:before="20" w:line="240" w:lineRule="auto"/>
              <w:jc w:val="right"/>
            </w:pPr>
            <w:r>
              <w:rPr>
                <w:sz w:val="17"/>
              </w:rPr>
              <w:t>0.786</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0.696</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1</w:t>
            </w:r>
          </w:p>
        </w:tc>
        <w:tc>
          <w:tcPr>
            <w:tcW w:type="dxa" w:w="936"/>
          </w:tcPr>
          <w:p>
            <w:pPr>
              <w:keepNext/>
              <w:spacing w:after="20" w:before="20" w:line="240" w:lineRule="auto"/>
              <w:jc w:val="right"/>
            </w:pPr>
            <w:r>
              <w:rPr>
                <w:sz w:val="17"/>
              </w:rPr>
              <w:t>3</w:t>
            </w:r>
          </w:p>
        </w:tc>
      </w:tr>
      <w:tr>
        <w:tc>
          <w:tcPr>
            <w:tcW w:type="dxa" w:w="2304"/>
            <w:shd w:val="clear" w:color="auto" w:fill="EEF2F7"/>
          </w:tcPr>
          <w:p>
            <w:pPr>
              <w:keepNext/>
              <w:spacing w:after="20" w:before="20" w:line="240" w:lineRule="auto"/>
              <w:jc w:val="left"/>
            </w:pPr>
            <w:r>
              <w:rPr>
                <w:sz w:val="17"/>
              </w:rPr>
              <w:t>NumOfProducts</w:t>
            </w:r>
          </w:p>
        </w:tc>
        <w:tc>
          <w:tcPr>
            <w:tcW w:type="dxa" w:w="1152"/>
            <w:shd w:val="clear" w:color="auto" w:fill="EEF2F7"/>
          </w:tcPr>
          <w:p>
            <w:pPr>
              <w:keepNext/>
              <w:spacing w:after="20" w:before="20" w:line="240" w:lineRule="auto"/>
              <w:jc w:val="right"/>
            </w:pPr>
            <w:r>
              <w:rPr>
                <w:sz w:val="17"/>
              </w:rPr>
              <w:t>0.736</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-0.124</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2</w:t>
            </w:r>
          </w:p>
        </w:tc>
        <w:tc>
          <w:tcPr>
            <w:tcW w:type="dxa" w:w="936"/>
            <w:shd w:val="clear" w:color="auto" w:fill="EEF2F7"/>
          </w:tcPr>
          <w:p>
            <w:pPr>
              <w:keepNext/>
              <w:spacing w:after="20" w:before="20" w:line="240" w:lineRule="auto"/>
              <w:jc w:val="right"/>
            </w:pPr>
            <w:r>
              <w:rPr>
                <w:sz w:val="17"/>
              </w:rPr>
              <w:t>8</w:t>
            </w:r>
          </w:p>
        </w:tc>
      </w:tr>
      <w:tr>
        <w:tc>
          <w:tcPr>
            <w:tcW w:type="dxa" w:w="2304"/>
          </w:tcPr>
          <w:p>
            <w:pPr>
              <w:keepNext/>
              <w:spacing w:after="20" w:before="20" w:line="240" w:lineRule="auto"/>
              <w:jc w:val="left"/>
            </w:pPr>
            <w:r>
              <w:rPr>
                <w:sz w:val="17"/>
              </w:rPr>
              <w:t>EngagementProduct</w:t>
            </w:r>
          </w:p>
        </w:tc>
        <w:tc>
          <w:tcPr>
            <w:tcW w:type="dxa" w:w="1152"/>
          </w:tcPr>
          <w:p>
            <w:pPr>
              <w:keepNext/>
              <w:spacing w:after="20" w:before="20" w:line="240" w:lineRule="auto"/>
              <w:jc w:val="right"/>
            </w:pPr>
            <w:r>
              <w:rPr>
                <w:sz w:val="17"/>
              </w:rPr>
              <w:t>0.325</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0.272</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3</w:t>
            </w:r>
          </w:p>
        </w:tc>
        <w:tc>
          <w:tcPr>
            <w:tcW w:type="dxa" w:w="936"/>
          </w:tcPr>
          <w:p>
            <w:pPr>
              <w:keepNext/>
              <w:spacing w:after="20" w:before="20" w:line="240" w:lineRule="auto"/>
              <w:jc w:val="right"/>
            </w:pPr>
            <w:r>
              <w:rPr>
                <w:sz w:val="17"/>
              </w:rPr>
              <w:t>5</w:t>
            </w:r>
          </w:p>
        </w:tc>
      </w:tr>
      <w:tr>
        <w:tc>
          <w:tcPr>
            <w:tcW w:type="dxa" w:w="2304"/>
            <w:shd w:val="clear" w:color="auto" w:fill="EEF2F7"/>
          </w:tcPr>
          <w:p>
            <w:pPr>
              <w:keepNext/>
              <w:spacing w:after="20" w:before="20" w:line="240" w:lineRule="auto"/>
              <w:jc w:val="left"/>
            </w:pPr>
            <w:r>
              <w:rPr>
                <w:sz w:val="17"/>
              </w:rPr>
              <w:t>Geography_Germany</w:t>
            </w:r>
          </w:p>
        </w:tc>
        <w:tc>
          <w:tcPr>
            <w:tcW w:type="dxa" w:w="1152"/>
            <w:shd w:val="clear" w:color="auto" w:fill="EEF2F7"/>
          </w:tcPr>
          <w:p>
            <w:pPr>
              <w:keepNext/>
              <w:spacing w:after="20" w:before="20" w:line="240" w:lineRule="auto"/>
              <w:jc w:val="right"/>
            </w:pPr>
            <w:r>
              <w:rPr>
                <w:sz w:val="17"/>
              </w:rPr>
              <w:t>0.256</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0.816</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4</w:t>
            </w:r>
          </w:p>
        </w:tc>
        <w:tc>
          <w:tcPr>
            <w:tcW w:type="dxa" w:w="936"/>
            <w:shd w:val="clear" w:color="auto" w:fill="EEF2F7"/>
          </w:tcPr>
          <w:p>
            <w:pPr>
              <w:keepNext/>
              <w:spacing w:after="20" w:before="20" w:line="240" w:lineRule="auto"/>
              <w:jc w:val="right"/>
            </w:pPr>
            <w:r>
              <w:rPr>
                <w:sz w:val="17"/>
              </w:rPr>
              <w:t>2</w:t>
            </w:r>
          </w:p>
        </w:tc>
      </w:tr>
      <w:tr>
        <w:tc>
          <w:tcPr>
            <w:tcW w:type="dxa" w:w="2304"/>
          </w:tcPr>
          <w:p>
            <w:pPr>
              <w:keepNext/>
              <w:spacing w:after="20" w:before="20" w:line="240" w:lineRule="auto"/>
              <w:jc w:val="left"/>
            </w:pPr>
            <w:r>
              <w:rPr>
                <w:sz w:val="17"/>
              </w:rPr>
              <w:t>Gender_Male</w:t>
            </w:r>
          </w:p>
        </w:tc>
        <w:tc>
          <w:tcPr>
            <w:tcW w:type="dxa" w:w="1152"/>
          </w:tcPr>
          <w:p>
            <w:pPr>
              <w:keepNext/>
              <w:spacing w:after="20" w:before="20" w:line="240" w:lineRule="auto"/>
              <w:jc w:val="right"/>
            </w:pPr>
            <w:r>
              <w:rPr>
                <w:sz w:val="17"/>
              </w:rPr>
              <w:t>0.212</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-0.524</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5</w:t>
            </w:r>
          </w:p>
        </w:tc>
        <w:tc>
          <w:tcPr>
            <w:tcW w:type="dxa" w:w="936"/>
          </w:tcPr>
          <w:p>
            <w:pPr>
              <w:keepNext/>
              <w:spacing w:after="20" w:before="20" w:line="240" w:lineRule="auto"/>
              <w:jc w:val="right"/>
            </w:pPr>
            <w:r>
              <w:rPr>
                <w:sz w:val="17"/>
              </w:rPr>
              <w:t>4</w:t>
            </w:r>
          </w:p>
        </w:tc>
      </w:tr>
      <w:tr>
        <w:tc>
          <w:tcPr>
            <w:tcW w:type="dxa" w:w="2304"/>
            <w:shd w:val="clear" w:color="auto" w:fill="EEF2F7"/>
          </w:tcPr>
          <w:p>
            <w:pPr>
              <w:keepNext/>
              <w:spacing w:after="20" w:before="20" w:line="240" w:lineRule="auto"/>
              <w:jc w:val="left"/>
            </w:pPr>
            <w:r>
              <w:rPr>
                <w:sz w:val="17"/>
              </w:rPr>
              <w:t>Balance</w:t>
            </w:r>
          </w:p>
        </w:tc>
        <w:tc>
          <w:tcPr>
            <w:tcW w:type="dxa" w:w="1152"/>
            <w:shd w:val="clear" w:color="auto" w:fill="EEF2F7"/>
          </w:tcPr>
          <w:p>
            <w:pPr>
              <w:keepNext/>
              <w:spacing w:after="20" w:before="20" w:line="240" w:lineRule="auto"/>
              <w:jc w:val="right"/>
            </w:pPr>
            <w:r>
              <w:rPr>
                <w:sz w:val="17"/>
              </w:rPr>
              <w:t>0.102</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0.160</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6</w:t>
            </w:r>
          </w:p>
        </w:tc>
        <w:tc>
          <w:tcPr>
            <w:tcW w:type="dxa" w:w="936"/>
            <w:shd w:val="clear" w:color="auto" w:fill="EEF2F7"/>
          </w:tcPr>
          <w:p>
            <w:pPr>
              <w:keepNext/>
              <w:spacing w:after="20" w:before="20" w:line="240" w:lineRule="auto"/>
              <w:jc w:val="right"/>
            </w:pPr>
            <w:r>
              <w:rPr>
                <w:sz w:val="17"/>
              </w:rPr>
              <w:t>7</w:t>
            </w:r>
          </w:p>
        </w:tc>
      </w:tr>
      <w:tr>
        <w:tc>
          <w:tcPr>
            <w:tcW w:type="dxa" w:w="2304"/>
          </w:tcPr>
          <w:p>
            <w:pPr>
              <w:keepNext/>
              <w:spacing w:after="20" w:before="20" w:line="240" w:lineRule="auto"/>
              <w:jc w:val="left"/>
            </w:pPr>
            <w:r>
              <w:rPr>
                <w:sz w:val="17"/>
              </w:rPr>
              <w:t>BalanceSalaryRatio</w:t>
            </w:r>
          </w:p>
        </w:tc>
        <w:tc>
          <w:tcPr>
            <w:tcW w:type="dxa" w:w="1152"/>
          </w:tcPr>
          <w:p>
            <w:pPr>
              <w:keepNext/>
              <w:spacing w:after="20" w:before="20" w:line="240" w:lineRule="auto"/>
              <w:jc w:val="right"/>
            </w:pPr>
            <w:r>
              <w:rPr>
                <w:sz w:val="17"/>
              </w:rPr>
              <w:t>0.101</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0.160</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7</w:t>
            </w:r>
          </w:p>
        </w:tc>
        <w:tc>
          <w:tcPr>
            <w:tcW w:type="dxa" w:w="936"/>
          </w:tcPr>
          <w:p>
            <w:pPr>
              <w:keepNext/>
              <w:spacing w:after="20" w:before="20" w:line="240" w:lineRule="auto"/>
              <w:jc w:val="right"/>
            </w:pPr>
            <w:r>
              <w:rPr>
                <w:sz w:val="17"/>
              </w:rPr>
              <w:t>6</w:t>
            </w:r>
          </w:p>
        </w:tc>
      </w:tr>
      <w:tr>
        <w:tc>
          <w:tcPr>
            <w:tcW w:type="dxa" w:w="2304"/>
            <w:shd w:val="clear" w:color="auto" w:fill="EEF2F7"/>
          </w:tcPr>
          <w:p>
            <w:pPr>
              <w:spacing w:after="20" w:before="20" w:line="240" w:lineRule="auto"/>
              <w:jc w:val="left"/>
            </w:pPr>
            <w:r>
              <w:rPr>
                <w:sz w:val="17"/>
              </w:rPr>
              <w:t>EstimatedSalary</w:t>
            </w:r>
          </w:p>
        </w:tc>
        <w:tc>
          <w:tcPr>
            <w:tcW w:type="dxa" w:w="1152"/>
            <w:shd w:val="clear" w:color="auto" w:fill="EEF2F7"/>
          </w:tcPr>
          <w:p>
            <w:pPr>
              <w:spacing w:after="20" w:before="20" w:line="240" w:lineRule="auto"/>
              <w:jc w:val="right"/>
            </w:pPr>
            <w:r>
              <w:rPr>
                <w:sz w:val="17"/>
              </w:rPr>
              <w:t>0.064</w:t>
            </w:r>
          </w:p>
        </w:tc>
        <w:tc>
          <w:tcPr>
            <w:tcW w:type="dxa" w:w="1008"/>
            <w:shd w:val="clear" w:color="auto" w:fill="EEF2F7"/>
          </w:tcPr>
          <w:p>
            <w:pPr>
              <w:spacing w:after="20" w:before="20" w:line="240" w:lineRule="auto"/>
              <w:jc w:val="right"/>
            </w:pPr>
            <w:r>
              <w:rPr>
                <w:sz w:val="17"/>
              </w:rPr>
              <w:t>+</w:t>
            </w:r>
          </w:p>
        </w:tc>
        <w:tc>
          <w:tcPr>
            <w:tcW w:type="dxa" w:w="1224"/>
            <w:shd w:val="clear" w:color="auto" w:fill="EEF2F7"/>
          </w:tcPr>
          <w:p>
            <w:pPr>
              <w:spacing w:after="20" w:before="20" w:line="240" w:lineRule="auto"/>
              <w:jc w:val="right"/>
            </w:pPr>
            <w:r>
              <w:rPr>
                <w:sz w:val="17"/>
              </w:rPr>
              <w:t>0.053</w:t>
            </w:r>
          </w:p>
        </w:tc>
        <w:tc>
          <w:tcPr>
            <w:tcW w:type="dxa" w:w="1080"/>
            <w:shd w:val="clear" w:color="auto" w:fill="EEF2F7"/>
          </w:tcPr>
          <w:p>
            <w:pPr>
              <w:spacing w:after="20" w:before="20" w:line="240" w:lineRule="auto"/>
              <w:jc w:val="right"/>
            </w:pPr>
            <w:r>
              <w:rPr>
                <w:sz w:val="17"/>
              </w:rPr>
              <w:t>+</w:t>
            </w:r>
          </w:p>
        </w:tc>
        <w:tc>
          <w:tcPr>
            <w:tcW w:type="dxa" w:w="864"/>
            <w:shd w:val="clear" w:color="auto" w:fill="EEF2F7"/>
          </w:tcPr>
          <w:p>
            <w:pPr>
              <w:spacing w:after="20" w:before="20" w:line="240" w:lineRule="auto"/>
              <w:jc w:val="right"/>
            </w:pPr>
            <w:r>
              <w:rPr>
                <w:sz w:val="17"/>
              </w:rPr>
              <w:t>8</w:t>
            </w:r>
          </w:p>
        </w:tc>
        <w:tc>
          <w:tcPr>
            <w:tcW w:type="dxa" w:w="936"/>
            <w:shd w:val="clear" w:color="auto" w:fill="EEF2F7"/>
          </w:tcPr>
          <w:p>
            <w:pPr>
              <w:spacing w:after="20" w:before="20" w:line="240" w:lineRule="auto"/>
              <w:jc w:val="right"/>
            </w:pPr>
            <w:r>
              <w:rPr>
                <w:sz w:val="17"/>
              </w:rPr>
              <w:t>12</w:t>
            </w:r>
          </w:p>
        </w:tc>
      </w:tr>
    </w:tbl>
    <w:p>
      <w:pPr>
        <w:spacing w:after="40"/>
      </w:pPr>
    </w:p>
    <w:p>
      <w:pPr>
        <w:jc w:val="both"/>
      </w:pPr>
      <w:r>
        <w:rPr>
          <w:b w:val="0"/>
          <w:i w:val="0"/>
        </w:rPr>
        <w:t>The two methods agree on the direction of effect for 13 of 16 features, and both place age, Germany and gender in their top five. They differ on two points. The number of products ranks second in SHAP but eighth in Logistic Regression, because its effect is not a straight line and a linear model cannot represent it. Activity ranks first in Logistic Regression but ninth in SHAP, because XGBoost spreads it across IsActiveMember and EngagementProduct.</w:t>
      </w:r>
    </w:p>
    <w:p>
      <w:pPr>
        <w:pStyle w:val="Heading2"/>
      </w:pPr>
      <w:r>
        <w:t>6.5 Main drivers in plain language</w:t>
      </w:r>
    </w:p>
    <w:p>
      <w:pPr>
        <w:keepNext/>
        <w:spacing w:after="60"/>
      </w:pPr>
      <w:r>
        <w:rPr>
          <w:b/>
          <w:i w:val="0"/>
          <w:sz w:val="19"/>
        </w:rPr>
        <w:t>Table 9.</w:t>
      </w:r>
      <w:r>
        <w:rPr>
          <w:b w:val="0"/>
          <w:i w:val="0"/>
          <w:sz w:val="19"/>
        </w:rPr>
        <w:t xml:space="preserve"> Main churn drivers (churn rate of the group relative to its comparison group).</w:t>
      </w:r>
    </w:p>
    <w:tbl>
      <w:tblPr>
        <w:tblStyle w:val="TableGrid"/>
        <w:tblW w:type="auto" w:w="0"/>
        <w:jc w:val="center"/>
        <w:tblLayout w:type="fixed"/>
        <w:tblLook w:firstColumn="1" w:firstRow="1" w:lastColumn="0" w:lastRow="0" w:noHBand="0" w:noVBand="1" w:val="04A0"/>
      </w:tblPr>
      <w:tblGrid>
        <w:gridCol w:w="1872"/>
        <w:gridCol w:w="4608"/>
        <w:gridCol w:w="2304"/>
      </w:tblGrid>
      <w:tr>
        <w:tc>
          <w:tcPr>
            <w:tcW w:type="dxa" w:w="1872"/>
            <w:shd w:val="clear" w:color="auto" w:fill="1F3A5F"/>
          </w:tcPr>
          <w:p>
            <w:pPr>
              <w:keepNext/>
              <w:spacing w:after="20" w:before="20" w:line="240" w:lineRule="auto"/>
              <w:jc w:val="center"/>
            </w:pPr>
            <w:r>
              <w:rPr>
                <w:b/>
                <w:color w:val="FFFFFF"/>
                <w:sz w:val="18"/>
              </w:rPr>
              <w:t>Driver</w:t>
            </w:r>
          </w:p>
        </w:tc>
        <w:tc>
          <w:tcPr>
            <w:tcW w:type="dxa" w:w="4608"/>
            <w:shd w:val="clear" w:color="auto" w:fill="1F3A5F"/>
          </w:tcPr>
          <w:p>
            <w:pPr>
              <w:keepNext/>
              <w:spacing w:after="20" w:before="20" w:line="240" w:lineRule="auto"/>
              <w:jc w:val="center"/>
            </w:pPr>
            <w:r>
              <w:rPr>
                <w:b/>
                <w:color w:val="FFFFFF"/>
                <w:sz w:val="18"/>
              </w:rPr>
              <w:t>Group compared</w:t>
            </w:r>
          </w:p>
        </w:tc>
        <w:tc>
          <w:tcPr>
            <w:tcW w:type="dxa" w:w="2304"/>
            <w:shd w:val="clear" w:color="auto" w:fill="1F3A5F"/>
          </w:tcPr>
          <w:p>
            <w:pPr>
              <w:keepNext/>
              <w:spacing w:after="20" w:before="20" w:line="240" w:lineRule="auto"/>
              <w:jc w:val="center"/>
            </w:pPr>
            <w:r>
              <w:rPr>
                <w:b/>
                <w:color w:val="FFFFFF"/>
                <w:sz w:val="18"/>
              </w:rPr>
              <w:t>Times as likely to churn</w:t>
            </w:r>
          </w:p>
        </w:tc>
      </w:tr>
      <w:tr>
        <w:tc>
          <w:tcPr>
            <w:tcW w:type="dxa" w:w="1872"/>
          </w:tcPr>
          <w:p>
            <w:pPr>
              <w:keepNext/>
              <w:spacing w:after="20" w:before="20" w:line="240" w:lineRule="auto"/>
              <w:jc w:val="left"/>
            </w:pPr>
            <w:r>
              <w:rPr>
                <w:sz w:val="18"/>
              </w:rPr>
              <w:t>Age</w:t>
            </w:r>
          </w:p>
        </w:tc>
        <w:tc>
          <w:tcPr>
            <w:tcW w:type="dxa" w:w="4608"/>
          </w:tcPr>
          <w:p>
            <w:pPr>
              <w:keepNext/>
              <w:spacing w:after="20" w:before="20" w:line="240" w:lineRule="auto"/>
              <w:jc w:val="left"/>
            </w:pPr>
            <w:r>
              <w:rPr>
                <w:sz w:val="18"/>
              </w:rPr>
              <w:t>Aged 45-60 against under 40</w:t>
            </w:r>
          </w:p>
        </w:tc>
        <w:tc>
          <w:tcPr>
            <w:tcW w:type="dxa" w:w="2304"/>
          </w:tcPr>
          <w:p>
            <w:pPr>
              <w:keepNext/>
              <w:spacing w:after="20" w:before="20" w:line="240" w:lineRule="auto"/>
              <w:jc w:val="right"/>
            </w:pPr>
            <w:r>
              <w:rPr>
                <w:sz w:val="18"/>
              </w:rPr>
              <w:t>5.0</w:t>
            </w:r>
          </w:p>
        </w:tc>
      </w:tr>
      <w:tr>
        <w:tc>
          <w:tcPr>
            <w:tcW w:type="dxa" w:w="1872"/>
            <w:shd w:val="clear" w:color="auto" w:fill="EEF2F7"/>
          </w:tcPr>
          <w:p>
            <w:pPr>
              <w:keepNext/>
              <w:spacing w:after="20" w:before="20" w:line="240" w:lineRule="auto"/>
              <w:jc w:val="left"/>
            </w:pPr>
            <w:r>
              <w:rPr>
                <w:sz w:val="18"/>
              </w:rPr>
              <w:t>Products</w:t>
            </w:r>
          </w:p>
        </w:tc>
        <w:tc>
          <w:tcPr>
            <w:tcW w:type="dxa" w:w="4608"/>
            <w:shd w:val="clear" w:color="auto" w:fill="EEF2F7"/>
          </w:tcPr>
          <w:p>
            <w:pPr>
              <w:keepNext/>
              <w:spacing w:after="20" w:before="20" w:line="240" w:lineRule="auto"/>
              <w:jc w:val="left"/>
            </w:pPr>
            <w:r>
              <w:rPr>
                <w:sz w:val="18"/>
              </w:rPr>
              <w:t>3-4 products against 2 products</w:t>
            </w:r>
          </w:p>
        </w:tc>
        <w:tc>
          <w:tcPr>
            <w:tcW w:type="dxa" w:w="2304"/>
            <w:shd w:val="clear" w:color="auto" w:fill="EEF2F7"/>
          </w:tcPr>
          <w:p>
            <w:pPr>
              <w:keepNext/>
              <w:spacing w:after="20" w:before="20" w:line="240" w:lineRule="auto"/>
              <w:jc w:val="right"/>
            </w:pPr>
            <w:r>
              <w:rPr>
                <w:sz w:val="18"/>
              </w:rPr>
              <w:t>11.3</w:t>
            </w:r>
          </w:p>
        </w:tc>
      </w:tr>
      <w:tr>
        <w:tc>
          <w:tcPr>
            <w:tcW w:type="dxa" w:w="1872"/>
          </w:tcPr>
          <w:p>
            <w:pPr>
              <w:keepNext/>
              <w:spacing w:after="20" w:before="20" w:line="240" w:lineRule="auto"/>
              <w:jc w:val="left"/>
            </w:pPr>
            <w:r>
              <w:rPr>
                <w:sz w:val="18"/>
              </w:rPr>
              <w:t>Activity</w:t>
            </w:r>
          </w:p>
        </w:tc>
        <w:tc>
          <w:tcPr>
            <w:tcW w:type="dxa" w:w="4608"/>
          </w:tcPr>
          <w:p>
            <w:pPr>
              <w:keepNext/>
              <w:spacing w:after="20" w:before="20" w:line="240" w:lineRule="auto"/>
              <w:jc w:val="left"/>
            </w:pPr>
            <w:r>
              <w:rPr>
                <w:sz w:val="18"/>
              </w:rPr>
              <w:t>Inactive against active members</w:t>
            </w:r>
          </w:p>
        </w:tc>
        <w:tc>
          <w:tcPr>
            <w:tcW w:type="dxa" w:w="2304"/>
          </w:tcPr>
          <w:p>
            <w:pPr>
              <w:keepNext/>
              <w:spacing w:after="20" w:before="20" w:line="240" w:lineRule="auto"/>
              <w:jc w:val="right"/>
            </w:pPr>
            <w:r>
              <w:rPr>
                <w:sz w:val="18"/>
              </w:rPr>
              <w:t>1.9</w:t>
            </w:r>
          </w:p>
        </w:tc>
      </w:tr>
      <w:tr>
        <w:tc>
          <w:tcPr>
            <w:tcW w:type="dxa" w:w="1872"/>
            <w:shd w:val="clear" w:color="auto" w:fill="EEF2F7"/>
          </w:tcPr>
          <w:p>
            <w:pPr>
              <w:keepNext/>
              <w:spacing w:after="20" w:before="20" w:line="240" w:lineRule="auto"/>
              <w:jc w:val="left"/>
            </w:pPr>
            <w:r>
              <w:rPr>
                <w:sz w:val="18"/>
              </w:rPr>
              <w:t>Country</w:t>
            </w:r>
          </w:p>
        </w:tc>
        <w:tc>
          <w:tcPr>
            <w:tcW w:type="dxa" w:w="4608"/>
            <w:shd w:val="clear" w:color="auto" w:fill="EEF2F7"/>
          </w:tcPr>
          <w:p>
            <w:pPr>
              <w:keepNext/>
              <w:spacing w:after="20" w:before="20" w:line="240" w:lineRule="auto"/>
              <w:jc w:val="left"/>
            </w:pPr>
            <w:r>
              <w:rPr>
                <w:sz w:val="18"/>
              </w:rPr>
              <w:t>Germany against France and Spain</w:t>
            </w:r>
          </w:p>
        </w:tc>
        <w:tc>
          <w:tcPr>
            <w:tcW w:type="dxa" w:w="2304"/>
            <w:shd w:val="clear" w:color="auto" w:fill="EEF2F7"/>
          </w:tcPr>
          <w:p>
            <w:pPr>
              <w:keepNext/>
              <w:spacing w:after="20" w:before="20" w:line="240" w:lineRule="auto"/>
              <w:jc w:val="right"/>
            </w:pPr>
            <w:r>
              <w:rPr>
                <w:sz w:val="18"/>
              </w:rPr>
              <w:t>2.0</w:t>
            </w:r>
          </w:p>
        </w:tc>
      </w:tr>
      <w:tr>
        <w:tc>
          <w:tcPr>
            <w:tcW w:type="dxa" w:w="1872"/>
          </w:tcPr>
          <w:p>
            <w:pPr>
              <w:spacing w:after="20" w:before="20" w:line="240" w:lineRule="auto"/>
              <w:jc w:val="left"/>
            </w:pPr>
            <w:r>
              <w:rPr>
                <w:sz w:val="18"/>
              </w:rPr>
              <w:t>Gender</w:t>
            </w:r>
          </w:p>
        </w:tc>
        <w:tc>
          <w:tcPr>
            <w:tcW w:type="dxa" w:w="4608"/>
          </w:tcPr>
          <w:p>
            <w:pPr>
              <w:spacing w:after="20" w:before="20" w:line="240" w:lineRule="auto"/>
              <w:jc w:val="left"/>
            </w:pPr>
            <w:r>
              <w:rPr>
                <w:sz w:val="18"/>
              </w:rPr>
              <w:t>Women against men</w:t>
            </w:r>
          </w:p>
        </w:tc>
        <w:tc>
          <w:tcPr>
            <w:tcW w:type="dxa" w:w="2304"/>
          </w:tcPr>
          <w:p>
            <w:pPr>
              <w:spacing w:after="20" w:before="20" w:line="240" w:lineRule="auto"/>
              <w:jc w:val="right"/>
            </w:pPr>
            <w:r>
              <w:rPr>
                <w:sz w:val="18"/>
              </w:rPr>
              <w:t>1.5</w:t>
            </w:r>
          </w:p>
        </w:tc>
      </w:tr>
    </w:tbl>
    <w:p>
      <w:pPr>
        <w:spacing w:after="40"/>
      </w:pPr>
    </w:p>
    <w:p>
      <w:pPr>
        <w:pStyle w:val="Heading1"/>
      </w:pPr>
      <w:r>
        <w:t>7. Recommendations</w:t>
      </w:r>
    </w:p>
    <w:p>
      <w:pPr>
        <w:jc w:val="both"/>
      </w:pPr>
      <w:r>
        <w:rPr>
          <w:b w:val="0"/>
          <w:i w:val="0"/>
        </w:rPr>
        <w:t>The recommendations tie each action to a driver in the data. They describe associations, so each should be tested on a pilot group before a wide rollout.</w:t>
      </w:r>
    </w:p>
    <w:p>
      <w:pPr>
        <w:pStyle w:val="ListNumber"/>
        <w:spacing w:after="40"/>
      </w:pPr>
      <w:r>
        <w:rPr>
          <w:b/>
          <w:i w:val="0"/>
        </w:rPr>
        <w:t>Customers aged 45-60.</w:t>
      </w:r>
      <w:r>
        <w:rPr>
          <w:b w:val="0"/>
          <w:i w:val="0"/>
        </w:rPr>
        <w:t xml:space="preserve"> Churn is five times that of customers under 40 (34.0% at 41-50 and 56.2% at 51-60). Offer a relationship-manager call and a review of products suited to this stage of life.</w:t>
      </w:r>
    </w:p>
    <w:p>
      <w:pPr>
        <w:pStyle w:val="ListNumber"/>
        <w:spacing w:after="40"/>
      </w:pPr>
      <w:r>
        <w:rPr>
          <w:b/>
          <w:i w:val="0"/>
        </w:rPr>
        <w:t>Customers with three or more products.</w:t>
      </w:r>
      <w:r>
        <w:rPr>
          <w:b w:val="0"/>
          <w:i w:val="0"/>
        </w:rPr>
        <w:t xml:space="preserve"> They are rare (3.3% of customers) but churn at 83-100%. Contact them for a service and fee review to find out what is going wrong before they leave.</w:t>
      </w:r>
    </w:p>
    <w:p>
      <w:pPr>
        <w:pStyle w:val="ListNumber"/>
        <w:spacing w:after="40"/>
      </w:pPr>
      <w:r>
        <w:rPr>
          <w:b/>
          <w:i w:val="0"/>
        </w:rPr>
        <w:t>Inactive members.</w:t>
      </w:r>
      <w:r>
        <w:rPr>
          <w:b w:val="0"/>
          <w:i w:val="0"/>
        </w:rPr>
        <w:t xml:space="preserve"> They churn 1.9 times as often as active members. Run a re-engagement campaign with reminders of benefits and prompts to use the bank's services, followed by a call for those who stay silent.</w:t>
      </w:r>
    </w:p>
    <w:p>
      <w:pPr>
        <w:pStyle w:val="ListNumber"/>
        <w:spacing w:after="40"/>
      </w:pPr>
      <w:r>
        <w:rPr>
          <w:b/>
          <w:i w:val="0"/>
        </w:rPr>
        <w:t>Customers in Germany.</w:t>
      </w:r>
      <w:r>
        <w:rPr>
          <w:b w:val="0"/>
          <w:i w:val="0"/>
        </w:rPr>
        <w:t xml:space="preserve"> Churn is double that of France and Spain (32.4%). Investigate local pricing, service quality and competition, and consider a targeted offer.</w:t>
      </w:r>
    </w:p>
    <w:p>
      <w:pPr>
        <w:pStyle w:val="ListNumber"/>
        <w:spacing w:after="40"/>
      </w:pPr>
      <w:r>
        <w:rPr>
          <w:b/>
          <w:i w:val="0"/>
        </w:rPr>
        <w:t>Single-product customers.</w:t>
      </w:r>
      <w:r>
        <w:rPr>
          <w:b w:val="0"/>
          <w:i w:val="0"/>
        </w:rPr>
        <w:t xml:space="preserve"> Customers with two products churn least (7.6% against 27.7% for one). Test offering a suitable second product to a pilot group, with a similar group left alone for comparison.</w:t>
      </w:r>
    </w:p>
    <w:p>
      <w:pPr>
        <w:jc w:val="both"/>
      </w:pPr>
      <w:r>
        <w:rPr>
          <w:b w:val="0"/>
          <w:i w:val="0"/>
        </w:rPr>
        <w:t>In daily use, customers with a churn probability of 0.29 or more form the contact list, ordered by probability. The SHAP explanation tells the contacting agent which issue to address, and the pilot results show which actions actually keep customers.</w:t>
      </w:r>
    </w:p>
    <w:p>
      <w:pPr>
        <w:pStyle w:val="Heading1"/>
      </w:pPr>
      <w:r>
        <w:t>8. Responsible use and fairness</w:t>
      </w:r>
    </w:p>
    <w:p>
      <w:pPr>
        <w:jc w:val="both"/>
      </w:pPr>
      <w:r>
        <w:rPr>
          <w:b w:val="0"/>
          <w:i w:val="0"/>
        </w:rPr>
        <w:t>Churn scores should support better service, not worse treatment. We therefore checked how the final model behaves across gender and country on the test set (Table 10).</w:t>
      </w:r>
    </w:p>
    <w:p>
      <w:pPr>
        <w:keepNext/>
        <w:spacing w:after="60"/>
      </w:pPr>
      <w:r>
        <w:rPr>
          <w:b/>
          <w:i w:val="0"/>
          <w:sz w:val="19"/>
        </w:rPr>
        <w:t>Table 10.</w:t>
      </w:r>
      <w:r>
        <w:rPr>
          <w:b w:val="0"/>
          <w:i w:val="0"/>
          <w:sz w:val="19"/>
        </w:rPr>
        <w:t xml:space="preserve"> Model behaviour by group on the test set (threshold 0.29).</w:t>
      </w:r>
    </w:p>
    <w:tbl>
      <w:tblPr>
        <w:tblStyle w:val="TableGrid"/>
        <w:tblW w:type="auto" w:w="0"/>
        <w:jc w:val="center"/>
        <w:tblLayout w:type="fixed"/>
        <w:tblLook w:firstColumn="1" w:firstRow="1" w:lastColumn="0" w:lastRow="0" w:noHBand="0" w:noVBand="1" w:val="04A0"/>
      </w:tblPr>
      <w:tblGrid>
        <w:gridCol w:w="2592"/>
        <w:gridCol w:w="1296"/>
        <w:gridCol w:w="1440"/>
        <w:gridCol w:w="1152"/>
        <w:gridCol w:w="1152"/>
        <w:gridCol w:w="1296"/>
      </w:tblGrid>
      <w:tr>
        <w:tc>
          <w:tcPr>
            <w:tcW w:type="dxa" w:w="2592"/>
            <w:shd w:val="clear" w:color="auto" w:fill="1F3A5F"/>
          </w:tcPr>
          <w:p>
            <w:pPr>
              <w:keepNext/>
              <w:spacing w:after="20" w:before="20" w:line="240" w:lineRule="auto"/>
              <w:jc w:val="center"/>
            </w:pPr>
            <w:r>
              <w:rPr>
                <w:b/>
                <w:color w:val="FFFFFF"/>
                <w:sz w:val="18"/>
              </w:rPr>
              <w:t>Group</w:t>
            </w:r>
          </w:p>
        </w:tc>
        <w:tc>
          <w:tcPr>
            <w:tcW w:type="dxa" w:w="1296"/>
            <w:shd w:val="clear" w:color="auto" w:fill="1F3A5F"/>
          </w:tcPr>
          <w:p>
            <w:pPr>
              <w:keepNext/>
              <w:spacing w:after="20" w:before="20" w:line="240" w:lineRule="auto"/>
              <w:jc w:val="center"/>
            </w:pPr>
            <w:r>
              <w:rPr>
                <w:b/>
                <w:color w:val="FFFFFF"/>
                <w:sz w:val="18"/>
              </w:rPr>
              <w:t>Customers</w:t>
            </w:r>
          </w:p>
        </w:tc>
        <w:tc>
          <w:tcPr>
            <w:tcW w:type="dxa" w:w="1440"/>
            <w:shd w:val="clear" w:color="auto" w:fill="1F3A5F"/>
          </w:tcPr>
          <w:p>
            <w:pPr>
              <w:keepNext/>
              <w:spacing w:after="20" w:before="20" w:line="240" w:lineRule="auto"/>
              <w:jc w:val="center"/>
            </w:pPr>
            <w:r>
              <w:rPr>
                <w:b/>
                <w:color w:val="FFFFFF"/>
                <w:sz w:val="18"/>
              </w:rPr>
              <w:t>Actual churn %</w:t>
            </w:r>
          </w:p>
        </w:tc>
        <w:tc>
          <w:tcPr>
            <w:tcW w:type="dxa" w:w="1152"/>
            <w:shd w:val="clear" w:color="auto" w:fill="1F3A5F"/>
          </w:tcPr>
          <w:p>
            <w:pPr>
              <w:keepNext/>
              <w:spacing w:after="20" w:before="20" w:line="240" w:lineRule="auto"/>
              <w:jc w:val="center"/>
            </w:pPr>
            <w:r>
              <w:rPr>
                <w:b/>
                <w:color w:val="FFFFFF"/>
                <w:sz w:val="18"/>
              </w:rPr>
              <w:t>Flagged %</w:t>
            </w:r>
          </w:p>
        </w:tc>
        <w:tc>
          <w:tcPr>
            <w:tcW w:type="dxa" w:w="1152"/>
            <w:shd w:val="clear" w:color="auto" w:fill="1F3A5F"/>
          </w:tcPr>
          <w:p>
            <w:pPr>
              <w:keepNext/>
              <w:spacing w:after="20" w:before="20" w:line="240" w:lineRule="auto"/>
              <w:jc w:val="center"/>
            </w:pPr>
            <w:r>
              <w:rPr>
                <w:b/>
                <w:color w:val="FFFFFF"/>
                <w:sz w:val="18"/>
              </w:rPr>
              <w:t>Recall %</w:t>
            </w:r>
          </w:p>
        </w:tc>
        <w:tc>
          <w:tcPr>
            <w:tcW w:type="dxa" w:w="1296"/>
            <w:shd w:val="clear" w:color="auto" w:fill="1F3A5F"/>
          </w:tcPr>
          <w:p>
            <w:pPr>
              <w:keepNext/>
              <w:spacing w:after="20" w:before="20" w:line="240" w:lineRule="auto"/>
              <w:jc w:val="center"/>
            </w:pPr>
            <w:r>
              <w:rPr>
                <w:b/>
                <w:color w:val="FFFFFF"/>
                <w:sz w:val="18"/>
              </w:rPr>
              <w:t>Precision %</w:t>
            </w:r>
          </w:p>
        </w:tc>
      </w:tr>
      <w:tr>
        <w:tc>
          <w:tcPr>
            <w:tcW w:type="dxa" w:w="2592"/>
          </w:tcPr>
          <w:p>
            <w:pPr>
              <w:keepNext/>
              <w:spacing w:after="20" w:before="20" w:line="240" w:lineRule="auto"/>
              <w:jc w:val="left"/>
            </w:pPr>
            <w:r>
              <w:rPr>
                <w:sz w:val="18"/>
              </w:rPr>
              <w:t>Gender: Female</w:t>
            </w:r>
          </w:p>
        </w:tc>
        <w:tc>
          <w:tcPr>
            <w:tcW w:type="dxa" w:w="1296"/>
          </w:tcPr>
          <w:p>
            <w:pPr>
              <w:keepNext/>
              <w:spacing w:after="20" w:before="20" w:line="240" w:lineRule="auto"/>
              <w:jc w:val="right"/>
            </w:pPr>
            <w:r>
              <w:rPr>
                <w:sz w:val="18"/>
              </w:rPr>
              <w:t>930</w:t>
            </w:r>
          </w:p>
        </w:tc>
        <w:tc>
          <w:tcPr>
            <w:tcW w:type="dxa" w:w="1440"/>
          </w:tcPr>
          <w:p>
            <w:pPr>
              <w:keepNext/>
              <w:spacing w:after="20" w:before="20" w:line="240" w:lineRule="auto"/>
              <w:jc w:val="right"/>
            </w:pPr>
            <w:r>
              <w:rPr>
                <w:sz w:val="18"/>
              </w:rPr>
              <w:t>25.1</w:t>
            </w:r>
          </w:p>
        </w:tc>
        <w:tc>
          <w:tcPr>
            <w:tcW w:type="dxa" w:w="1152"/>
          </w:tcPr>
          <w:p>
            <w:pPr>
              <w:keepNext/>
              <w:spacing w:after="20" w:before="20" w:line="240" w:lineRule="auto"/>
              <w:jc w:val="right"/>
            </w:pPr>
            <w:r>
              <w:rPr>
                <w:sz w:val="18"/>
              </w:rPr>
              <w:t>28.8</w:t>
            </w:r>
          </w:p>
        </w:tc>
        <w:tc>
          <w:tcPr>
            <w:tcW w:type="dxa" w:w="1152"/>
          </w:tcPr>
          <w:p>
            <w:pPr>
              <w:keepNext/>
              <w:spacing w:after="20" w:before="20" w:line="240" w:lineRule="auto"/>
              <w:jc w:val="right"/>
            </w:pPr>
            <w:r>
              <w:rPr>
                <w:sz w:val="18"/>
              </w:rPr>
              <w:t>71.2</w:t>
            </w:r>
          </w:p>
        </w:tc>
        <w:tc>
          <w:tcPr>
            <w:tcW w:type="dxa" w:w="1296"/>
          </w:tcPr>
          <w:p>
            <w:pPr>
              <w:keepNext/>
              <w:spacing w:after="20" w:before="20" w:line="240" w:lineRule="auto"/>
              <w:jc w:val="right"/>
            </w:pPr>
            <w:r>
              <w:rPr>
                <w:sz w:val="18"/>
              </w:rPr>
              <w:t>61.9</w:t>
            </w:r>
          </w:p>
        </w:tc>
      </w:tr>
      <w:tr>
        <w:tc>
          <w:tcPr>
            <w:tcW w:type="dxa" w:w="2592"/>
            <w:shd w:val="clear" w:color="auto" w:fill="EEF2F7"/>
          </w:tcPr>
          <w:p>
            <w:pPr>
              <w:keepNext/>
              <w:spacing w:after="20" w:before="20" w:line="240" w:lineRule="auto"/>
              <w:jc w:val="left"/>
            </w:pPr>
            <w:r>
              <w:rPr>
                <w:sz w:val="18"/>
              </w:rPr>
              <w:t>Gender: Male</w:t>
            </w:r>
          </w:p>
        </w:tc>
        <w:tc>
          <w:tcPr>
            <w:tcW w:type="dxa" w:w="1296"/>
            <w:shd w:val="clear" w:color="auto" w:fill="EEF2F7"/>
          </w:tcPr>
          <w:p>
            <w:pPr>
              <w:keepNext/>
              <w:spacing w:after="20" w:before="20" w:line="240" w:lineRule="auto"/>
              <w:jc w:val="right"/>
            </w:pPr>
            <w:r>
              <w:rPr>
                <w:sz w:val="18"/>
              </w:rPr>
              <w:t>1070</w:t>
            </w:r>
          </w:p>
        </w:tc>
        <w:tc>
          <w:tcPr>
            <w:tcW w:type="dxa" w:w="1440"/>
            <w:shd w:val="clear" w:color="auto" w:fill="EEF2F7"/>
          </w:tcPr>
          <w:p>
            <w:pPr>
              <w:keepNext/>
              <w:spacing w:after="20" w:before="20" w:line="240" w:lineRule="auto"/>
              <w:jc w:val="right"/>
            </w:pPr>
            <w:r>
              <w:rPr>
                <w:sz w:val="18"/>
              </w:rPr>
              <w:t>16.3</w:t>
            </w:r>
          </w:p>
        </w:tc>
        <w:tc>
          <w:tcPr>
            <w:tcW w:type="dxa" w:w="1152"/>
            <w:shd w:val="clear" w:color="auto" w:fill="EEF2F7"/>
          </w:tcPr>
          <w:p>
            <w:pPr>
              <w:keepNext/>
              <w:spacing w:after="20" w:before="20" w:line="240" w:lineRule="auto"/>
              <w:jc w:val="right"/>
            </w:pPr>
            <w:r>
              <w:rPr>
                <w:sz w:val="18"/>
              </w:rPr>
              <w:t>17.3</w:t>
            </w:r>
          </w:p>
        </w:tc>
        <w:tc>
          <w:tcPr>
            <w:tcW w:type="dxa" w:w="1152"/>
            <w:shd w:val="clear" w:color="auto" w:fill="EEF2F7"/>
          </w:tcPr>
          <w:p>
            <w:pPr>
              <w:keepNext/>
              <w:spacing w:after="20" w:before="20" w:line="240" w:lineRule="auto"/>
              <w:jc w:val="right"/>
            </w:pPr>
            <w:r>
              <w:rPr>
                <w:sz w:val="18"/>
              </w:rPr>
              <w:t>62.6</w:t>
            </w:r>
          </w:p>
        </w:tc>
        <w:tc>
          <w:tcPr>
            <w:tcW w:type="dxa" w:w="1296"/>
            <w:shd w:val="clear" w:color="auto" w:fill="EEF2F7"/>
          </w:tcPr>
          <w:p>
            <w:pPr>
              <w:keepNext/>
              <w:spacing w:after="20" w:before="20" w:line="240" w:lineRule="auto"/>
              <w:jc w:val="right"/>
            </w:pPr>
            <w:r>
              <w:rPr>
                <w:sz w:val="18"/>
              </w:rPr>
              <w:t>58.9</w:t>
            </w:r>
          </w:p>
        </w:tc>
      </w:tr>
      <w:tr>
        <w:tc>
          <w:tcPr>
            <w:tcW w:type="dxa" w:w="2592"/>
          </w:tcPr>
          <w:p>
            <w:pPr>
              <w:keepNext/>
              <w:spacing w:after="20" w:before="20" w:line="240" w:lineRule="auto"/>
              <w:jc w:val="left"/>
            </w:pPr>
            <w:r>
              <w:rPr>
                <w:sz w:val="18"/>
              </w:rPr>
              <w:t>Geography: France</w:t>
            </w:r>
          </w:p>
        </w:tc>
        <w:tc>
          <w:tcPr>
            <w:tcW w:type="dxa" w:w="1296"/>
          </w:tcPr>
          <w:p>
            <w:pPr>
              <w:keepNext/>
              <w:spacing w:after="20" w:before="20" w:line="240" w:lineRule="auto"/>
              <w:jc w:val="right"/>
            </w:pPr>
            <w:r>
              <w:rPr>
                <w:sz w:val="18"/>
              </w:rPr>
              <w:t>1021</w:t>
            </w:r>
          </w:p>
        </w:tc>
        <w:tc>
          <w:tcPr>
            <w:tcW w:type="dxa" w:w="1440"/>
          </w:tcPr>
          <w:p>
            <w:pPr>
              <w:keepNext/>
              <w:spacing w:after="20" w:before="20" w:line="240" w:lineRule="auto"/>
              <w:jc w:val="right"/>
            </w:pPr>
            <w:r>
              <w:rPr>
                <w:sz w:val="18"/>
              </w:rPr>
              <w:t>17.1</w:t>
            </w:r>
          </w:p>
        </w:tc>
        <w:tc>
          <w:tcPr>
            <w:tcW w:type="dxa" w:w="1152"/>
          </w:tcPr>
          <w:p>
            <w:pPr>
              <w:keepNext/>
              <w:spacing w:after="20" w:before="20" w:line="240" w:lineRule="auto"/>
              <w:jc w:val="right"/>
            </w:pPr>
            <w:r>
              <w:rPr>
                <w:sz w:val="18"/>
              </w:rPr>
              <w:t>17.4</w:t>
            </w:r>
          </w:p>
        </w:tc>
        <w:tc>
          <w:tcPr>
            <w:tcW w:type="dxa" w:w="1152"/>
          </w:tcPr>
          <w:p>
            <w:pPr>
              <w:keepNext/>
              <w:spacing w:after="20" w:before="20" w:line="240" w:lineRule="auto"/>
              <w:jc w:val="right"/>
            </w:pPr>
            <w:r>
              <w:rPr>
                <w:sz w:val="18"/>
              </w:rPr>
              <w:t>61.1</w:t>
            </w:r>
          </w:p>
        </w:tc>
        <w:tc>
          <w:tcPr>
            <w:tcW w:type="dxa" w:w="1296"/>
          </w:tcPr>
          <w:p>
            <w:pPr>
              <w:keepNext/>
              <w:spacing w:after="20" w:before="20" w:line="240" w:lineRule="auto"/>
              <w:jc w:val="right"/>
            </w:pPr>
            <w:r>
              <w:rPr>
                <w:sz w:val="18"/>
              </w:rPr>
              <w:t>60.1</w:t>
            </w:r>
          </w:p>
        </w:tc>
      </w:tr>
      <w:tr>
        <w:tc>
          <w:tcPr>
            <w:tcW w:type="dxa" w:w="2592"/>
            <w:shd w:val="clear" w:color="auto" w:fill="EEF2F7"/>
          </w:tcPr>
          <w:p>
            <w:pPr>
              <w:keepNext/>
              <w:spacing w:after="20" w:before="20" w:line="240" w:lineRule="auto"/>
              <w:jc w:val="left"/>
            </w:pPr>
            <w:r>
              <w:rPr>
                <w:sz w:val="18"/>
              </w:rPr>
              <w:t>Geography: Germany</w:t>
            </w:r>
          </w:p>
        </w:tc>
        <w:tc>
          <w:tcPr>
            <w:tcW w:type="dxa" w:w="1296"/>
            <w:shd w:val="clear" w:color="auto" w:fill="EEF2F7"/>
          </w:tcPr>
          <w:p>
            <w:pPr>
              <w:keepNext/>
              <w:spacing w:after="20" w:before="20" w:line="240" w:lineRule="auto"/>
              <w:jc w:val="right"/>
            </w:pPr>
            <w:r>
              <w:rPr>
                <w:sz w:val="18"/>
              </w:rPr>
              <w:t>504</w:t>
            </w:r>
          </w:p>
        </w:tc>
        <w:tc>
          <w:tcPr>
            <w:tcW w:type="dxa" w:w="1440"/>
            <w:shd w:val="clear" w:color="auto" w:fill="EEF2F7"/>
          </w:tcPr>
          <w:p>
            <w:pPr>
              <w:keepNext/>
              <w:spacing w:after="20" w:before="20" w:line="240" w:lineRule="auto"/>
              <w:jc w:val="right"/>
            </w:pPr>
            <w:r>
              <w:rPr>
                <w:sz w:val="18"/>
              </w:rPr>
              <w:t>30.0</w:t>
            </w:r>
          </w:p>
        </w:tc>
        <w:tc>
          <w:tcPr>
            <w:tcW w:type="dxa" w:w="1152"/>
            <w:shd w:val="clear" w:color="auto" w:fill="EEF2F7"/>
          </w:tcPr>
          <w:p>
            <w:pPr>
              <w:keepNext/>
              <w:spacing w:after="20" w:before="20" w:line="240" w:lineRule="auto"/>
              <w:jc w:val="right"/>
            </w:pPr>
            <w:r>
              <w:rPr>
                <w:sz w:val="18"/>
              </w:rPr>
              <w:t>37.9</w:t>
            </w:r>
          </w:p>
        </w:tc>
        <w:tc>
          <w:tcPr>
            <w:tcW w:type="dxa" w:w="1152"/>
            <w:shd w:val="clear" w:color="auto" w:fill="EEF2F7"/>
          </w:tcPr>
          <w:p>
            <w:pPr>
              <w:keepNext/>
              <w:spacing w:after="20" w:before="20" w:line="240" w:lineRule="auto"/>
              <w:jc w:val="right"/>
            </w:pPr>
            <w:r>
              <w:rPr>
                <w:sz w:val="18"/>
              </w:rPr>
              <w:t>78.1</w:t>
            </w:r>
          </w:p>
        </w:tc>
        <w:tc>
          <w:tcPr>
            <w:tcW w:type="dxa" w:w="1296"/>
            <w:shd w:val="clear" w:color="auto" w:fill="EEF2F7"/>
          </w:tcPr>
          <w:p>
            <w:pPr>
              <w:keepNext/>
              <w:spacing w:after="20" w:before="20" w:line="240" w:lineRule="auto"/>
              <w:jc w:val="right"/>
            </w:pPr>
            <w:r>
              <w:rPr>
                <w:sz w:val="18"/>
              </w:rPr>
              <w:t>61.8</w:t>
            </w:r>
          </w:p>
        </w:tc>
      </w:tr>
      <w:tr>
        <w:tc>
          <w:tcPr>
            <w:tcW w:type="dxa" w:w="2592"/>
          </w:tcPr>
          <w:p>
            <w:pPr>
              <w:spacing w:after="20" w:before="20" w:line="240" w:lineRule="auto"/>
              <w:jc w:val="left"/>
            </w:pPr>
            <w:r>
              <w:rPr>
                <w:sz w:val="18"/>
              </w:rPr>
              <w:t>Geography: Spain</w:t>
            </w:r>
          </w:p>
        </w:tc>
        <w:tc>
          <w:tcPr>
            <w:tcW w:type="dxa" w:w="1296"/>
          </w:tcPr>
          <w:p>
            <w:pPr>
              <w:spacing w:after="20" w:before="20" w:line="240" w:lineRule="auto"/>
              <w:jc w:val="right"/>
            </w:pPr>
            <w:r>
              <w:rPr>
                <w:sz w:val="18"/>
              </w:rPr>
              <w:t>475</w:t>
            </w:r>
          </w:p>
        </w:tc>
        <w:tc>
          <w:tcPr>
            <w:tcW w:type="dxa" w:w="1440"/>
          </w:tcPr>
          <w:p>
            <w:pPr>
              <w:spacing w:after="20" w:before="20" w:line="240" w:lineRule="auto"/>
              <w:jc w:val="right"/>
            </w:pPr>
            <w:r>
              <w:rPr>
                <w:sz w:val="18"/>
              </w:rPr>
              <w:t>17.1</w:t>
            </w:r>
          </w:p>
        </w:tc>
        <w:tc>
          <w:tcPr>
            <w:tcW w:type="dxa" w:w="1152"/>
          </w:tcPr>
          <w:p>
            <w:pPr>
              <w:spacing w:after="20" w:before="20" w:line="240" w:lineRule="auto"/>
              <w:jc w:val="right"/>
            </w:pPr>
            <w:r>
              <w:rPr>
                <w:sz w:val="18"/>
              </w:rPr>
              <w:t>17.7</w:t>
            </w:r>
          </w:p>
        </w:tc>
        <w:tc>
          <w:tcPr>
            <w:tcW w:type="dxa" w:w="1152"/>
          </w:tcPr>
          <w:p>
            <w:pPr>
              <w:spacing w:after="20" w:before="20" w:line="240" w:lineRule="auto"/>
              <w:jc w:val="right"/>
            </w:pPr>
            <w:r>
              <w:rPr>
                <w:sz w:val="18"/>
              </w:rPr>
              <w:t>61.7</w:t>
            </w:r>
          </w:p>
        </w:tc>
        <w:tc>
          <w:tcPr>
            <w:tcW w:type="dxa" w:w="1296"/>
          </w:tcPr>
          <w:p>
            <w:pPr>
              <w:spacing w:after="20" w:before="20" w:line="240" w:lineRule="auto"/>
              <w:jc w:val="right"/>
            </w:pPr>
            <w:r>
              <w:rPr>
                <w:sz w:val="18"/>
              </w:rPr>
              <w:t>59.5</w:t>
            </w:r>
          </w:p>
        </w:tc>
      </w:tr>
    </w:tbl>
    <w:p>
      <w:pPr>
        <w:spacing w:after="40"/>
      </w:pPr>
    </w:p>
    <w:p>
      <w:pPr>
        <w:jc w:val="both"/>
      </w:pPr>
      <w:r>
        <w:rPr>
          <w:b w:val="0"/>
          <w:i w:val="0"/>
        </w:rPr>
        <w:t>Precision is similar across groups (58.9% to 61.9%), so a flagged customer is about equally likely to be a real churner whichever group the customer belongs to. Recall differs: the model finds 78.1% of churners in Germany against 61.1% in France and 61.7% in Spain, and 71.2% of women who churn against 62.6% of men. Flag rates follow actual churn rates, but the highest-risk groups are flagged somewhat more than their churn rate alone would suggest (Germany 37.9% flagged against 30.0% churn; women 28.8% against 25.1%). Group sizes in the test set are modest (475 to 1,070), so differences of a few points should be read with care.</w:t>
      </w:r>
    </w:p>
    <w:p>
      <w:pPr>
        <w:jc w:val="both"/>
      </w:pPr>
      <w:r>
        <w:rPr>
          <w:b w:val="0"/>
          <w:i w:val="0"/>
        </w:rPr>
        <w:t>Several practices follow from this. Gender and country are inputs to the model, and gender is the fifth most important feature. A bank should decide whether it needs them, and test a version without them. Flags should trigger supportive retention actions and never worse prices or terms. Group-level results should be monitored over time, and a person should review decisions that affect customers. Finally, per-customer SHAP explanations let staff, customers and regulators see why a customer was flagged.</w:t>
      </w:r>
    </w:p>
    <w:p>
      <w:pPr>
        <w:pStyle w:val="Heading1"/>
      </w:pPr>
      <w:r>
        <w:t>9. Limitations</w:t>
      </w:r>
    </w:p>
    <w:p>
      <w:pPr>
        <w:pStyle w:val="ListBullet"/>
        <w:spacing w:after="40"/>
      </w:pPr>
      <w:r>
        <w:rPr>
          <w:b/>
          <w:i w:val="0"/>
        </w:rPr>
        <w:t>Single dataset.</w:t>
      </w:r>
      <w:r>
        <w:rPr>
          <w:b w:val="0"/>
          <w:i w:val="0"/>
        </w:rPr>
        <w:t xml:space="preserve"> All results come from one dataset of 10,000 customers; they may not generalise to other banks, countries or periods.</w:t>
      </w:r>
    </w:p>
    <w:p>
      <w:pPr>
        <w:pStyle w:val="ListBullet"/>
        <w:spacing w:after="40"/>
      </w:pPr>
      <w:r>
        <w:rPr>
          <w:b/>
          <w:i w:val="0"/>
        </w:rPr>
        <w:t>No time dimension.</w:t>
      </w:r>
      <w:r>
        <w:rPr>
          <w:b w:val="0"/>
          <w:i w:val="0"/>
        </w:rPr>
        <w:t xml:space="preserve"> The Year column was constant (2025), so the model cannot learn how churn changes over time or detect drift.</w:t>
      </w:r>
    </w:p>
    <w:p>
      <w:pPr>
        <w:pStyle w:val="ListBullet"/>
        <w:spacing w:after="40"/>
      </w:pPr>
      <w:r>
        <w:rPr>
          <w:b/>
          <w:i w:val="0"/>
        </w:rPr>
        <w:t>Possibly synthetic fields.</w:t>
      </w:r>
      <w:r>
        <w:rPr>
          <w:b w:val="0"/>
          <w:i w:val="0"/>
        </w:rPr>
        <w:t xml:space="preserve"> The estimated salary may be synthetic or weakly related to reality.</w:t>
      </w:r>
    </w:p>
    <w:p>
      <w:pPr>
        <w:pStyle w:val="ListBullet"/>
        <w:spacing w:after="40"/>
      </w:pPr>
      <w:r>
        <w:rPr>
          <w:b/>
          <w:i w:val="0"/>
        </w:rPr>
        <w:t>Association, not causation.</w:t>
      </w:r>
      <w:r>
        <w:rPr>
          <w:b w:val="0"/>
          <w:i w:val="0"/>
        </w:rPr>
        <w:t xml:space="preserve"> Patterns such as the effect of the number of products may reflect other factors; recommendations should be tested before rollout.</w:t>
      </w:r>
    </w:p>
    <w:p>
      <w:pPr>
        <w:pStyle w:val="ListBullet"/>
        <w:spacing w:after="40"/>
      </w:pPr>
      <w:r>
        <w:rPr>
          <w:b/>
          <w:i w:val="0"/>
        </w:rPr>
        <w:t>Missed churners.</w:t>
      </w:r>
      <w:r>
        <w:rPr>
          <w:b w:val="0"/>
          <w:i w:val="0"/>
        </w:rPr>
        <w:t xml:space="preserve"> At the chosen threshold, 132 of 407 churners (32.4%) are not flagged, and 178 stayers are.</w:t>
      </w:r>
    </w:p>
    <w:p>
      <w:pPr>
        <w:pStyle w:val="ListBullet"/>
        <w:spacing w:after="40"/>
      </w:pPr>
      <w:r>
        <w:rPr>
          <w:b/>
          <w:i w:val="0"/>
        </w:rPr>
        <w:t>Costs not modelled.</w:t>
      </w:r>
      <w:r>
        <w:rPr>
          <w:b w:val="0"/>
          <w:i w:val="0"/>
        </w:rPr>
        <w:t xml:space="preserve"> The threshold maximises F1; a bank with real cost figures could choose a different balance.</w:t>
      </w:r>
    </w:p>
    <w:p>
      <w:pPr>
        <w:pStyle w:val="ListBullet"/>
        <w:spacing w:after="40"/>
      </w:pPr>
      <w:r>
        <w:rPr>
          <w:b/>
          <w:i w:val="0"/>
        </w:rPr>
        <w:t>One split.</w:t>
      </w:r>
      <w:r>
        <w:rPr>
          <w:b w:val="0"/>
          <w:i w:val="0"/>
        </w:rPr>
        <w:t xml:space="preserve"> Test results come from a single 2,000-customer test set, although cross-validation on the training data gave consistent results.</w:t>
      </w:r>
    </w:p>
    <w:p>
      <w:pPr>
        <w:pStyle w:val="ListBullet"/>
        <w:spacing w:after="40"/>
      </w:pPr>
      <w:r>
        <w:rPr>
          <w:b/>
          <w:i w:val="0"/>
        </w:rPr>
        <w:t>Demonstration only.</w:t>
      </w:r>
      <w:r>
        <w:rPr>
          <w:b w:val="0"/>
          <w:i w:val="0"/>
        </w:rPr>
        <w:t xml:space="preserve"> The dashboard is a demonstration and should not be used for real customer decisions.</w:t>
      </w:r>
    </w:p>
    <w:p>
      <w:pPr>
        <w:pStyle w:val="Heading1"/>
      </w:pPr>
      <w:r>
        <w:t>10. Conclusion</w:t>
      </w:r>
    </w:p>
    <w:p>
      <w:pPr>
        <w:jc w:val="both"/>
      </w:pPr>
      <w:r>
        <w:rPr>
          <w:b w:val="0"/>
          <w:i w:val="0"/>
        </w:rPr>
        <w:t>A tuned XGBoost model predicts bank customer churn well (test ROC-AUC 0.871) and, at a threshold of 0.29, finds about two thirds of churners at 61% precision. Age, the number of products, activity and country explain most of the risk, and SHAP lets every flag be explained. The findings translate into five concrete retention actions, and a live dashboard lets staff score customers and test what-if changes. Next steps are to validate the recommendations on a pilot group, estimate the costs behind the threshold, and test the model on newer data over time.</w:t>
      </w:r>
    </w:p>
    <w:p>
      <w:pPr>
        <w:pStyle w:val="Heading1"/>
      </w:pPr>
      <w:r>
        <w:t>References</w:t>
      </w:r>
    </w:p>
    <w:p>
      <w:pPr>
        <w:spacing w:after="80"/>
        <w:ind w:left="432" w:hanging="432"/>
      </w:pPr>
      <w:r>
        <w:t>Unified Mentor Private Limited. (2026). European bank customer churn dataset (European_Bank.csv) [Data set]. Project portal, accessed October 2026.</w:t>
      </w:r>
    </w:p>
    <w:p>
      <w:pPr>
        <w:spacing w:after="80"/>
        <w:ind w:left="432" w:hanging="432"/>
      </w:pPr>
      <w:r>
        <w:t>Breiman, L. (2001). Random forests. Machine Learning, 45(1), 5-32.</w:t>
      </w:r>
    </w:p>
    <w:p>
      <w:pPr>
        <w:spacing w:after="80"/>
        <w:ind w:left="432" w:hanging="432"/>
      </w:pPr>
      <w:r>
        <w:t>Chen, T., &amp; Guestrin, C. (2016). XGBoost: A scalable tree boosting system. Proceedings of the 22nd ACM SIGKDD International Conference on Knowledge Discovery and Data Mining, 785-794.</w:t>
      </w:r>
    </w:p>
    <w:p>
      <w:pPr>
        <w:spacing w:after="80"/>
        <w:ind w:left="432" w:hanging="432"/>
      </w:pPr>
      <w:r>
        <w:t>Friedman, J. H. (2001). Greedy function approximation: A gradient boosting machine. Annals of Statistics, 29(5), 1189-1232.</w:t>
      </w:r>
    </w:p>
    <w:p>
      <w:pPr>
        <w:spacing w:after="80"/>
        <w:ind w:left="432" w:hanging="432"/>
      </w:pPr>
      <w:r>
        <w:t>Lundberg, S. M., &amp; Lee, S.-I. (2017). A unified approach to interpreting model predictions. Advances in Neural Information Processing Systems, 30.</w:t>
      </w:r>
    </w:p>
    <w:p>
      <w:pPr>
        <w:spacing w:after="80"/>
        <w:ind w:left="432" w:hanging="432"/>
      </w:pPr>
      <w:r>
        <w:t>Pedregosa, F., et al. (2011). Scikit-learn: Machine learning in Python. Journal of Machine Learning Research, 12, 2825-2830.</w:t>
      </w:r>
    </w:p>
    <w:p>
      <w:r>
        <w:br w:type="page"/>
      </w:r>
    </w:p>
    <w:p>
      <w:pPr>
        <w:pStyle w:val="Heading1"/>
      </w:pPr>
      <w:r>
        <w:t>Appendix A. Logistic Regression and SHAP compared (all features)</w:t>
      </w:r>
    </w:p>
    <w:p>
      <w:pPr>
        <w:keepNext/>
        <w:spacing w:after="60"/>
      </w:pPr>
      <w:r>
        <w:rPr>
          <w:b/>
          <w:i w:val="0"/>
          <w:sz w:val="19"/>
        </w:rPr>
        <w:t>Table 11.</w:t>
      </w:r>
      <w:r>
        <w:rPr>
          <w:b w:val="0"/>
          <w:i w:val="0"/>
          <w:sz w:val="19"/>
        </w:rPr>
        <w:t xml:space="preserve"> All features: SHAP importance and Logistic Regression coefficient.</w:t>
      </w:r>
    </w:p>
    <w:tbl>
      <w:tblPr>
        <w:tblStyle w:val="TableGrid"/>
        <w:tblW w:type="auto" w:w="0"/>
        <w:jc w:val="center"/>
        <w:tblLayout w:type="fixed"/>
        <w:tblLook w:firstColumn="1" w:firstRow="1" w:lastColumn="0" w:lastRow="0" w:noHBand="0" w:noVBand="1" w:val="04A0"/>
      </w:tblPr>
      <w:tblGrid>
        <w:gridCol w:w="2304"/>
        <w:gridCol w:w="1152"/>
        <w:gridCol w:w="1008"/>
        <w:gridCol w:w="1224"/>
        <w:gridCol w:w="1080"/>
        <w:gridCol w:w="864"/>
        <w:gridCol w:w="936"/>
      </w:tblGrid>
      <w:tr>
        <w:tc>
          <w:tcPr>
            <w:tcW w:type="dxa" w:w="2304"/>
            <w:shd w:val="clear" w:color="auto" w:fill="1F3A5F"/>
          </w:tcPr>
          <w:p>
            <w:pPr>
              <w:keepNext/>
              <w:spacing w:after="20" w:before="20" w:line="240" w:lineRule="auto"/>
              <w:jc w:val="center"/>
            </w:pPr>
            <w:r>
              <w:rPr>
                <w:b/>
                <w:color w:val="FFFFFF"/>
                <w:sz w:val="17"/>
              </w:rPr>
              <w:t>Feature</w:t>
            </w:r>
          </w:p>
        </w:tc>
        <w:tc>
          <w:tcPr>
            <w:tcW w:type="dxa" w:w="1152"/>
            <w:shd w:val="clear" w:color="auto" w:fill="1F3A5F"/>
          </w:tcPr>
          <w:p>
            <w:pPr>
              <w:keepNext/>
              <w:spacing w:after="20" w:before="20" w:line="240" w:lineRule="auto"/>
              <w:jc w:val="center"/>
            </w:pPr>
            <w:r>
              <w:rPr>
                <w:b/>
                <w:color w:val="FFFFFF"/>
                <w:sz w:val="17"/>
              </w:rPr>
              <w:t>SHAP importance</w:t>
            </w:r>
          </w:p>
        </w:tc>
        <w:tc>
          <w:tcPr>
            <w:tcW w:type="dxa" w:w="1008"/>
            <w:shd w:val="clear" w:color="auto" w:fill="1F3A5F"/>
          </w:tcPr>
          <w:p>
            <w:pPr>
              <w:keepNext/>
              <w:spacing w:after="20" w:before="20" w:line="240" w:lineRule="auto"/>
              <w:jc w:val="center"/>
            </w:pPr>
            <w:r>
              <w:rPr>
                <w:b/>
                <w:color w:val="FFFFFF"/>
                <w:sz w:val="17"/>
              </w:rPr>
              <w:t>SHAP direction</w:t>
            </w:r>
          </w:p>
        </w:tc>
        <w:tc>
          <w:tcPr>
            <w:tcW w:type="dxa" w:w="1224"/>
            <w:shd w:val="clear" w:color="auto" w:fill="1F3A5F"/>
          </w:tcPr>
          <w:p>
            <w:pPr>
              <w:keepNext/>
              <w:spacing w:after="20" w:before="20" w:line="240" w:lineRule="auto"/>
              <w:jc w:val="center"/>
            </w:pPr>
            <w:r>
              <w:rPr>
                <w:b/>
                <w:color w:val="FFFFFF"/>
                <w:sz w:val="17"/>
              </w:rPr>
              <w:t>LogReg coefficient</w:t>
            </w:r>
          </w:p>
        </w:tc>
        <w:tc>
          <w:tcPr>
            <w:tcW w:type="dxa" w:w="1080"/>
            <w:shd w:val="clear" w:color="auto" w:fill="1F3A5F"/>
          </w:tcPr>
          <w:p>
            <w:pPr>
              <w:keepNext/>
              <w:spacing w:after="20" w:before="20" w:line="240" w:lineRule="auto"/>
              <w:jc w:val="center"/>
            </w:pPr>
            <w:r>
              <w:rPr>
                <w:b/>
                <w:color w:val="FFFFFF"/>
                <w:sz w:val="17"/>
              </w:rPr>
              <w:t>LogReg direction</w:t>
            </w:r>
          </w:p>
        </w:tc>
        <w:tc>
          <w:tcPr>
            <w:tcW w:type="dxa" w:w="864"/>
            <w:shd w:val="clear" w:color="auto" w:fill="1F3A5F"/>
          </w:tcPr>
          <w:p>
            <w:pPr>
              <w:keepNext/>
              <w:spacing w:after="20" w:before="20" w:line="240" w:lineRule="auto"/>
              <w:jc w:val="center"/>
            </w:pPr>
            <w:r>
              <w:rPr>
                <w:b/>
                <w:color w:val="FFFFFF"/>
                <w:sz w:val="17"/>
              </w:rPr>
              <w:t>SHAP rank</w:t>
            </w:r>
          </w:p>
        </w:tc>
        <w:tc>
          <w:tcPr>
            <w:tcW w:type="dxa" w:w="936"/>
            <w:shd w:val="clear" w:color="auto" w:fill="1F3A5F"/>
          </w:tcPr>
          <w:p>
            <w:pPr>
              <w:keepNext/>
              <w:spacing w:after="20" w:before="20" w:line="240" w:lineRule="auto"/>
              <w:jc w:val="center"/>
            </w:pPr>
            <w:r>
              <w:rPr>
                <w:b/>
                <w:color w:val="FFFFFF"/>
                <w:sz w:val="17"/>
              </w:rPr>
              <w:t>LogReg rank</w:t>
            </w:r>
          </w:p>
        </w:tc>
      </w:tr>
      <w:tr>
        <w:tc>
          <w:tcPr>
            <w:tcW w:type="dxa" w:w="2304"/>
          </w:tcPr>
          <w:p>
            <w:pPr>
              <w:keepNext/>
              <w:spacing w:after="20" w:before="20" w:line="240" w:lineRule="auto"/>
              <w:jc w:val="left"/>
            </w:pPr>
            <w:r>
              <w:rPr>
                <w:sz w:val="17"/>
              </w:rPr>
              <w:t>Age</w:t>
            </w:r>
          </w:p>
        </w:tc>
        <w:tc>
          <w:tcPr>
            <w:tcW w:type="dxa" w:w="1152"/>
          </w:tcPr>
          <w:p>
            <w:pPr>
              <w:keepNext/>
              <w:spacing w:after="20" w:before="20" w:line="240" w:lineRule="auto"/>
              <w:jc w:val="right"/>
            </w:pPr>
            <w:r>
              <w:rPr>
                <w:sz w:val="17"/>
              </w:rPr>
              <w:t>0.786</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0.696</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1</w:t>
            </w:r>
          </w:p>
        </w:tc>
        <w:tc>
          <w:tcPr>
            <w:tcW w:type="dxa" w:w="936"/>
          </w:tcPr>
          <w:p>
            <w:pPr>
              <w:keepNext/>
              <w:spacing w:after="20" w:before="20" w:line="240" w:lineRule="auto"/>
              <w:jc w:val="right"/>
            </w:pPr>
            <w:r>
              <w:rPr>
                <w:sz w:val="17"/>
              </w:rPr>
              <w:t>3</w:t>
            </w:r>
          </w:p>
        </w:tc>
      </w:tr>
      <w:tr>
        <w:tc>
          <w:tcPr>
            <w:tcW w:type="dxa" w:w="2304"/>
            <w:shd w:val="clear" w:color="auto" w:fill="EEF2F7"/>
          </w:tcPr>
          <w:p>
            <w:pPr>
              <w:keepNext/>
              <w:spacing w:after="20" w:before="20" w:line="240" w:lineRule="auto"/>
              <w:jc w:val="left"/>
            </w:pPr>
            <w:r>
              <w:rPr>
                <w:sz w:val="17"/>
              </w:rPr>
              <w:t>NumOfProducts</w:t>
            </w:r>
          </w:p>
        </w:tc>
        <w:tc>
          <w:tcPr>
            <w:tcW w:type="dxa" w:w="1152"/>
            <w:shd w:val="clear" w:color="auto" w:fill="EEF2F7"/>
          </w:tcPr>
          <w:p>
            <w:pPr>
              <w:keepNext/>
              <w:spacing w:after="20" w:before="20" w:line="240" w:lineRule="auto"/>
              <w:jc w:val="right"/>
            </w:pPr>
            <w:r>
              <w:rPr>
                <w:sz w:val="17"/>
              </w:rPr>
              <w:t>0.736</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-0.124</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2</w:t>
            </w:r>
          </w:p>
        </w:tc>
        <w:tc>
          <w:tcPr>
            <w:tcW w:type="dxa" w:w="936"/>
            <w:shd w:val="clear" w:color="auto" w:fill="EEF2F7"/>
          </w:tcPr>
          <w:p>
            <w:pPr>
              <w:keepNext/>
              <w:spacing w:after="20" w:before="20" w:line="240" w:lineRule="auto"/>
              <w:jc w:val="right"/>
            </w:pPr>
            <w:r>
              <w:rPr>
                <w:sz w:val="17"/>
              </w:rPr>
              <w:t>8</w:t>
            </w:r>
          </w:p>
        </w:tc>
      </w:tr>
      <w:tr>
        <w:tc>
          <w:tcPr>
            <w:tcW w:type="dxa" w:w="2304"/>
          </w:tcPr>
          <w:p>
            <w:pPr>
              <w:keepNext/>
              <w:spacing w:after="20" w:before="20" w:line="240" w:lineRule="auto"/>
              <w:jc w:val="left"/>
            </w:pPr>
            <w:r>
              <w:rPr>
                <w:sz w:val="17"/>
              </w:rPr>
              <w:t>EngagementProduct</w:t>
            </w:r>
          </w:p>
        </w:tc>
        <w:tc>
          <w:tcPr>
            <w:tcW w:type="dxa" w:w="1152"/>
          </w:tcPr>
          <w:p>
            <w:pPr>
              <w:keepNext/>
              <w:spacing w:after="20" w:before="20" w:line="240" w:lineRule="auto"/>
              <w:jc w:val="right"/>
            </w:pPr>
            <w:r>
              <w:rPr>
                <w:sz w:val="17"/>
              </w:rPr>
              <w:t>0.325</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0.272</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3</w:t>
            </w:r>
          </w:p>
        </w:tc>
        <w:tc>
          <w:tcPr>
            <w:tcW w:type="dxa" w:w="936"/>
          </w:tcPr>
          <w:p>
            <w:pPr>
              <w:keepNext/>
              <w:spacing w:after="20" w:before="20" w:line="240" w:lineRule="auto"/>
              <w:jc w:val="right"/>
            </w:pPr>
            <w:r>
              <w:rPr>
                <w:sz w:val="17"/>
              </w:rPr>
              <w:t>5</w:t>
            </w:r>
          </w:p>
        </w:tc>
      </w:tr>
      <w:tr>
        <w:tc>
          <w:tcPr>
            <w:tcW w:type="dxa" w:w="2304"/>
            <w:shd w:val="clear" w:color="auto" w:fill="EEF2F7"/>
          </w:tcPr>
          <w:p>
            <w:pPr>
              <w:keepNext/>
              <w:spacing w:after="20" w:before="20" w:line="240" w:lineRule="auto"/>
              <w:jc w:val="left"/>
            </w:pPr>
            <w:r>
              <w:rPr>
                <w:sz w:val="17"/>
              </w:rPr>
              <w:t>Geography_Germany</w:t>
            </w:r>
          </w:p>
        </w:tc>
        <w:tc>
          <w:tcPr>
            <w:tcW w:type="dxa" w:w="1152"/>
            <w:shd w:val="clear" w:color="auto" w:fill="EEF2F7"/>
          </w:tcPr>
          <w:p>
            <w:pPr>
              <w:keepNext/>
              <w:spacing w:after="20" w:before="20" w:line="240" w:lineRule="auto"/>
              <w:jc w:val="right"/>
            </w:pPr>
            <w:r>
              <w:rPr>
                <w:sz w:val="17"/>
              </w:rPr>
              <w:t>0.256</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0.816</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4</w:t>
            </w:r>
          </w:p>
        </w:tc>
        <w:tc>
          <w:tcPr>
            <w:tcW w:type="dxa" w:w="936"/>
            <w:shd w:val="clear" w:color="auto" w:fill="EEF2F7"/>
          </w:tcPr>
          <w:p>
            <w:pPr>
              <w:keepNext/>
              <w:spacing w:after="20" w:before="20" w:line="240" w:lineRule="auto"/>
              <w:jc w:val="right"/>
            </w:pPr>
            <w:r>
              <w:rPr>
                <w:sz w:val="17"/>
              </w:rPr>
              <w:t>2</w:t>
            </w:r>
          </w:p>
        </w:tc>
      </w:tr>
      <w:tr>
        <w:tc>
          <w:tcPr>
            <w:tcW w:type="dxa" w:w="2304"/>
          </w:tcPr>
          <w:p>
            <w:pPr>
              <w:keepNext/>
              <w:spacing w:after="20" w:before="20" w:line="240" w:lineRule="auto"/>
              <w:jc w:val="left"/>
            </w:pPr>
            <w:r>
              <w:rPr>
                <w:sz w:val="17"/>
              </w:rPr>
              <w:t>Gender_Male</w:t>
            </w:r>
          </w:p>
        </w:tc>
        <w:tc>
          <w:tcPr>
            <w:tcW w:type="dxa" w:w="1152"/>
          </w:tcPr>
          <w:p>
            <w:pPr>
              <w:keepNext/>
              <w:spacing w:after="20" w:before="20" w:line="240" w:lineRule="auto"/>
              <w:jc w:val="right"/>
            </w:pPr>
            <w:r>
              <w:rPr>
                <w:sz w:val="17"/>
              </w:rPr>
              <w:t>0.212</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-0.524</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5</w:t>
            </w:r>
          </w:p>
        </w:tc>
        <w:tc>
          <w:tcPr>
            <w:tcW w:type="dxa" w:w="936"/>
          </w:tcPr>
          <w:p>
            <w:pPr>
              <w:keepNext/>
              <w:spacing w:after="20" w:before="20" w:line="240" w:lineRule="auto"/>
              <w:jc w:val="right"/>
            </w:pPr>
            <w:r>
              <w:rPr>
                <w:sz w:val="17"/>
              </w:rPr>
              <w:t>4</w:t>
            </w:r>
          </w:p>
        </w:tc>
      </w:tr>
      <w:tr>
        <w:tc>
          <w:tcPr>
            <w:tcW w:type="dxa" w:w="2304"/>
            <w:shd w:val="clear" w:color="auto" w:fill="EEF2F7"/>
          </w:tcPr>
          <w:p>
            <w:pPr>
              <w:keepNext/>
              <w:spacing w:after="20" w:before="20" w:line="240" w:lineRule="auto"/>
              <w:jc w:val="left"/>
            </w:pPr>
            <w:r>
              <w:rPr>
                <w:sz w:val="17"/>
              </w:rPr>
              <w:t>Balance</w:t>
            </w:r>
          </w:p>
        </w:tc>
        <w:tc>
          <w:tcPr>
            <w:tcW w:type="dxa" w:w="1152"/>
            <w:shd w:val="clear" w:color="auto" w:fill="EEF2F7"/>
          </w:tcPr>
          <w:p>
            <w:pPr>
              <w:keepNext/>
              <w:spacing w:after="20" w:before="20" w:line="240" w:lineRule="auto"/>
              <w:jc w:val="right"/>
            </w:pPr>
            <w:r>
              <w:rPr>
                <w:sz w:val="17"/>
              </w:rPr>
              <w:t>0.102</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0.160</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6</w:t>
            </w:r>
          </w:p>
        </w:tc>
        <w:tc>
          <w:tcPr>
            <w:tcW w:type="dxa" w:w="936"/>
            <w:shd w:val="clear" w:color="auto" w:fill="EEF2F7"/>
          </w:tcPr>
          <w:p>
            <w:pPr>
              <w:keepNext/>
              <w:spacing w:after="20" w:before="20" w:line="240" w:lineRule="auto"/>
              <w:jc w:val="right"/>
            </w:pPr>
            <w:r>
              <w:rPr>
                <w:sz w:val="17"/>
              </w:rPr>
              <w:t>7</w:t>
            </w:r>
          </w:p>
        </w:tc>
      </w:tr>
      <w:tr>
        <w:tc>
          <w:tcPr>
            <w:tcW w:type="dxa" w:w="2304"/>
          </w:tcPr>
          <w:p>
            <w:pPr>
              <w:keepNext/>
              <w:spacing w:after="20" w:before="20" w:line="240" w:lineRule="auto"/>
              <w:jc w:val="left"/>
            </w:pPr>
            <w:r>
              <w:rPr>
                <w:sz w:val="17"/>
              </w:rPr>
              <w:t>BalanceSalaryRatio</w:t>
            </w:r>
          </w:p>
        </w:tc>
        <w:tc>
          <w:tcPr>
            <w:tcW w:type="dxa" w:w="1152"/>
          </w:tcPr>
          <w:p>
            <w:pPr>
              <w:keepNext/>
              <w:spacing w:after="20" w:before="20" w:line="240" w:lineRule="auto"/>
              <w:jc w:val="right"/>
            </w:pPr>
            <w:r>
              <w:rPr>
                <w:sz w:val="17"/>
              </w:rPr>
              <w:t>0.101</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0.160</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7</w:t>
            </w:r>
          </w:p>
        </w:tc>
        <w:tc>
          <w:tcPr>
            <w:tcW w:type="dxa" w:w="936"/>
          </w:tcPr>
          <w:p>
            <w:pPr>
              <w:keepNext/>
              <w:spacing w:after="20" w:before="20" w:line="240" w:lineRule="auto"/>
              <w:jc w:val="right"/>
            </w:pPr>
            <w:r>
              <w:rPr>
                <w:sz w:val="17"/>
              </w:rPr>
              <w:t>6</w:t>
            </w:r>
          </w:p>
        </w:tc>
      </w:tr>
      <w:tr>
        <w:tc>
          <w:tcPr>
            <w:tcW w:type="dxa" w:w="2304"/>
            <w:shd w:val="clear" w:color="auto" w:fill="EEF2F7"/>
          </w:tcPr>
          <w:p>
            <w:pPr>
              <w:keepNext/>
              <w:spacing w:after="20" w:before="20" w:line="240" w:lineRule="auto"/>
              <w:jc w:val="left"/>
            </w:pPr>
            <w:r>
              <w:rPr>
                <w:sz w:val="17"/>
              </w:rPr>
              <w:t>EstimatedSalary</w:t>
            </w:r>
          </w:p>
        </w:tc>
        <w:tc>
          <w:tcPr>
            <w:tcW w:type="dxa" w:w="1152"/>
            <w:shd w:val="clear" w:color="auto" w:fill="EEF2F7"/>
          </w:tcPr>
          <w:p>
            <w:pPr>
              <w:keepNext/>
              <w:spacing w:after="20" w:before="20" w:line="240" w:lineRule="auto"/>
              <w:jc w:val="right"/>
            </w:pPr>
            <w:r>
              <w:rPr>
                <w:sz w:val="17"/>
              </w:rPr>
              <w:t>0.064</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0.053</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8</w:t>
            </w:r>
          </w:p>
        </w:tc>
        <w:tc>
          <w:tcPr>
            <w:tcW w:type="dxa" w:w="936"/>
            <w:shd w:val="clear" w:color="auto" w:fill="EEF2F7"/>
          </w:tcPr>
          <w:p>
            <w:pPr>
              <w:keepNext/>
              <w:spacing w:after="20" w:before="20" w:line="240" w:lineRule="auto"/>
              <w:jc w:val="right"/>
            </w:pPr>
            <w:r>
              <w:rPr>
                <w:sz w:val="17"/>
              </w:rPr>
              <w:t>12</w:t>
            </w:r>
          </w:p>
        </w:tc>
      </w:tr>
      <w:tr>
        <w:tc>
          <w:tcPr>
            <w:tcW w:type="dxa" w:w="2304"/>
          </w:tcPr>
          <w:p>
            <w:pPr>
              <w:keepNext/>
              <w:spacing w:after="20" w:before="20" w:line="240" w:lineRule="auto"/>
              <w:jc w:val="left"/>
            </w:pPr>
            <w:r>
              <w:rPr>
                <w:sz w:val="17"/>
              </w:rPr>
              <w:t>IsActiveMember</w:t>
            </w:r>
          </w:p>
        </w:tc>
        <w:tc>
          <w:tcPr>
            <w:tcW w:type="dxa" w:w="1152"/>
          </w:tcPr>
          <w:p>
            <w:pPr>
              <w:keepNext/>
              <w:spacing w:after="20" w:before="20" w:line="240" w:lineRule="auto"/>
              <w:jc w:val="right"/>
            </w:pPr>
            <w:r>
              <w:rPr>
                <w:sz w:val="17"/>
              </w:rPr>
              <w:t>0.056</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-1.494</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9</w:t>
            </w:r>
          </w:p>
        </w:tc>
        <w:tc>
          <w:tcPr>
            <w:tcW w:type="dxa" w:w="936"/>
          </w:tcPr>
          <w:p>
            <w:pPr>
              <w:keepNext/>
              <w:spacing w:after="20" w:before="20" w:line="240" w:lineRule="auto"/>
              <w:jc w:val="right"/>
            </w:pPr>
            <w:r>
              <w:rPr>
                <w:sz w:val="17"/>
              </w:rPr>
              <w:t>1</w:t>
            </w:r>
          </w:p>
        </w:tc>
      </w:tr>
      <w:tr>
        <w:tc>
          <w:tcPr>
            <w:tcW w:type="dxa" w:w="2304"/>
            <w:shd w:val="clear" w:color="auto" w:fill="EEF2F7"/>
          </w:tcPr>
          <w:p>
            <w:pPr>
              <w:keepNext/>
              <w:spacing w:after="20" w:before="20" w:line="240" w:lineRule="auto"/>
              <w:jc w:val="left"/>
            </w:pPr>
            <w:r>
              <w:rPr>
                <w:sz w:val="17"/>
              </w:rPr>
              <w:t>CreditScore</w:t>
            </w:r>
          </w:p>
        </w:tc>
        <w:tc>
          <w:tcPr>
            <w:tcW w:type="dxa" w:w="1152"/>
            <w:shd w:val="clear" w:color="auto" w:fill="EEF2F7"/>
          </w:tcPr>
          <w:p>
            <w:pPr>
              <w:keepNext/>
              <w:spacing w:after="20" w:before="20" w:line="240" w:lineRule="auto"/>
              <w:jc w:val="right"/>
            </w:pPr>
            <w:r>
              <w:rPr>
                <w:sz w:val="17"/>
              </w:rPr>
              <w:t>0.048</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-0.088</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10</w:t>
            </w:r>
          </w:p>
        </w:tc>
        <w:tc>
          <w:tcPr>
            <w:tcW w:type="dxa" w:w="936"/>
            <w:shd w:val="clear" w:color="auto" w:fill="EEF2F7"/>
          </w:tcPr>
          <w:p>
            <w:pPr>
              <w:keepNext/>
              <w:spacing w:after="20" w:before="20" w:line="240" w:lineRule="auto"/>
              <w:jc w:val="right"/>
            </w:pPr>
            <w:r>
              <w:rPr>
                <w:sz w:val="17"/>
              </w:rPr>
              <w:t>9</w:t>
            </w:r>
          </w:p>
        </w:tc>
      </w:tr>
      <w:tr>
        <w:tc>
          <w:tcPr>
            <w:tcW w:type="dxa" w:w="2304"/>
          </w:tcPr>
          <w:p>
            <w:pPr>
              <w:keepNext/>
              <w:spacing w:after="20" w:before="20" w:line="240" w:lineRule="auto"/>
              <w:jc w:val="left"/>
            </w:pPr>
            <w:r>
              <w:rPr>
                <w:sz w:val="17"/>
              </w:rPr>
              <w:t>AgeByTenure</w:t>
            </w:r>
          </w:p>
        </w:tc>
        <w:tc>
          <w:tcPr>
            <w:tcW w:type="dxa" w:w="1152"/>
          </w:tcPr>
          <w:p>
            <w:pPr>
              <w:keepNext/>
              <w:spacing w:after="20" w:before="20" w:line="240" w:lineRule="auto"/>
              <w:jc w:val="right"/>
            </w:pPr>
            <w:r>
              <w:rPr>
                <w:sz w:val="17"/>
              </w:rPr>
              <w:t>0.043</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0.076</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11</w:t>
            </w:r>
          </w:p>
        </w:tc>
        <w:tc>
          <w:tcPr>
            <w:tcW w:type="dxa" w:w="936"/>
          </w:tcPr>
          <w:p>
            <w:pPr>
              <w:keepNext/>
              <w:spacing w:after="20" w:before="20" w:line="240" w:lineRule="auto"/>
              <w:jc w:val="right"/>
            </w:pPr>
            <w:r>
              <w:rPr>
                <w:sz w:val="17"/>
              </w:rPr>
              <w:t>10</w:t>
            </w:r>
          </w:p>
        </w:tc>
      </w:tr>
      <w:tr>
        <w:tc>
          <w:tcPr>
            <w:tcW w:type="dxa" w:w="2304"/>
            <w:shd w:val="clear" w:color="auto" w:fill="EEF2F7"/>
          </w:tcPr>
          <w:p>
            <w:pPr>
              <w:keepNext/>
              <w:spacing w:after="20" w:before="20" w:line="240" w:lineRule="auto"/>
              <w:jc w:val="left"/>
            </w:pPr>
            <w:r>
              <w:rPr>
                <w:sz w:val="17"/>
              </w:rPr>
              <w:t>AgeTenure</w:t>
            </w:r>
          </w:p>
        </w:tc>
        <w:tc>
          <w:tcPr>
            <w:tcW w:type="dxa" w:w="1152"/>
            <w:shd w:val="clear" w:color="auto" w:fill="EEF2F7"/>
          </w:tcPr>
          <w:p>
            <w:pPr>
              <w:keepNext/>
              <w:spacing w:after="20" w:before="20" w:line="240" w:lineRule="auto"/>
              <w:jc w:val="right"/>
            </w:pPr>
            <w:r>
              <w:rPr>
                <w:sz w:val="17"/>
              </w:rPr>
              <w:t>0.026</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0.045</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12</w:t>
            </w:r>
          </w:p>
        </w:tc>
        <w:tc>
          <w:tcPr>
            <w:tcW w:type="dxa" w:w="936"/>
            <w:shd w:val="clear" w:color="auto" w:fill="EEF2F7"/>
          </w:tcPr>
          <w:p>
            <w:pPr>
              <w:keepNext/>
              <w:spacing w:after="20" w:before="20" w:line="240" w:lineRule="auto"/>
              <w:jc w:val="right"/>
            </w:pPr>
            <w:r>
              <w:rPr>
                <w:sz w:val="17"/>
              </w:rPr>
              <w:t>14</w:t>
            </w:r>
          </w:p>
        </w:tc>
      </w:tr>
      <w:tr>
        <w:tc>
          <w:tcPr>
            <w:tcW w:type="dxa" w:w="2304"/>
          </w:tcPr>
          <w:p>
            <w:pPr>
              <w:keepNext/>
              <w:spacing w:after="20" w:before="20" w:line="240" w:lineRule="auto"/>
              <w:jc w:val="left"/>
            </w:pPr>
            <w:r>
              <w:rPr>
                <w:sz w:val="17"/>
              </w:rPr>
              <w:t>ProductDensity</w:t>
            </w:r>
          </w:p>
        </w:tc>
        <w:tc>
          <w:tcPr>
            <w:tcW w:type="dxa" w:w="1152"/>
          </w:tcPr>
          <w:p>
            <w:pPr>
              <w:keepNext/>
              <w:spacing w:after="20" w:before="20" w:line="240" w:lineRule="auto"/>
              <w:jc w:val="right"/>
            </w:pPr>
            <w:r>
              <w:rPr>
                <w:sz w:val="17"/>
              </w:rPr>
              <w:t>0.020</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-0.037</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13</w:t>
            </w:r>
          </w:p>
        </w:tc>
        <w:tc>
          <w:tcPr>
            <w:tcW w:type="dxa" w:w="936"/>
          </w:tcPr>
          <w:p>
            <w:pPr>
              <w:keepNext/>
              <w:spacing w:after="20" w:before="20" w:line="240" w:lineRule="auto"/>
              <w:jc w:val="right"/>
            </w:pPr>
            <w:r>
              <w:rPr>
                <w:sz w:val="17"/>
              </w:rPr>
              <w:t>15</w:t>
            </w:r>
          </w:p>
        </w:tc>
      </w:tr>
      <w:tr>
        <w:tc>
          <w:tcPr>
            <w:tcW w:type="dxa" w:w="2304"/>
            <w:shd w:val="clear" w:color="auto" w:fill="EEF2F7"/>
          </w:tcPr>
          <w:p>
            <w:pPr>
              <w:keepNext/>
              <w:spacing w:after="20" w:before="20" w:line="240" w:lineRule="auto"/>
              <w:jc w:val="left"/>
            </w:pPr>
            <w:r>
              <w:rPr>
                <w:sz w:val="17"/>
              </w:rPr>
              <w:t>Geography_Spain</w:t>
            </w:r>
          </w:p>
        </w:tc>
        <w:tc>
          <w:tcPr>
            <w:tcW w:type="dxa" w:w="1152"/>
            <w:shd w:val="clear" w:color="auto" w:fill="EEF2F7"/>
          </w:tcPr>
          <w:p>
            <w:pPr>
              <w:keepNext/>
              <w:spacing w:after="20" w:before="20" w:line="240" w:lineRule="auto"/>
              <w:jc w:val="right"/>
            </w:pPr>
            <w:r>
              <w:rPr>
                <w:sz w:val="17"/>
              </w:rPr>
              <w:t>0.007</w:t>
            </w:r>
          </w:p>
        </w:tc>
        <w:tc>
          <w:tcPr>
            <w:tcW w:type="dxa" w:w="1008"/>
            <w:shd w:val="clear" w:color="auto" w:fill="EEF2F7"/>
          </w:tcPr>
          <w:p>
            <w:pPr>
              <w:keepNext/>
              <w:spacing w:after="20" w:before="20" w:line="240" w:lineRule="auto"/>
              <w:jc w:val="right"/>
            </w:pPr>
            <w:r>
              <w:rPr>
                <w:sz w:val="17"/>
              </w:rPr>
              <w:t>+</w:t>
            </w:r>
          </w:p>
        </w:tc>
        <w:tc>
          <w:tcPr>
            <w:tcW w:type="dxa" w:w="1224"/>
            <w:shd w:val="clear" w:color="auto" w:fill="EEF2F7"/>
          </w:tcPr>
          <w:p>
            <w:pPr>
              <w:keepNext/>
              <w:spacing w:after="20" w:before="20" w:line="240" w:lineRule="auto"/>
              <w:jc w:val="right"/>
            </w:pPr>
            <w:r>
              <w:rPr>
                <w:sz w:val="17"/>
              </w:rPr>
              <w:t>0.051</w:t>
            </w:r>
          </w:p>
        </w:tc>
        <w:tc>
          <w:tcPr>
            <w:tcW w:type="dxa" w:w="1080"/>
            <w:shd w:val="clear" w:color="auto" w:fill="EEF2F7"/>
          </w:tcPr>
          <w:p>
            <w:pPr>
              <w:keepNext/>
              <w:spacing w:after="20" w:before="20" w:line="240" w:lineRule="auto"/>
              <w:jc w:val="right"/>
            </w:pPr>
            <w:r>
              <w:rPr>
                <w:sz w:val="17"/>
              </w:rPr>
              <w:t>+</w:t>
            </w:r>
          </w:p>
        </w:tc>
        <w:tc>
          <w:tcPr>
            <w:tcW w:type="dxa" w:w="864"/>
            <w:shd w:val="clear" w:color="auto" w:fill="EEF2F7"/>
          </w:tcPr>
          <w:p>
            <w:pPr>
              <w:keepNext/>
              <w:spacing w:after="20" w:before="20" w:line="240" w:lineRule="auto"/>
              <w:jc w:val="right"/>
            </w:pPr>
            <w:r>
              <w:rPr>
                <w:sz w:val="17"/>
              </w:rPr>
              <w:t>14</w:t>
            </w:r>
          </w:p>
        </w:tc>
        <w:tc>
          <w:tcPr>
            <w:tcW w:type="dxa" w:w="936"/>
            <w:shd w:val="clear" w:color="auto" w:fill="EEF2F7"/>
          </w:tcPr>
          <w:p>
            <w:pPr>
              <w:keepNext/>
              <w:spacing w:after="20" w:before="20" w:line="240" w:lineRule="auto"/>
              <w:jc w:val="right"/>
            </w:pPr>
            <w:r>
              <w:rPr>
                <w:sz w:val="17"/>
              </w:rPr>
              <w:t>13</w:t>
            </w:r>
          </w:p>
        </w:tc>
      </w:tr>
      <w:tr>
        <w:tc>
          <w:tcPr>
            <w:tcW w:type="dxa" w:w="2304"/>
          </w:tcPr>
          <w:p>
            <w:pPr>
              <w:keepNext/>
              <w:spacing w:after="20" w:before="20" w:line="240" w:lineRule="auto"/>
              <w:jc w:val="left"/>
            </w:pPr>
            <w:r>
              <w:rPr>
                <w:sz w:val="17"/>
              </w:rPr>
              <w:t>HasCrCard</w:t>
            </w:r>
          </w:p>
        </w:tc>
        <w:tc>
          <w:tcPr>
            <w:tcW w:type="dxa" w:w="1152"/>
          </w:tcPr>
          <w:p>
            <w:pPr>
              <w:keepNext/>
              <w:spacing w:after="20" w:before="20" w:line="240" w:lineRule="auto"/>
              <w:jc w:val="right"/>
            </w:pPr>
            <w:r>
              <w:rPr>
                <w:sz w:val="17"/>
              </w:rPr>
              <w:t>0.005</w:t>
            </w:r>
          </w:p>
        </w:tc>
        <w:tc>
          <w:tcPr>
            <w:tcW w:type="dxa" w:w="1008"/>
          </w:tcPr>
          <w:p>
            <w:pPr>
              <w:keepNext/>
              <w:spacing w:after="20" w:before="20" w:line="240" w:lineRule="auto"/>
              <w:jc w:val="right"/>
            </w:pPr>
            <w:r>
              <w:rPr>
                <w:sz w:val="17"/>
              </w:rPr>
              <w:t>-</w:t>
            </w:r>
          </w:p>
        </w:tc>
        <w:tc>
          <w:tcPr>
            <w:tcW w:type="dxa" w:w="1224"/>
          </w:tcPr>
          <w:p>
            <w:pPr>
              <w:keepNext/>
              <w:spacing w:after="20" w:before="20" w:line="240" w:lineRule="auto"/>
              <w:jc w:val="right"/>
            </w:pPr>
            <w:r>
              <w:rPr>
                <w:sz w:val="17"/>
              </w:rPr>
              <w:t>-0.071</w:t>
            </w:r>
          </w:p>
        </w:tc>
        <w:tc>
          <w:tcPr>
            <w:tcW w:type="dxa" w:w="1080"/>
          </w:tcPr>
          <w:p>
            <w:pPr>
              <w:keepNext/>
              <w:spacing w:after="20" w:before="20" w:line="240" w:lineRule="auto"/>
              <w:jc w:val="right"/>
            </w:pPr>
            <w:r>
              <w:rPr>
                <w:sz w:val="17"/>
              </w:rPr>
              <w:t>-</w:t>
            </w:r>
          </w:p>
        </w:tc>
        <w:tc>
          <w:tcPr>
            <w:tcW w:type="dxa" w:w="864"/>
          </w:tcPr>
          <w:p>
            <w:pPr>
              <w:keepNext/>
              <w:spacing w:after="20" w:before="20" w:line="240" w:lineRule="auto"/>
              <w:jc w:val="right"/>
            </w:pPr>
            <w:r>
              <w:rPr>
                <w:sz w:val="17"/>
              </w:rPr>
              <w:t>15</w:t>
            </w:r>
          </w:p>
        </w:tc>
        <w:tc>
          <w:tcPr>
            <w:tcW w:type="dxa" w:w="936"/>
          </w:tcPr>
          <w:p>
            <w:pPr>
              <w:keepNext/>
              <w:spacing w:after="20" w:before="20" w:line="240" w:lineRule="auto"/>
              <w:jc w:val="right"/>
            </w:pPr>
            <w:r>
              <w:rPr>
                <w:sz w:val="17"/>
              </w:rPr>
              <w:t>11</w:t>
            </w:r>
          </w:p>
        </w:tc>
      </w:tr>
      <w:tr>
        <w:tc>
          <w:tcPr>
            <w:tcW w:type="dxa" w:w="2304"/>
            <w:shd w:val="clear" w:color="auto" w:fill="EEF2F7"/>
          </w:tcPr>
          <w:p>
            <w:pPr>
              <w:spacing w:after="20" w:before="20" w:line="240" w:lineRule="auto"/>
              <w:jc w:val="left"/>
            </w:pPr>
            <w:r>
              <w:rPr>
                <w:sz w:val="17"/>
              </w:rPr>
              <w:t>Tenure</w:t>
            </w:r>
          </w:p>
        </w:tc>
        <w:tc>
          <w:tcPr>
            <w:tcW w:type="dxa" w:w="1152"/>
            <w:shd w:val="clear" w:color="auto" w:fill="EEF2F7"/>
          </w:tcPr>
          <w:p>
            <w:pPr>
              <w:spacing w:after="20" w:before="20" w:line="240" w:lineRule="auto"/>
              <w:jc w:val="right"/>
            </w:pPr>
            <w:r>
              <w:rPr>
                <w:sz w:val="17"/>
              </w:rPr>
              <w:t>0.001</w:t>
            </w:r>
          </w:p>
        </w:tc>
        <w:tc>
          <w:tcPr>
            <w:tcW w:type="dxa" w:w="1008"/>
            <w:shd w:val="clear" w:color="auto" w:fill="EEF2F7"/>
          </w:tcPr>
          <w:p>
            <w:pPr>
              <w:spacing w:after="20" w:before="20" w:line="240" w:lineRule="auto"/>
              <w:jc w:val="right"/>
            </w:pPr>
            <w:r>
              <w:rPr>
                <w:sz w:val="17"/>
              </w:rPr>
              <w:t>+</w:t>
            </w:r>
          </w:p>
        </w:tc>
        <w:tc>
          <w:tcPr>
            <w:tcW w:type="dxa" w:w="1224"/>
            <w:shd w:val="clear" w:color="auto" w:fill="EEF2F7"/>
          </w:tcPr>
          <w:p>
            <w:pPr>
              <w:spacing w:after="20" w:before="20" w:line="240" w:lineRule="auto"/>
              <w:jc w:val="right"/>
            </w:pPr>
            <w:r>
              <w:rPr>
                <w:sz w:val="17"/>
              </w:rPr>
              <w:t>-0.030</w:t>
            </w:r>
          </w:p>
        </w:tc>
        <w:tc>
          <w:tcPr>
            <w:tcW w:type="dxa" w:w="1080"/>
            <w:shd w:val="clear" w:color="auto" w:fill="EEF2F7"/>
          </w:tcPr>
          <w:p>
            <w:pPr>
              <w:spacing w:after="20" w:before="20" w:line="240" w:lineRule="auto"/>
              <w:jc w:val="right"/>
            </w:pPr>
            <w:r>
              <w:rPr>
                <w:sz w:val="17"/>
              </w:rPr>
              <w:t>-</w:t>
            </w:r>
          </w:p>
        </w:tc>
        <w:tc>
          <w:tcPr>
            <w:tcW w:type="dxa" w:w="864"/>
            <w:shd w:val="clear" w:color="auto" w:fill="EEF2F7"/>
          </w:tcPr>
          <w:p>
            <w:pPr>
              <w:spacing w:after="20" w:before="20" w:line="240" w:lineRule="auto"/>
              <w:jc w:val="right"/>
            </w:pPr>
            <w:r>
              <w:rPr>
                <w:sz w:val="17"/>
              </w:rPr>
              <w:t>16</w:t>
            </w:r>
          </w:p>
        </w:tc>
        <w:tc>
          <w:tcPr>
            <w:tcW w:type="dxa" w:w="936"/>
            <w:shd w:val="clear" w:color="auto" w:fill="EEF2F7"/>
          </w:tcPr>
          <w:p>
            <w:pPr>
              <w:spacing w:after="20" w:before="20" w:line="240" w:lineRule="auto"/>
              <w:jc w:val="right"/>
            </w:pPr>
            <w:r>
              <w:rPr>
                <w:sz w:val="17"/>
              </w:rPr>
              <w:t>16</w:t>
            </w:r>
          </w:p>
        </w:tc>
      </w:tr>
    </w:tbl>
    <w:p>
      <w:pPr>
        <w:spacing w:after="40"/>
      </w:pPr>
    </w:p>
    <w:p>
      <w:pPr>
        <w:spacing w:after="120"/>
      </w:pPr>
      <w:r>
        <w:rPr>
          <w:b w:val="0"/>
          <w:i w:val="0"/>
        </w:rPr>
        <w:t>SHAP direction shows whether higher feature values raise (+) or lower (-) risk, based on the correlation between the feature and its SHAP value; for features with a non-linear effect, such as the number of products, this is only a rough guide.</w:t>
      </w:r>
    </w:p>
    <w:p>
      <w:pPr>
        <w:pStyle w:val="Heading1"/>
      </w:pPr>
      <w:r>
        <w:t>Appendix B. Dashboard edge-case tests</w:t>
      </w:r>
    </w:p>
    <w:p>
      <w:pPr>
        <w:jc w:val="both"/>
      </w:pPr>
      <w:r>
        <w:rPr>
          <w:b w:val="0"/>
          <w:i w:val="0"/>
        </w:rPr>
        <w:t>The base customer is a 40-year-old French woman with a credit score of 650, five years of tenure, a balance of 80,000, two products, a credit card, active status and a salary of 100,000. Each row changes one or more of these values.</w:t>
      </w:r>
    </w:p>
    <w:p>
      <w:pPr>
        <w:keepNext/>
        <w:spacing w:after="60"/>
      </w:pPr>
      <w:r>
        <w:rPr>
          <w:b/>
          <w:i w:val="0"/>
          <w:sz w:val="19"/>
        </w:rPr>
        <w:t>Table 12.</w:t>
      </w:r>
      <w:r>
        <w:rPr>
          <w:b w:val="0"/>
          <w:i w:val="0"/>
          <w:sz w:val="19"/>
        </w:rPr>
        <w:t xml:space="preserve"> Model output for unusual customers.</w:t>
      </w:r>
    </w:p>
    <w:tbl>
      <w:tblPr>
        <w:tblStyle w:val="TableGrid"/>
        <w:tblW w:type="auto" w:w="0"/>
        <w:jc w:val="center"/>
        <w:tblLayout w:type="fixed"/>
        <w:tblLook w:firstColumn="1" w:firstRow="1" w:lastColumn="0" w:lastRow="0" w:noHBand="0" w:noVBand="1" w:val="04A0"/>
      </w:tblPr>
      <w:tblGrid>
        <w:gridCol w:w="4608"/>
        <w:gridCol w:w="2160"/>
        <w:gridCol w:w="1440"/>
      </w:tblGrid>
      <w:tr>
        <w:tc>
          <w:tcPr>
            <w:tcW w:type="dxa" w:w="4608"/>
            <w:shd w:val="clear" w:color="auto" w:fill="1F3A5F"/>
          </w:tcPr>
          <w:p>
            <w:pPr>
              <w:keepNext/>
              <w:spacing w:after="20" w:before="20" w:line="240" w:lineRule="auto"/>
              <w:jc w:val="center"/>
            </w:pPr>
            <w:r>
              <w:rPr>
                <w:b/>
                <w:color w:val="FFFFFF"/>
                <w:sz w:val="18"/>
              </w:rPr>
              <w:t>Case</w:t>
            </w:r>
          </w:p>
        </w:tc>
        <w:tc>
          <w:tcPr>
            <w:tcW w:type="dxa" w:w="2160"/>
            <w:shd w:val="clear" w:color="auto" w:fill="1F3A5F"/>
          </w:tcPr>
          <w:p>
            <w:pPr>
              <w:keepNext/>
              <w:spacing w:after="20" w:before="20" w:line="240" w:lineRule="auto"/>
              <w:jc w:val="center"/>
            </w:pPr>
            <w:r>
              <w:rPr>
                <w:b/>
                <w:color w:val="FFFFFF"/>
                <w:sz w:val="18"/>
              </w:rPr>
              <w:t>Churn probability</w:t>
            </w:r>
          </w:p>
        </w:tc>
        <w:tc>
          <w:tcPr>
            <w:tcW w:type="dxa" w:w="1440"/>
            <w:shd w:val="clear" w:color="auto" w:fill="1F3A5F"/>
          </w:tcPr>
          <w:p>
            <w:pPr>
              <w:keepNext/>
              <w:spacing w:after="20" w:before="20" w:line="240" w:lineRule="auto"/>
              <w:jc w:val="center"/>
            </w:pPr>
            <w:r>
              <w:rPr>
                <w:b/>
                <w:color w:val="FFFFFF"/>
                <w:sz w:val="18"/>
              </w:rPr>
              <w:t>Flagged</w:t>
            </w:r>
          </w:p>
        </w:tc>
      </w:tr>
      <w:tr>
        <w:tc>
          <w:tcPr>
            <w:tcW w:type="dxa" w:w="4608"/>
          </w:tcPr>
          <w:p>
            <w:pPr>
              <w:keepNext/>
              <w:spacing w:after="20" w:before="20" w:line="240" w:lineRule="auto"/>
              <w:jc w:val="left"/>
            </w:pPr>
            <w:r>
              <w:rPr>
                <w:sz w:val="18"/>
              </w:rPr>
              <w:t>Typical customer</w:t>
            </w:r>
          </w:p>
        </w:tc>
        <w:tc>
          <w:tcPr>
            <w:tcW w:type="dxa" w:w="2160"/>
          </w:tcPr>
          <w:p>
            <w:pPr>
              <w:keepNext/>
              <w:spacing w:after="20" w:before="20" w:line="240" w:lineRule="auto"/>
              <w:jc w:val="right"/>
            </w:pPr>
            <w:r>
              <w:rPr>
                <w:sz w:val="18"/>
              </w:rPr>
              <w:t>0.0751</w:t>
            </w:r>
          </w:p>
        </w:tc>
        <w:tc>
          <w:tcPr>
            <w:tcW w:type="dxa" w:w="1440"/>
          </w:tcPr>
          <w:p>
            <w:pPr>
              <w:keepNext/>
              <w:spacing w:after="20" w:before="20" w:line="240" w:lineRule="auto"/>
              <w:jc w:val="center"/>
            </w:pPr>
            <w:r>
              <w:rPr>
                <w:sz w:val="18"/>
              </w:rPr>
              <w:t>No</w:t>
            </w:r>
          </w:p>
        </w:tc>
      </w:tr>
      <w:tr>
        <w:tc>
          <w:tcPr>
            <w:tcW w:type="dxa" w:w="4608"/>
            <w:shd w:val="clear" w:color="auto" w:fill="EEF2F7"/>
          </w:tcPr>
          <w:p>
            <w:pPr>
              <w:keepNext/>
              <w:spacing w:after="20" w:before="20" w:line="240" w:lineRule="auto"/>
              <w:jc w:val="left"/>
            </w:pPr>
            <w:r>
              <w:rPr>
                <w:sz w:val="18"/>
              </w:rPr>
              <w:t>Tenure = 0</w:t>
            </w:r>
          </w:p>
        </w:tc>
        <w:tc>
          <w:tcPr>
            <w:tcW w:type="dxa" w:w="2160"/>
            <w:shd w:val="clear" w:color="auto" w:fill="EEF2F7"/>
          </w:tcPr>
          <w:p>
            <w:pPr>
              <w:keepNext/>
              <w:spacing w:after="20" w:before="20" w:line="240" w:lineRule="auto"/>
              <w:jc w:val="right"/>
            </w:pPr>
            <w:r>
              <w:rPr>
                <w:sz w:val="18"/>
              </w:rPr>
              <w:t>0.1076</w:t>
            </w:r>
          </w:p>
        </w:tc>
        <w:tc>
          <w:tcPr>
            <w:tcW w:type="dxa" w:w="1440"/>
            <w:shd w:val="clear" w:color="auto" w:fill="EEF2F7"/>
          </w:tcPr>
          <w:p>
            <w:pPr>
              <w:keepNext/>
              <w:spacing w:after="20" w:before="20" w:line="240" w:lineRule="auto"/>
              <w:jc w:val="center"/>
            </w:pPr>
            <w:r>
              <w:rPr>
                <w:sz w:val="18"/>
              </w:rPr>
              <w:t>No</w:t>
            </w:r>
          </w:p>
        </w:tc>
      </w:tr>
      <w:tr>
        <w:tc>
          <w:tcPr>
            <w:tcW w:type="dxa" w:w="4608"/>
          </w:tcPr>
          <w:p>
            <w:pPr>
              <w:keepNext/>
              <w:spacing w:after="20" w:before="20" w:line="240" w:lineRule="auto"/>
              <w:jc w:val="left"/>
            </w:pPr>
            <w:r>
              <w:rPr>
                <w:sz w:val="18"/>
              </w:rPr>
              <w:t>Balance = 0</w:t>
            </w:r>
          </w:p>
        </w:tc>
        <w:tc>
          <w:tcPr>
            <w:tcW w:type="dxa" w:w="2160"/>
          </w:tcPr>
          <w:p>
            <w:pPr>
              <w:keepNext/>
              <w:spacing w:after="20" w:before="20" w:line="240" w:lineRule="auto"/>
              <w:jc w:val="right"/>
            </w:pPr>
            <w:r>
              <w:rPr>
                <w:sz w:val="18"/>
              </w:rPr>
              <w:t>0.0349</w:t>
            </w:r>
          </w:p>
        </w:tc>
        <w:tc>
          <w:tcPr>
            <w:tcW w:type="dxa" w:w="1440"/>
          </w:tcPr>
          <w:p>
            <w:pPr>
              <w:keepNext/>
              <w:spacing w:after="20" w:before="20" w:line="240" w:lineRule="auto"/>
              <w:jc w:val="center"/>
            </w:pPr>
            <w:r>
              <w:rPr>
                <w:sz w:val="18"/>
              </w:rPr>
              <w:t>No</w:t>
            </w:r>
          </w:p>
        </w:tc>
      </w:tr>
      <w:tr>
        <w:tc>
          <w:tcPr>
            <w:tcW w:type="dxa" w:w="4608"/>
            <w:shd w:val="clear" w:color="auto" w:fill="EEF2F7"/>
          </w:tcPr>
          <w:p>
            <w:pPr>
              <w:keepNext/>
              <w:spacing w:after="20" w:before="20" w:line="240" w:lineRule="auto"/>
              <w:jc w:val="left"/>
            </w:pPr>
            <w:r>
              <w:rPr>
                <w:sz w:val="18"/>
              </w:rPr>
              <w:t>4 products</w:t>
            </w:r>
          </w:p>
        </w:tc>
        <w:tc>
          <w:tcPr>
            <w:tcW w:type="dxa" w:w="2160"/>
            <w:shd w:val="clear" w:color="auto" w:fill="EEF2F7"/>
          </w:tcPr>
          <w:p>
            <w:pPr>
              <w:keepNext/>
              <w:spacing w:after="20" w:before="20" w:line="240" w:lineRule="auto"/>
              <w:jc w:val="right"/>
            </w:pPr>
            <w:r>
              <w:rPr>
                <w:sz w:val="18"/>
              </w:rPr>
              <w:t>0.9134</w:t>
            </w:r>
          </w:p>
        </w:tc>
        <w:tc>
          <w:tcPr>
            <w:tcW w:type="dxa" w:w="1440"/>
            <w:shd w:val="clear" w:color="auto" w:fill="EEF2F7"/>
          </w:tcPr>
          <w:p>
            <w:pPr>
              <w:keepNext/>
              <w:spacing w:after="20" w:before="20" w:line="240" w:lineRule="auto"/>
              <w:jc w:val="center"/>
            </w:pPr>
            <w:r>
              <w:rPr>
                <w:sz w:val="18"/>
              </w:rPr>
              <w:t>Yes</w:t>
            </w:r>
          </w:p>
        </w:tc>
      </w:tr>
      <w:tr>
        <w:tc>
          <w:tcPr>
            <w:tcW w:type="dxa" w:w="4608"/>
          </w:tcPr>
          <w:p>
            <w:pPr>
              <w:keepNext/>
              <w:spacing w:after="20" w:before="20" w:line="240" w:lineRule="auto"/>
              <w:jc w:val="left"/>
            </w:pPr>
            <w:r>
              <w:rPr>
                <w:sz w:val="18"/>
              </w:rPr>
              <w:t>Very young (18)</w:t>
            </w:r>
          </w:p>
        </w:tc>
        <w:tc>
          <w:tcPr>
            <w:tcW w:type="dxa" w:w="2160"/>
          </w:tcPr>
          <w:p>
            <w:pPr>
              <w:keepNext/>
              <w:spacing w:after="20" w:before="20" w:line="240" w:lineRule="auto"/>
              <w:jc w:val="right"/>
            </w:pPr>
            <w:r>
              <w:rPr>
                <w:sz w:val="18"/>
              </w:rPr>
              <w:t>0.0317</w:t>
            </w:r>
          </w:p>
        </w:tc>
        <w:tc>
          <w:tcPr>
            <w:tcW w:type="dxa" w:w="1440"/>
          </w:tcPr>
          <w:p>
            <w:pPr>
              <w:keepNext/>
              <w:spacing w:after="20" w:before="20" w:line="240" w:lineRule="auto"/>
              <w:jc w:val="center"/>
            </w:pPr>
            <w:r>
              <w:rPr>
                <w:sz w:val="18"/>
              </w:rPr>
              <w:t>No</w:t>
            </w:r>
          </w:p>
        </w:tc>
      </w:tr>
      <w:tr>
        <w:tc>
          <w:tcPr>
            <w:tcW w:type="dxa" w:w="4608"/>
            <w:shd w:val="clear" w:color="auto" w:fill="EEF2F7"/>
          </w:tcPr>
          <w:p>
            <w:pPr>
              <w:keepNext/>
              <w:spacing w:after="20" w:before="20" w:line="240" w:lineRule="auto"/>
              <w:jc w:val="left"/>
            </w:pPr>
            <w:r>
              <w:rPr>
                <w:sz w:val="18"/>
              </w:rPr>
              <w:t>Very old (92)</w:t>
            </w:r>
          </w:p>
        </w:tc>
        <w:tc>
          <w:tcPr>
            <w:tcW w:type="dxa" w:w="2160"/>
            <w:shd w:val="clear" w:color="auto" w:fill="EEF2F7"/>
          </w:tcPr>
          <w:p>
            <w:pPr>
              <w:keepNext/>
              <w:spacing w:after="20" w:before="20" w:line="240" w:lineRule="auto"/>
              <w:jc w:val="right"/>
            </w:pPr>
            <w:r>
              <w:rPr>
                <w:sz w:val="18"/>
              </w:rPr>
              <w:t>0.0312</w:t>
            </w:r>
          </w:p>
        </w:tc>
        <w:tc>
          <w:tcPr>
            <w:tcW w:type="dxa" w:w="1440"/>
            <w:shd w:val="clear" w:color="auto" w:fill="EEF2F7"/>
          </w:tcPr>
          <w:p>
            <w:pPr>
              <w:keepNext/>
              <w:spacing w:after="20" w:before="20" w:line="240" w:lineRule="auto"/>
              <w:jc w:val="center"/>
            </w:pPr>
            <w:r>
              <w:rPr>
                <w:sz w:val="18"/>
              </w:rPr>
              <w:t>No</w:t>
            </w:r>
          </w:p>
        </w:tc>
      </w:tr>
      <w:tr>
        <w:tc>
          <w:tcPr>
            <w:tcW w:type="dxa" w:w="4608"/>
          </w:tcPr>
          <w:p>
            <w:pPr>
              <w:keepNext/>
              <w:spacing w:after="20" w:before="20" w:line="240" w:lineRule="auto"/>
              <w:jc w:val="left"/>
            </w:pPr>
            <w:r>
              <w:rPr>
                <w:sz w:val="18"/>
              </w:rPr>
              <w:t>Salary = 0</w:t>
            </w:r>
          </w:p>
        </w:tc>
        <w:tc>
          <w:tcPr>
            <w:tcW w:type="dxa" w:w="2160"/>
          </w:tcPr>
          <w:p>
            <w:pPr>
              <w:keepNext/>
              <w:spacing w:after="20" w:before="20" w:line="240" w:lineRule="auto"/>
              <w:jc w:val="right"/>
            </w:pPr>
            <w:r>
              <w:rPr>
                <w:sz w:val="18"/>
              </w:rPr>
              <w:t>0.0481</w:t>
            </w:r>
          </w:p>
        </w:tc>
        <w:tc>
          <w:tcPr>
            <w:tcW w:type="dxa" w:w="1440"/>
          </w:tcPr>
          <w:p>
            <w:pPr>
              <w:keepNext/>
              <w:spacing w:after="20" w:before="20" w:line="240" w:lineRule="auto"/>
              <w:jc w:val="center"/>
            </w:pPr>
            <w:r>
              <w:rPr>
                <w:sz w:val="18"/>
              </w:rPr>
              <w:t>No</w:t>
            </w:r>
          </w:p>
        </w:tc>
      </w:tr>
      <w:tr>
        <w:tc>
          <w:tcPr>
            <w:tcW w:type="dxa" w:w="4608"/>
            <w:shd w:val="clear" w:color="auto" w:fill="EEF2F7"/>
          </w:tcPr>
          <w:p>
            <w:pPr>
              <w:keepNext/>
              <w:spacing w:after="20" w:before="20" w:line="240" w:lineRule="auto"/>
              <w:jc w:val="left"/>
            </w:pPr>
            <w:r>
              <w:rPr>
                <w:sz w:val="18"/>
              </w:rPr>
              <w:t>Tenure 0, balance 0, 4 products</w:t>
            </w:r>
          </w:p>
        </w:tc>
        <w:tc>
          <w:tcPr>
            <w:tcW w:type="dxa" w:w="2160"/>
            <w:shd w:val="clear" w:color="auto" w:fill="EEF2F7"/>
          </w:tcPr>
          <w:p>
            <w:pPr>
              <w:keepNext/>
              <w:spacing w:after="20" w:before="20" w:line="240" w:lineRule="auto"/>
              <w:jc w:val="right"/>
            </w:pPr>
            <w:r>
              <w:rPr>
                <w:sz w:val="18"/>
              </w:rPr>
              <w:t>0.7760</w:t>
            </w:r>
          </w:p>
        </w:tc>
        <w:tc>
          <w:tcPr>
            <w:tcW w:type="dxa" w:w="1440"/>
            <w:shd w:val="clear" w:color="auto" w:fill="EEF2F7"/>
          </w:tcPr>
          <w:p>
            <w:pPr>
              <w:keepNext/>
              <w:spacing w:after="20" w:before="20" w:line="240" w:lineRule="auto"/>
              <w:jc w:val="center"/>
            </w:pPr>
            <w:r>
              <w:rPr>
                <w:sz w:val="18"/>
              </w:rPr>
              <w:t>Yes</w:t>
            </w:r>
          </w:p>
        </w:tc>
      </w:tr>
      <w:tr>
        <w:tc>
          <w:tcPr>
            <w:tcW w:type="dxa" w:w="4608"/>
          </w:tcPr>
          <w:p>
            <w:pPr>
              <w:spacing w:after="20" w:before="20" w:line="240" w:lineRule="auto"/>
              <w:jc w:val="left"/>
            </w:pPr>
            <w:r>
              <w:rPr>
                <w:sz w:val="18"/>
              </w:rPr>
              <w:t>Lowest credit score (350)</w:t>
            </w:r>
          </w:p>
        </w:tc>
        <w:tc>
          <w:tcPr>
            <w:tcW w:type="dxa" w:w="2160"/>
          </w:tcPr>
          <w:p>
            <w:pPr>
              <w:spacing w:after="20" w:before="20" w:line="240" w:lineRule="auto"/>
              <w:jc w:val="right"/>
            </w:pPr>
            <w:r>
              <w:rPr>
                <w:sz w:val="18"/>
              </w:rPr>
              <w:t>0.1255</w:t>
            </w:r>
          </w:p>
        </w:tc>
        <w:tc>
          <w:tcPr>
            <w:tcW w:type="dxa" w:w="1440"/>
          </w:tcPr>
          <w:p>
            <w:pPr>
              <w:spacing w:after="20" w:before="20" w:line="240" w:lineRule="auto"/>
              <w:jc w:val="center"/>
            </w:pPr>
            <w:r>
              <w:rPr>
                <w:sz w:val="18"/>
              </w:rPr>
              <w:t>No</w:t>
            </w:r>
          </w:p>
        </w:tc>
      </w:tr>
    </w:tbl>
    <w:p>
      <w:pPr>
        <w:spacing w:after="40"/>
      </w:pPr>
    </w:p>
    <w:p>
      <w:pPr>
        <w:jc w:val="both"/>
      </w:pPr>
      <w:r>
        <w:rPr>
          <w:b w:val="0"/>
          <w:i w:val="0"/>
        </w:rPr>
        <w:t>All cases produce valid probabilities between 0 and 1. The dashboard shows a caution for very young or old customers, for four products and for a salary of zero, because the model has seen few such customers.</w:t>
      </w:r>
    </w:p>
    <w:sectPr w:rsidR="00FC693F" w:rsidRPr="0006063C" w:rsidSect="00034616">
      <w:footerReference w:type="default" r:id="rId9"/>
      <w:pgSz w:w="11906" w:h="16838"/>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