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2E7D32"/>
          <w:sz w:val="19"/>
        </w:rPr>
        <w:t>AGRITRACE AUSTRALIA • REGULATORY &amp; COMPLIANCE POLICY</w:t>
      </w:r>
    </w:p>
    <w:p>
      <w:pPr>
        <w:spacing w:before="0" w:after="120"/>
      </w:pPr>
      <w:r>
        <w:rPr>
          <w:rFonts w:ascii="Calibri" w:hAnsi="Calibri"/>
          <w:b/>
          <w:color w:val="1B4D20"/>
          <w:sz w:val="48"/>
        </w:rPr>
        <w:t>Wholesaler Accreditation &amp; Administrative Approval Workflow</w:t>
      </w:r>
    </w:p>
    <w:p>
      <w:pPr>
        <w:spacing w:before="0" w:after="320"/>
      </w:pPr>
      <w:r>
        <w:rPr>
          <w:rFonts w:ascii="Calibri" w:hAnsi="Calibri"/>
          <w:color w:val="1E293B"/>
          <w:sz w:val="24"/>
        </w:rPr>
        <w:t>A regulatory and technical specification detailing why and how produce wholesalers are vetted and approved by administrators before receiving audit authority.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shd w:fill="F1F5F9"/>
            <w:tcMar>
              <w:top w:w="100" w:type="dxa"/>
              <w:bottom w:w="100" w:type="dxa"/>
              <w:left w:w="120" w:type="dxa"/>
              <w:right w:w="120" w:type="dxa"/>
            </w:tcMar>
          </w:tcPr>
          <w:p>
            <w:pPr>
              <w:spacing w:before="0" w:after="0"/>
              <w:jc w:val="center"/>
            </w:pPr>
            <w:r>
              <w:rPr>
                <w:b/>
                <w:color w:val="64748B"/>
                <w:sz w:val="15"/>
              </w:rPr>
              <w:t>PLATFORM</w:t>
              <w:br/>
            </w:r>
            <w:r>
              <w:rPr>
                <w:b/>
                <w:color w:val="1E293B"/>
                <w:sz w:val="19"/>
              </w:rPr>
              <w:t>AgriTrace v2.4</w:t>
            </w:r>
          </w:p>
        </w:tc>
        <w:tc>
          <w:tcPr>
            <w:tcW w:type="dxa" w:w="2304"/>
            <w:shd w:fill="F1F5F9"/>
            <w:tcMar>
              <w:top w:w="100" w:type="dxa"/>
              <w:bottom w:w="100" w:type="dxa"/>
              <w:left w:w="120" w:type="dxa"/>
              <w:right w:w="120" w:type="dxa"/>
            </w:tcMar>
          </w:tcPr>
          <w:p>
            <w:pPr>
              <w:spacing w:before="0" w:after="0"/>
              <w:jc w:val="center"/>
            </w:pPr>
            <w:r>
              <w:rPr>
                <w:b/>
                <w:color w:val="64748B"/>
                <w:sz w:val="15"/>
              </w:rPr>
              <w:t>JURISDICTION</w:t>
              <w:br/>
            </w:r>
            <w:r>
              <w:rPr>
                <w:b/>
                <w:color w:val="1E293B"/>
                <w:sz w:val="19"/>
              </w:rPr>
              <w:t>Australia (AUD $)</w:t>
            </w:r>
          </w:p>
        </w:tc>
        <w:tc>
          <w:tcPr>
            <w:tcW w:type="dxa" w:w="2304"/>
            <w:shd w:fill="F1F5F9"/>
            <w:tcMar>
              <w:top w:w="100" w:type="dxa"/>
              <w:bottom w:w="100" w:type="dxa"/>
              <w:left w:w="120" w:type="dxa"/>
              <w:right w:w="120" w:type="dxa"/>
            </w:tcMar>
          </w:tcPr>
          <w:p>
            <w:pPr>
              <w:spacing w:before="0" w:after="0"/>
              <w:jc w:val="center"/>
            </w:pPr>
            <w:r>
              <w:rPr>
                <w:b/>
                <w:color w:val="64748B"/>
                <w:sz w:val="15"/>
              </w:rPr>
              <w:t>DATE</w:t>
              <w:br/>
            </w:r>
            <w:r>
              <w:rPr>
                <w:b/>
                <w:color w:val="1E293B"/>
                <w:sz w:val="19"/>
              </w:rPr>
              <w:t>October 2026</w:t>
            </w:r>
          </w:p>
        </w:tc>
        <w:tc>
          <w:tcPr>
            <w:tcW w:type="dxa" w:w="2304"/>
            <w:shd w:fill="F1F5F9"/>
            <w:tcMar>
              <w:top w:w="100" w:type="dxa"/>
              <w:bottom w:w="100" w:type="dxa"/>
              <w:left w:w="120" w:type="dxa"/>
              <w:right w:w="120" w:type="dxa"/>
            </w:tcMar>
          </w:tcPr>
          <w:p>
            <w:pPr>
              <w:spacing w:before="0" w:after="0"/>
              <w:jc w:val="center"/>
            </w:pPr>
            <w:r>
              <w:rPr>
                <w:b/>
                <w:color w:val="64748B"/>
                <w:sz w:val="15"/>
              </w:rPr>
              <w:t>STATUS</w:t>
              <w:br/>
            </w:r>
            <w:r>
              <w:rPr>
                <w:b/>
                <w:color w:val="1E293B"/>
                <w:sz w:val="19"/>
              </w:rPr>
              <w:t>Production Verified</w:t>
            </w:r>
          </w:p>
        </w:tc>
      </w:tr>
    </w:tbl>
    <w:p>
      <w:pPr>
        <w:spacing w:after="240"/>
      </w:pPr>
    </w:p>
    <w:p>
      <w:pPr>
        <w:keepNext/>
        <w:spacing w:before="360" w:after="120"/>
      </w:pPr>
      <w:r>
        <w:rPr>
          <w:rFonts w:ascii="Calibri" w:hAnsi="Calibri"/>
          <w:b/>
          <w:color w:val="1B4D20"/>
          <w:sz w:val="32"/>
        </w:rPr>
        <w:t>1. Executive Summary &amp; Regulatory Imperative</w:t>
      </w:r>
    </w:p>
    <w:p>
      <w:pPr>
        <w:spacing w:before="0" w:after="120" w:line="276" w:lineRule="auto"/>
      </w:pPr>
      <w:r>
        <w:rPr>
          <w:rFonts w:ascii="Calibri" w:hAnsi="Calibri"/>
          <w:color w:val="1E293B"/>
          <w:sz w:val="20"/>
        </w:rPr>
        <w:t>In traditional agricultural supply chains, wholesalers exert substantial market power. However, granting unverified digital accounts unrestricted authority to audit and verify perishable food shipments exposes small family farms to severe fraud risks, counterfeit certification, and non-compliance with the Australia New Zealand Food Standards Code (FSANZ) and the Australian Biosecurity Act 2015.</w:t>
      </w:r>
    </w:p>
    <w:p>
      <w:pPr>
        <w:spacing w:before="0" w:after="120" w:line="276" w:lineRule="auto"/>
      </w:pPr>
      <w:r>
        <w:rPr>
          <w:rFonts w:ascii="Calibri" w:hAnsi="Calibri"/>
          <w:color w:val="1E293B"/>
          <w:sz w:val="20"/>
        </w:rPr>
        <w:t>To safeguard small growers and maintain the integrity of AgriTrace's transparent custody chain, wholesalers CANNOT automatically inspect or certify stock upon registration. Instead, every wholesaler must undergo mandatory Administrative Accreditation.</w:t>
      </w:r>
    </w:p>
    <w:tbl>
      <w:tblPr>
        <w:tblW w:type="auto" w:w="0"/>
        <w:jc w:val="center"/>
        <w:tblLayout w:type="fixed"/>
        <w:tblLook w:firstColumn="1" w:firstRow="1" w:lastColumn="0" w:lastRow="0" w:noHBand="0" w:noVBand="1" w:val="04A0"/>
      </w:tblPr>
      <w:tblGrid>
        <w:gridCol w:w="9360"/>
      </w:tblGrid>
      <w:tr>
        <w:tc>
          <w:tcPr>
            <w:tcW w:type="dxa" w:w="9360"/>
            <w:shd w:fill="FEF3C7"/>
            <w:tcMar>
              <w:top w:w="140" w:type="dxa"/>
              <w:bottom w:w="140" w:type="dxa"/>
              <w:left w:w="200" w:type="dxa"/>
              <w:right w:w="200" w:type="dxa"/>
            </w:tcMar>
          </w:tcPr>
          <w:p>
            <w:pPr>
              <w:spacing w:before="0" w:after="40"/>
            </w:pPr>
            <w:r>
              <w:rPr>
                <w:rFonts w:ascii="Calibri" w:hAnsi="Calibri"/>
                <w:b/>
                <w:color w:val="B45309"/>
                <w:sz w:val="19"/>
              </w:rPr>
              <w:t>■ REGULATORY BIOSECURITY REQUIREMENT</w:t>
              <w:br/>
            </w:r>
            <w:r>
              <w:rPr>
                <w:rFonts w:ascii="Calibri" w:hAnsi="Calibri"/>
                <w:color w:val="1E293B"/>
                <w:sz w:val="19"/>
              </w:rPr>
              <w:t>LEGAL &amp; SAFETY PRINCIPLE: Only accredited wholesalers who have verified Australian business identities, compliant cold storage facilities, and food safety training may certify farm batches into commercial transit.</w:t>
            </w:r>
          </w:p>
        </w:tc>
      </w:tr>
    </w:tbl>
    <w:p>
      <w:pPr>
        <w:spacing w:after="120"/>
      </w:pPr>
    </w:p>
    <w:p>
      <w:pPr>
        <w:keepNext/>
        <w:spacing w:before="360" w:after="120"/>
      </w:pPr>
      <w:r>
        <w:rPr>
          <w:rFonts w:ascii="Calibri" w:hAnsi="Calibri"/>
          <w:b/>
          <w:color w:val="1B4D20"/>
          <w:sz w:val="32"/>
        </w:rPr>
        <w:t>2. End-to-End Accreditation Lifecycle Flow Diagram</w:t>
      </w:r>
    </w:p>
    <w:p>
      <w:pPr>
        <w:spacing w:before="0" w:after="120" w:line="276" w:lineRule="auto"/>
      </w:pPr>
      <w:r>
        <w:rPr>
          <w:rFonts w:ascii="Calibri" w:hAnsi="Calibri"/>
          <w:color w:val="1E293B"/>
          <w:sz w:val="20"/>
        </w:rPr>
        <w:t>Below is the complete visual workflow chart governing wholesaler account onboarding, permission gating, administrative review, and status revocation:</w:t>
      </w:r>
    </w:p>
    <w:p>
      <w:pPr>
        <w:spacing w:before="160" w:after="60"/>
        <w:jc w:val="center"/>
      </w:pPr>
      <w:r>
        <w:drawing>
          <wp:inline xmlns:a="http://schemas.openxmlformats.org/drawingml/2006/main" xmlns:pic="http://schemas.openxmlformats.org/drawingml/2006/picture">
            <wp:extent cx="5669280" cy="3644537"/>
            <wp:docPr id="1" name="Picture 1"/>
            <wp:cNvGraphicFramePr>
              <a:graphicFrameLocks noChangeAspect="1"/>
            </wp:cNvGraphicFramePr>
            <a:graphic>
              <a:graphicData uri="http://schemas.openxmlformats.org/drawingml/2006/picture">
                <pic:pic>
                  <pic:nvPicPr>
                    <pic:cNvPr id="0" name="03_wholesaler_accreditation_flow.png"/>
                    <pic:cNvPicPr/>
                  </pic:nvPicPr>
                  <pic:blipFill>
                    <a:blip r:embed="rId11"/>
                    <a:stretch>
                      <a:fillRect/>
                    </a:stretch>
                  </pic:blipFill>
                  <pic:spPr>
                    <a:xfrm>
                      <a:off x="0" y="0"/>
                      <a:ext cx="5669280" cy="3644537"/>
                    </a:xfrm>
                    <a:prstGeom prst="rect"/>
                  </pic:spPr>
                </pic:pic>
              </a:graphicData>
            </a:graphic>
          </wp:inline>
        </w:drawing>
      </w:r>
    </w:p>
    <w:p>
      <w:pPr>
        <w:spacing w:before="0" w:after="240"/>
        <w:jc w:val="center"/>
      </w:pPr>
      <w:r>
        <w:rPr>
          <w:rFonts w:ascii="Calibri" w:hAnsi="Calibri"/>
          <w:i/>
          <w:color w:val="64748B"/>
          <w:sz w:val="17"/>
        </w:rPr>
        <w:t>Figure: Wholesaler Accreditation &amp; Administrative Approval Governance Lifecycle</w:t>
      </w:r>
    </w:p>
    <w:p>
      <w:pPr>
        <w:spacing w:before="160" w:after="60"/>
        <w:jc w:val="center"/>
      </w:pPr>
      <w:r>
        <w:drawing>
          <wp:inline xmlns:a="http://schemas.openxmlformats.org/drawingml/2006/main" xmlns:pic="http://schemas.openxmlformats.org/drawingml/2006/picture">
            <wp:extent cx="5486400" cy="4114800"/>
            <wp:docPr id="2" name="Picture 2"/>
            <wp:cNvGraphicFramePr>
              <a:graphicFrameLocks noChangeAspect="1"/>
            </wp:cNvGraphicFramePr>
            <a:graphic>
              <a:graphicData uri="http://schemas.openxmlformats.org/drawingml/2006/picture">
                <pic:pic>
                  <pic:nvPicPr>
                    <pic:cNvPr id="0" name="15_browser_admin_approvals.png"/>
                    <pic:cNvPicPr/>
                  </pic:nvPicPr>
                  <pic:blipFill>
                    <a:blip r:embed="rId12"/>
                    <a:stretch>
                      <a:fillRect/>
                    </a:stretch>
                  </pic:blipFill>
                  <pic:spPr>
                    <a:xfrm>
                      <a:off x="0" y="0"/>
                      <a:ext cx="5486400" cy="4114800"/>
                    </a:xfrm>
                    <a:prstGeom prst="rect"/>
                  </pic:spPr>
                </pic:pic>
              </a:graphicData>
            </a:graphic>
          </wp:inline>
        </w:drawing>
      </w:r>
    </w:p>
    <w:p>
      <w:pPr>
        <w:spacing w:before="0" w:after="240"/>
        <w:jc w:val="center"/>
      </w:pPr>
      <w:r>
        <w:rPr>
          <w:rFonts w:ascii="Calibri" w:hAnsi="Calibri"/>
          <w:i/>
          <w:color w:val="64748B"/>
          <w:sz w:val="17"/>
        </w:rPr>
        <w:t>Figure: Administrator Wholesaler Accreditation &amp; Approvals Hub (admin/approvals.html)</w:t>
      </w:r>
    </w:p>
    <w:p>
      <w:pPr>
        <w:keepNext/>
        <w:spacing w:before="360" w:after="120"/>
      </w:pPr>
      <w:r>
        <w:rPr>
          <w:rFonts w:ascii="Calibri" w:hAnsi="Calibri"/>
          <w:b/>
          <w:color w:val="1B4D20"/>
          <w:sz w:val="32"/>
        </w:rPr>
        <w:t>3. Functional Permissions Matrix: Pending vs. Approved</w:t>
      </w:r>
    </w:p>
    <w:p>
      <w:pPr>
        <w:spacing w:before="0" w:after="120" w:line="276" w:lineRule="auto"/>
      </w:pPr>
      <w:r>
        <w:rPr>
          <w:rFonts w:ascii="Calibri" w:hAnsi="Calibri"/>
          <w:color w:val="1E293B"/>
          <w:sz w:val="20"/>
        </w:rPr>
        <w:t>The table below contrasts the exact system capabilities of unaccredited versus accredited wholesaler accounts: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B4D20"/>
            <w:tcMar>
              <w:top w:w="120" w:type="dxa"/>
              <w:bottom w:w="120" w:type="dxa"/>
              <w:left w:w="140" w:type="dxa"/>
              <w:right w:w="140" w:type="dxa"/>
            </w:tcMar>
          </w:tcPr>
          <w:p>
            <w:pPr>
              <w:spacing w:before="0" w:after="0"/>
              <w:jc w:val="left"/>
            </w:pPr>
            <w:r>
              <w:rPr>
                <w:rFonts w:ascii="Calibri" w:hAnsi="Calibri"/>
                <w:b/>
                <w:color w:val="FFFFFF"/>
                <w:sz w:val="19"/>
              </w:rPr>
              <w:t>Portal Feature / Action</w:t>
            </w:r>
          </w:p>
        </w:tc>
        <w:tc>
          <w:tcPr>
            <w:tcW w:type="dxa" w:w="2304"/>
            <w:shd w:fill="1B4D20"/>
            <w:tcMar>
              <w:top w:w="120" w:type="dxa"/>
              <w:bottom w:w="120" w:type="dxa"/>
              <w:left w:w="140" w:type="dxa"/>
              <w:right w:w="140" w:type="dxa"/>
            </w:tcMar>
          </w:tcPr>
          <w:p>
            <w:pPr>
              <w:spacing w:before="0" w:after="0"/>
              <w:jc w:val="left"/>
            </w:pPr>
            <w:r>
              <w:rPr>
                <w:rFonts w:ascii="Calibri" w:hAnsi="Calibri"/>
                <w:b/>
                <w:color w:val="FFFFFF"/>
                <w:sz w:val="19"/>
              </w:rPr>
              <w:t>Pending Wholesaler</w:t>
            </w:r>
          </w:p>
        </w:tc>
        <w:tc>
          <w:tcPr>
            <w:tcW w:type="dxa" w:w="2304"/>
            <w:shd w:fill="1B4D20"/>
            <w:tcMar>
              <w:top w:w="120" w:type="dxa"/>
              <w:bottom w:w="120" w:type="dxa"/>
              <w:left w:w="140" w:type="dxa"/>
              <w:right w:w="140" w:type="dxa"/>
            </w:tcMar>
          </w:tcPr>
          <w:p>
            <w:pPr>
              <w:spacing w:before="0" w:after="0"/>
              <w:jc w:val="left"/>
            </w:pPr>
            <w:r>
              <w:rPr>
                <w:rFonts w:ascii="Calibri" w:hAnsi="Calibri"/>
                <w:b/>
                <w:color w:val="FFFFFF"/>
                <w:sz w:val="19"/>
              </w:rPr>
              <w:t>Approved Wholesaler</w:t>
            </w:r>
          </w:p>
        </w:tc>
        <w:tc>
          <w:tcPr>
            <w:tcW w:type="dxa" w:w="2160"/>
            <w:shd w:fill="1B4D20"/>
            <w:tcMar>
              <w:top w:w="120" w:type="dxa"/>
              <w:bottom w:w="120" w:type="dxa"/>
              <w:left w:w="140" w:type="dxa"/>
              <w:right w:w="140" w:type="dxa"/>
            </w:tcMar>
          </w:tcPr>
          <w:p>
            <w:pPr>
              <w:spacing w:before="0" w:after="0"/>
              <w:jc w:val="left"/>
            </w:pPr>
            <w:r>
              <w:rPr>
                <w:rFonts w:ascii="Calibri" w:hAnsi="Calibri"/>
                <w:b/>
                <w:color w:val="FFFFFF"/>
                <w:sz w:val="19"/>
              </w:rPr>
              <w:t>Enforcement Layer</w:t>
            </w:r>
          </w:p>
        </w:tc>
      </w:tr>
      <w:tr>
        <w:tc>
          <w:tcPr>
            <w:tcW w:type="dxa" w:w="2592"/>
            <w:shd w:fill="FFFFFF"/>
            <w:tcMar>
              <w:top w:w="100" w:type="dxa"/>
              <w:bottom w:w="100" w:type="dxa"/>
              <w:left w:w="140" w:type="dxa"/>
              <w:right w:w="140" w:type="dxa"/>
            </w:tcMar>
          </w:tcPr>
          <w:p>
            <w:pPr>
              <w:spacing w:before="0" w:after="0"/>
              <w:jc w:val="left"/>
            </w:pPr>
            <w:r>
              <w:rPr>
                <w:rFonts w:ascii="Calibri" w:hAnsi="Calibri"/>
                <w:color w:val="1E293B"/>
                <w:sz w:val="18"/>
              </w:rPr>
              <w:t>Log into Wholesaler Portal</w:t>
            </w:r>
          </w:p>
        </w:tc>
        <w:tc>
          <w:tcPr>
            <w:tcW w:type="dxa" w:w="2304"/>
            <w:shd w:fill="FFFFFF"/>
            <w:tcMar>
              <w:top w:w="100" w:type="dxa"/>
              <w:bottom w:w="100" w:type="dxa"/>
              <w:left w:w="140" w:type="dxa"/>
              <w:right w:w="140" w:type="dxa"/>
            </w:tcMar>
          </w:tcPr>
          <w:p>
            <w:pPr>
              <w:spacing w:before="0" w:after="0"/>
              <w:jc w:val="left"/>
            </w:pPr>
            <w:r>
              <w:rPr>
                <w:rFonts w:ascii="Calibri" w:hAnsi="Calibri"/>
                <w:color w:val="1E293B"/>
                <w:sz w:val="18"/>
              </w:rPr>
              <w:t>ALLOWED (Restricted View)</w:t>
            </w:r>
          </w:p>
        </w:tc>
        <w:tc>
          <w:tcPr>
            <w:tcW w:type="dxa" w:w="2304"/>
            <w:shd w:fill="FFFFFF"/>
            <w:tcMar>
              <w:top w:w="100" w:type="dxa"/>
              <w:bottom w:w="100" w:type="dxa"/>
              <w:left w:w="140" w:type="dxa"/>
              <w:right w:w="140" w:type="dxa"/>
            </w:tcMar>
          </w:tcPr>
          <w:p>
            <w:pPr>
              <w:spacing w:before="0" w:after="0"/>
              <w:jc w:val="left"/>
            </w:pPr>
            <w:r>
              <w:rPr>
                <w:rFonts w:ascii="Calibri" w:hAnsi="Calibri"/>
                <w:color w:val="1E293B"/>
                <w:sz w:val="18"/>
              </w:rPr>
              <w:t>ALLOWED (Full Access)</w:t>
            </w:r>
          </w:p>
        </w:tc>
        <w:tc>
          <w:tcPr>
            <w:tcW w:type="dxa" w:w="2160"/>
            <w:shd w:fill="FFFFFF"/>
            <w:tcMar>
              <w:top w:w="100" w:type="dxa"/>
              <w:bottom w:w="100" w:type="dxa"/>
              <w:left w:w="140" w:type="dxa"/>
              <w:right w:w="140" w:type="dxa"/>
            </w:tcMar>
          </w:tcPr>
          <w:p>
            <w:pPr>
              <w:spacing w:before="0" w:after="0"/>
              <w:jc w:val="left"/>
            </w:pPr>
            <w:r>
              <w:rPr>
                <w:rFonts w:ascii="Calibri" w:hAnsi="Calibri"/>
                <w:color w:val="1E293B"/>
                <w:sz w:val="18"/>
              </w:rPr>
              <w:t>Firebase Auth</w:t>
            </w:r>
          </w:p>
        </w:tc>
      </w:tr>
      <w:tr>
        <w:tc>
          <w:tcPr>
            <w:tcW w:type="dxa" w:w="2592"/>
            <w:shd w:fill="F8FAFC"/>
            <w:tcMar>
              <w:top w:w="100" w:type="dxa"/>
              <w:bottom w:w="100" w:type="dxa"/>
              <w:left w:w="140" w:type="dxa"/>
              <w:right w:w="140" w:type="dxa"/>
            </w:tcMar>
          </w:tcPr>
          <w:p>
            <w:pPr>
              <w:spacing w:before="0" w:after="0"/>
              <w:jc w:val="left"/>
            </w:pPr>
            <w:r>
              <w:rPr>
                <w:rFonts w:ascii="Calibri" w:hAnsi="Calibri"/>
                <w:color w:val="1E293B"/>
                <w:sz w:val="18"/>
              </w:rPr>
              <w:t>View Inbound Produce Batches</w:t>
            </w:r>
          </w:p>
        </w:tc>
        <w:tc>
          <w:tcPr>
            <w:tcW w:type="dxa" w:w="2304"/>
            <w:shd w:fill="F8FAFC"/>
            <w:tcMar>
              <w:top w:w="100" w:type="dxa"/>
              <w:bottom w:w="100" w:type="dxa"/>
              <w:left w:w="140" w:type="dxa"/>
              <w:right w:w="140" w:type="dxa"/>
            </w:tcMar>
          </w:tcPr>
          <w:p>
            <w:pPr>
              <w:spacing w:before="0" w:after="0"/>
              <w:jc w:val="left"/>
            </w:pPr>
            <w:r>
              <w:rPr>
                <w:rFonts w:ascii="Calibri" w:hAnsi="Calibri"/>
                <w:color w:val="1E293B"/>
                <w:sz w:val="18"/>
              </w:rPr>
              <w:t>ALLOWED (Read-Only)</w:t>
            </w:r>
          </w:p>
        </w:tc>
        <w:tc>
          <w:tcPr>
            <w:tcW w:type="dxa" w:w="2304"/>
            <w:shd w:fill="F8FAFC"/>
            <w:tcMar>
              <w:top w:w="100" w:type="dxa"/>
              <w:bottom w:w="100" w:type="dxa"/>
              <w:left w:w="140" w:type="dxa"/>
              <w:right w:w="140" w:type="dxa"/>
            </w:tcMar>
          </w:tcPr>
          <w:p>
            <w:pPr>
              <w:spacing w:before="0" w:after="0"/>
              <w:jc w:val="left"/>
            </w:pPr>
            <w:r>
              <w:rPr>
                <w:rFonts w:ascii="Calibri" w:hAnsi="Calibri"/>
                <w:color w:val="1E293B"/>
                <w:sz w:val="18"/>
              </w:rPr>
              <w:t>ALLOWED (Read-Write)</w:t>
            </w:r>
          </w:p>
        </w:tc>
        <w:tc>
          <w:tcPr>
            <w:tcW w:type="dxa" w:w="2160"/>
            <w:shd w:fill="F8FAFC"/>
            <w:tcMar>
              <w:top w:w="100" w:type="dxa"/>
              <w:bottom w:w="100" w:type="dxa"/>
              <w:left w:w="140" w:type="dxa"/>
              <w:right w:w="140" w:type="dxa"/>
            </w:tcMar>
          </w:tcPr>
          <w:p>
            <w:pPr>
              <w:spacing w:before="0" w:after="0"/>
              <w:jc w:val="left"/>
            </w:pPr>
            <w:r>
              <w:rPr>
                <w:rFonts w:ascii="Calibri" w:hAnsi="Calibri"/>
                <w:color w:val="1E293B"/>
                <w:sz w:val="18"/>
              </w:rPr>
              <w:t>Cloud Firestore</w:t>
            </w:r>
          </w:p>
        </w:tc>
      </w:tr>
      <w:tr>
        <w:tc>
          <w:tcPr>
            <w:tcW w:type="dxa" w:w="2592"/>
            <w:shd w:fill="FFFFFF"/>
            <w:tcMar>
              <w:top w:w="100" w:type="dxa"/>
              <w:bottom w:w="100" w:type="dxa"/>
              <w:left w:w="140" w:type="dxa"/>
              <w:right w:w="140" w:type="dxa"/>
            </w:tcMar>
          </w:tcPr>
          <w:p>
            <w:pPr>
              <w:spacing w:before="0" w:after="0"/>
              <w:jc w:val="left"/>
            </w:pPr>
            <w:r>
              <w:rPr>
                <w:rFonts w:ascii="Calibri" w:hAnsi="Calibri"/>
                <w:color w:val="1E293B"/>
                <w:sz w:val="18"/>
              </w:rPr>
              <w:t>Approval Status Banner</w:t>
            </w:r>
          </w:p>
        </w:tc>
        <w:tc>
          <w:tcPr>
            <w:tcW w:type="dxa" w:w="2304"/>
            <w:shd w:fill="FFFFFF"/>
            <w:tcMar>
              <w:top w:w="100" w:type="dxa"/>
              <w:bottom w:w="100" w:type="dxa"/>
              <w:left w:w="140" w:type="dxa"/>
              <w:right w:w="140" w:type="dxa"/>
            </w:tcMar>
          </w:tcPr>
          <w:p>
            <w:pPr>
              <w:spacing w:before="0" w:after="0"/>
              <w:jc w:val="left"/>
            </w:pPr>
            <w:r>
              <w:rPr>
                <w:rFonts w:ascii="Calibri" w:hAnsi="Calibri"/>
                <w:color w:val="1E293B"/>
                <w:sz w:val="18"/>
              </w:rPr>
              <w:t>SHOWS AMBER WARNING</w:t>
            </w:r>
          </w:p>
        </w:tc>
        <w:tc>
          <w:tcPr>
            <w:tcW w:type="dxa" w:w="2304"/>
            <w:shd w:fill="FFFFFF"/>
            <w:tcMar>
              <w:top w:w="100" w:type="dxa"/>
              <w:bottom w:w="100" w:type="dxa"/>
              <w:left w:w="140" w:type="dxa"/>
              <w:right w:w="140" w:type="dxa"/>
            </w:tcMar>
          </w:tcPr>
          <w:p>
            <w:pPr>
              <w:spacing w:before="0" w:after="0"/>
              <w:jc w:val="left"/>
            </w:pPr>
            <w:r>
              <w:rPr>
                <w:rFonts w:ascii="Calibri" w:hAnsi="Calibri"/>
                <w:color w:val="1E293B"/>
                <w:sz w:val="18"/>
              </w:rPr>
              <w:t>HIDDEN / BADGE ACTIVE</w:t>
            </w:r>
          </w:p>
        </w:tc>
        <w:tc>
          <w:tcPr>
            <w:tcW w:type="dxa" w:w="2160"/>
            <w:shd w:fill="FFFFFF"/>
            <w:tcMar>
              <w:top w:w="100" w:type="dxa"/>
              <w:bottom w:w="100" w:type="dxa"/>
              <w:left w:w="140" w:type="dxa"/>
              <w:right w:w="140" w:type="dxa"/>
            </w:tcMar>
          </w:tcPr>
          <w:p>
            <w:pPr>
              <w:spacing w:before="0" w:after="0"/>
              <w:jc w:val="left"/>
            </w:pPr>
            <w:r>
              <w:rPr>
                <w:rFonts w:ascii="Calibri" w:hAnsi="Calibri"/>
                <w:color w:val="1E293B"/>
                <w:sz w:val="18"/>
              </w:rPr>
              <w:t>js/wholesaler.js DOM</w:t>
            </w:r>
          </w:p>
        </w:tc>
      </w:tr>
      <w:tr>
        <w:tc>
          <w:tcPr>
            <w:tcW w:type="dxa" w:w="2592"/>
            <w:shd w:fill="F8FAFC"/>
            <w:tcMar>
              <w:top w:w="100" w:type="dxa"/>
              <w:bottom w:w="100" w:type="dxa"/>
              <w:left w:w="140" w:type="dxa"/>
              <w:right w:w="140" w:type="dxa"/>
            </w:tcMar>
          </w:tcPr>
          <w:p>
            <w:pPr>
              <w:spacing w:before="0" w:after="0"/>
              <w:jc w:val="left"/>
            </w:pPr>
            <w:r>
              <w:rPr>
                <w:rFonts w:ascii="Calibri" w:hAnsi="Calibri"/>
                <w:color w:val="1E293B"/>
                <w:sz w:val="18"/>
              </w:rPr>
              <w:t>Audit &amp; Certify Farm Stock</w:t>
            </w:r>
          </w:p>
        </w:tc>
        <w:tc>
          <w:tcPr>
            <w:tcW w:type="dxa" w:w="2304"/>
            <w:shd w:fill="F8FAFC"/>
            <w:tcMar>
              <w:top w:w="100" w:type="dxa"/>
              <w:bottom w:w="100" w:type="dxa"/>
              <w:left w:w="140" w:type="dxa"/>
              <w:right w:w="140" w:type="dxa"/>
            </w:tcMar>
          </w:tcPr>
          <w:p>
            <w:pPr>
              <w:spacing w:before="0" w:after="0"/>
              <w:jc w:val="left"/>
            </w:pPr>
            <w:r>
              <w:rPr>
                <w:rFonts w:ascii="Calibri" w:hAnsi="Calibri"/>
                <w:color w:val="1E293B"/>
                <w:sz w:val="18"/>
              </w:rPr>
              <w:t>BLOCKED &amp; DISABLED</w:t>
            </w:r>
          </w:p>
        </w:tc>
        <w:tc>
          <w:tcPr>
            <w:tcW w:type="dxa" w:w="2304"/>
            <w:shd w:fill="F8FAFC"/>
            <w:tcMar>
              <w:top w:w="100" w:type="dxa"/>
              <w:bottom w:w="100" w:type="dxa"/>
              <w:left w:w="140" w:type="dxa"/>
              <w:right w:w="140" w:type="dxa"/>
            </w:tcMar>
          </w:tcPr>
          <w:p>
            <w:pPr>
              <w:spacing w:before="0" w:after="0"/>
              <w:jc w:val="left"/>
            </w:pPr>
            <w:r>
              <w:rPr>
                <w:rFonts w:ascii="Calibri" w:hAnsi="Calibri"/>
                <w:color w:val="1E293B"/>
                <w:sz w:val="18"/>
              </w:rPr>
              <w:t>FULLY AUTHORIZED</w:t>
            </w:r>
          </w:p>
        </w:tc>
        <w:tc>
          <w:tcPr>
            <w:tcW w:type="dxa" w:w="2160"/>
            <w:shd w:fill="F8FAFC"/>
            <w:tcMar>
              <w:top w:w="100" w:type="dxa"/>
              <w:bottom w:w="100" w:type="dxa"/>
              <w:left w:w="140" w:type="dxa"/>
              <w:right w:w="140" w:type="dxa"/>
            </w:tcMar>
          </w:tcPr>
          <w:p>
            <w:pPr>
              <w:spacing w:before="0" w:after="0"/>
              <w:jc w:val="left"/>
            </w:pPr>
            <w:r>
              <w:rPr>
                <w:rFonts w:ascii="Calibri" w:hAnsi="Calibri"/>
                <w:color w:val="1E293B"/>
                <w:sz w:val="18"/>
              </w:rPr>
              <w:t>firestore.rules + UI</w:t>
            </w:r>
          </w:p>
        </w:tc>
      </w:tr>
      <w:tr>
        <w:tc>
          <w:tcPr>
            <w:tcW w:type="dxa" w:w="2592"/>
            <w:shd w:fill="FFFFFF"/>
            <w:tcMar>
              <w:top w:w="100" w:type="dxa"/>
              <w:bottom w:w="100" w:type="dxa"/>
              <w:left w:w="140" w:type="dxa"/>
              <w:right w:w="140" w:type="dxa"/>
            </w:tcMar>
          </w:tcPr>
          <w:p>
            <w:pPr>
              <w:spacing w:before="0" w:after="0"/>
              <w:jc w:val="left"/>
            </w:pPr>
            <w:r>
              <w:rPr>
                <w:rFonts w:ascii="Calibri" w:hAnsi="Calibri"/>
                <w:color w:val="1E293B"/>
                <w:sz w:val="18"/>
              </w:rPr>
              <w:t>Receive Transit Handover</w:t>
            </w:r>
          </w:p>
        </w:tc>
        <w:tc>
          <w:tcPr>
            <w:tcW w:type="dxa" w:w="2304"/>
            <w:shd w:fill="FFFFFF"/>
            <w:tcMar>
              <w:top w:w="100" w:type="dxa"/>
              <w:bottom w:w="100" w:type="dxa"/>
              <w:left w:w="140" w:type="dxa"/>
              <w:right w:w="140" w:type="dxa"/>
            </w:tcMar>
          </w:tcPr>
          <w:p>
            <w:pPr>
              <w:spacing w:before="0" w:after="0"/>
              <w:jc w:val="left"/>
            </w:pPr>
            <w:r>
              <w:rPr>
                <w:rFonts w:ascii="Calibri" w:hAnsi="Calibri"/>
                <w:color w:val="1E293B"/>
                <w:sz w:val="18"/>
              </w:rPr>
              <w:t>BLOCKED</w:t>
            </w:r>
          </w:p>
        </w:tc>
        <w:tc>
          <w:tcPr>
            <w:tcW w:type="dxa" w:w="2304"/>
            <w:shd w:fill="FFFFFF"/>
            <w:tcMar>
              <w:top w:w="100" w:type="dxa"/>
              <w:bottom w:w="100" w:type="dxa"/>
              <w:left w:w="140" w:type="dxa"/>
              <w:right w:w="140" w:type="dxa"/>
            </w:tcMar>
          </w:tcPr>
          <w:p>
            <w:pPr>
              <w:spacing w:before="0" w:after="0"/>
              <w:jc w:val="left"/>
            </w:pPr>
            <w:r>
              <w:rPr>
                <w:rFonts w:ascii="Calibri" w:hAnsi="Calibri"/>
                <w:color w:val="1E293B"/>
                <w:sz w:val="18"/>
              </w:rPr>
              <w:t>FULLY AUTHORIZED</w:t>
            </w:r>
          </w:p>
        </w:tc>
        <w:tc>
          <w:tcPr>
            <w:tcW w:type="dxa" w:w="2160"/>
            <w:shd w:fill="FFFFFF"/>
            <w:tcMar>
              <w:top w:w="100" w:type="dxa"/>
              <w:bottom w:w="100" w:type="dxa"/>
              <w:left w:w="140" w:type="dxa"/>
              <w:right w:w="140" w:type="dxa"/>
            </w:tcMar>
          </w:tcPr>
          <w:p>
            <w:pPr>
              <w:spacing w:before="0" w:after="0"/>
              <w:jc w:val="left"/>
            </w:pPr>
            <w:r>
              <w:rPr>
                <w:rFonts w:ascii="Calibri" w:hAnsi="Calibri"/>
                <w:color w:val="1E293B"/>
                <w:sz w:val="18"/>
              </w:rPr>
              <w:t>Order Lifecycle Logic</w:t>
            </w:r>
          </w:p>
        </w:tc>
      </w:tr>
      <w:tr>
        <w:tc>
          <w:tcPr>
            <w:tcW w:type="dxa" w:w="2592"/>
            <w:shd w:fill="F8FAFC"/>
            <w:tcMar>
              <w:top w:w="100" w:type="dxa"/>
              <w:bottom w:w="100" w:type="dxa"/>
              <w:left w:w="140" w:type="dxa"/>
              <w:right w:w="140" w:type="dxa"/>
            </w:tcMar>
          </w:tcPr>
          <w:p>
            <w:pPr>
              <w:spacing w:before="0" w:after="0"/>
              <w:jc w:val="left"/>
            </w:pPr>
            <w:r>
              <w:rPr>
                <w:rFonts w:ascii="Calibri" w:hAnsi="Calibri"/>
                <w:color w:val="1E293B"/>
                <w:sz w:val="18"/>
              </w:rPr>
              <w:t>Listed in Admin Approvals Queue</w:t>
            </w:r>
          </w:p>
        </w:tc>
        <w:tc>
          <w:tcPr>
            <w:tcW w:type="dxa" w:w="2304"/>
            <w:shd w:fill="F8FAFC"/>
            <w:tcMar>
              <w:top w:w="100" w:type="dxa"/>
              <w:bottom w:w="100" w:type="dxa"/>
              <w:left w:w="140" w:type="dxa"/>
              <w:right w:w="140" w:type="dxa"/>
            </w:tcMar>
          </w:tcPr>
          <w:p>
            <w:pPr>
              <w:spacing w:before="0" w:after="0"/>
              <w:jc w:val="left"/>
            </w:pPr>
            <w:r>
              <w:rPr>
                <w:rFonts w:ascii="Calibri" w:hAnsi="Calibri"/>
                <w:color w:val="1E293B"/>
                <w:sz w:val="18"/>
              </w:rPr>
              <w:t>PENDING QUEUE</w:t>
            </w:r>
          </w:p>
        </w:tc>
        <w:tc>
          <w:tcPr>
            <w:tcW w:type="dxa" w:w="2304"/>
            <w:shd w:fill="F8FAFC"/>
            <w:tcMar>
              <w:top w:w="100" w:type="dxa"/>
              <w:bottom w:w="100" w:type="dxa"/>
              <w:left w:w="140" w:type="dxa"/>
              <w:right w:w="140" w:type="dxa"/>
            </w:tcMar>
          </w:tcPr>
          <w:p>
            <w:pPr>
              <w:spacing w:before="0" w:after="0"/>
              <w:jc w:val="left"/>
            </w:pPr>
            <w:r>
              <w:rPr>
                <w:rFonts w:ascii="Calibri" w:hAnsi="Calibri"/>
                <w:color w:val="1E293B"/>
                <w:sz w:val="18"/>
              </w:rPr>
              <w:t>ACCREDITED QUEUE</w:t>
            </w:r>
          </w:p>
        </w:tc>
        <w:tc>
          <w:tcPr>
            <w:tcW w:type="dxa" w:w="2160"/>
            <w:shd w:fill="F8FAFC"/>
            <w:tcMar>
              <w:top w:w="100" w:type="dxa"/>
              <w:bottom w:w="100" w:type="dxa"/>
              <w:left w:w="140" w:type="dxa"/>
              <w:right w:w="140" w:type="dxa"/>
            </w:tcMar>
          </w:tcPr>
          <w:p>
            <w:pPr>
              <w:spacing w:before="0" w:after="0"/>
              <w:jc w:val="left"/>
            </w:pPr>
            <w:r>
              <w:rPr>
                <w:rFonts w:ascii="Calibri" w:hAnsi="Calibri"/>
                <w:color w:val="1E293B"/>
                <w:sz w:val="18"/>
              </w:rPr>
              <w:t>admin/approvals.html</w:t>
            </w:r>
          </w:p>
        </w:tc>
      </w:tr>
    </w:tbl>
    <w:p>
      <w:pPr>
        <w:spacing w:after="160"/>
      </w:pPr>
    </w:p>
    <w:p>
      <w:pPr>
        <w:keepNext/>
        <w:spacing w:before="360" w:after="120"/>
      </w:pPr>
      <w:r>
        <w:rPr>
          <w:rFonts w:ascii="Calibri" w:hAnsi="Calibri"/>
          <w:b/>
          <w:color w:val="1B4D20"/>
          <w:sz w:val="32"/>
        </w:rPr>
        <w:t>4. Technical Implementation &amp; Security Code</w:t>
      </w:r>
    </w:p>
    <w:p>
      <w:pPr>
        <w:spacing w:before="0" w:after="120" w:line="276" w:lineRule="auto"/>
      </w:pPr>
      <w:r>
        <w:rPr>
          <w:rFonts w:ascii="Calibri" w:hAnsi="Calibri"/>
          <w:color w:val="1E293B"/>
          <w:sz w:val="20"/>
        </w:rPr>
        <w:t>The accreditation workflow is enforced at both the database level (Firestore Security Rules) and the client-side presentation layer:</w:t>
      </w:r>
    </w:p>
    <w:p>
      <w:pPr>
        <w:keepNext/>
        <w:spacing w:before="280" w:after="80"/>
      </w:pPr>
      <w:r>
        <w:rPr>
          <w:rFonts w:ascii="Calibri" w:hAnsi="Calibri"/>
          <w:b/>
          <w:color w:val="2E7D32"/>
          <w:sz w:val="26"/>
        </w:rPr>
        <w:t>4.1 Firestore Security Rule Enforcement</w:t>
      </w:r>
    </w:p>
    <w:p>
      <w:pPr>
        <w:spacing w:before="0" w:after="120" w:line="276" w:lineRule="auto"/>
      </w:pPr>
      <w:r>
        <w:rPr>
          <w:rFonts w:ascii="Calibri" w:hAnsi="Calibri"/>
          <w:color w:val="1E293B"/>
          <w:sz w:val="20"/>
        </w:rPr>
        <w:t>In firestore.rules, stock verification actions require the requester to hold both role == 'wholesaler' AND approved == true. Non-accredited updates are rejected directly by the database engine.</w:t>
      </w:r>
    </w:p>
    <w:p>
      <w:pPr>
        <w:keepNext/>
        <w:spacing w:before="280" w:after="80"/>
      </w:pPr>
      <w:r>
        <w:rPr>
          <w:rFonts w:ascii="Calibri" w:hAnsi="Calibri"/>
          <w:b/>
          <w:color w:val="2E7D32"/>
          <w:sz w:val="26"/>
        </w:rPr>
        <w:t>4.2 Client-Side UI Lock (js/wholesaler.js)</w:t>
      </w:r>
    </w:p>
    <w:p>
      <w:pPr>
        <w:spacing w:before="0" w:after="120" w:line="276" w:lineRule="auto"/>
      </w:pPr>
      <w:r>
        <w:rPr>
          <w:rFonts w:ascii="Calibri" w:hAnsi="Calibri"/>
          <w:color w:val="1E293B"/>
          <w:sz w:val="20"/>
        </w:rPr>
        <w:t>When rendering order tables, js/wholesaler.js evaluates the user's approval status. If approved is false, an amber alert banner is displayed, and the verification action button is disabled with a locked icon and explanatory tooltip: 'Accreditation Pending: Admin approval required to verify stock'.</w:t>
      </w:r>
    </w:p>
    <w:p>
      <w:pPr>
        <w:keepNext/>
        <w:spacing w:before="360" w:after="120"/>
      </w:pPr>
      <w:r>
        <w:rPr>
          <w:rFonts w:ascii="Calibri" w:hAnsi="Calibri"/>
          <w:b/>
          <w:color w:val="1B4D20"/>
          <w:sz w:val="32"/>
        </w:rPr>
        <w:t>5. Testing &amp; Verification Demonstration</w:t>
      </w:r>
    </w:p>
    <w:p>
      <w:pPr>
        <w:spacing w:before="0" w:after="120" w:line="276" w:lineRule="auto"/>
      </w:pPr>
      <w:r>
        <w:rPr>
          <w:rFonts w:ascii="Calibri" w:hAnsi="Calibri"/>
          <w:color w:val="1E293B"/>
          <w:sz w:val="20"/>
        </w:rPr>
        <w:t>The project database is pre-seeded with two authentic Australian wholesalers to allow immediate side-by-side verification:</w:t>
      </w:r>
    </w:p>
    <w:p>
      <w:pPr>
        <w:pStyle w:val="ListBullet"/>
        <w:spacing w:before="0" w:after="60" w:line="276" w:lineRule="auto"/>
      </w:pPr>
      <w:r>
        <w:rPr>
          <w:rFonts w:ascii="Calibri" w:hAnsi="Calibri"/>
          <w:b/>
          <w:color w:val="1E293B"/>
          <w:sz w:val="20"/>
        </w:rPr>
        <w:t xml:space="preserve">1. Approved Wholesaler: </w:t>
      </w:r>
      <w:r>
        <w:rPr>
          <w:rFonts w:ascii="Calibri" w:hAnsi="Calibri"/>
          <w:color w:val="1E293B"/>
          <w:sz w:val="20"/>
        </w:rPr>
        <w:t>wholesaler@example.com (Liam Wilson - Sydney Central Markets NSW): Pre-seeded as approved: true. Demonstrates an authorized wholesaler actively verifying farm batches.</w:t>
      </w:r>
    </w:p>
    <w:p>
      <w:pPr>
        <w:pStyle w:val="ListBullet"/>
        <w:spacing w:before="0" w:after="60" w:line="276" w:lineRule="auto"/>
      </w:pPr>
      <w:r>
        <w:rPr>
          <w:rFonts w:ascii="Calibri" w:hAnsi="Calibri"/>
          <w:b/>
          <w:color w:val="1E293B"/>
          <w:sz w:val="20"/>
        </w:rPr>
        <w:t xml:space="preserve">2. Pending Wholesaler: </w:t>
      </w:r>
      <w:r>
        <w:rPr>
          <w:rFonts w:ascii="Calibri" w:hAnsi="Calibri"/>
          <w:color w:val="1E293B"/>
          <w:sz w:val="20"/>
        </w:rPr>
        <w:t>wholesaler.pending@example.com (Matilda Evans - Melbourne Produce Hub VIC): Pre-seeded as approved: false. Demonstrates the pending warning banner and locked verification controls.</w:t>
      </w:r>
    </w:p>
    <w:p>
      <w:pPr>
        <w:pStyle w:val="ListBullet"/>
        <w:spacing w:before="0" w:after="60" w:line="276" w:lineRule="auto"/>
      </w:pPr>
      <w:r>
        <w:rPr>
          <w:rFonts w:ascii="Calibri" w:hAnsi="Calibri"/>
          <w:b/>
          <w:color w:val="1E293B"/>
          <w:sz w:val="20"/>
        </w:rPr>
        <w:t xml:space="preserve">3. Administrator Approval: </w:t>
      </w:r>
      <w:r>
        <w:rPr>
          <w:rFonts w:ascii="Calibri" w:hAnsi="Calibri"/>
          <w:color w:val="1E293B"/>
          <w:sz w:val="20"/>
        </w:rPr>
        <w:t>admin@example.com: Demonstrates navigating to admin/approvals.html, clicking 'Approve Wholesaler' on Matilda, and instantly unlocking her verification powers.</w:t>
      </w:r>
    </w:p>
    <w:p>
      <w:pPr>
        <w:spacing w:before="160" w:after="60"/>
        <w:jc w:val="center"/>
      </w:pPr>
      <w:r>
        <w:drawing>
          <wp:inline xmlns:a="http://schemas.openxmlformats.org/drawingml/2006/main" xmlns:pic="http://schemas.openxmlformats.org/drawingml/2006/picture">
            <wp:extent cx="5486400" cy="4114800"/>
            <wp:docPr id="3" name="Picture 3"/>
            <wp:cNvGraphicFramePr>
              <a:graphicFrameLocks noChangeAspect="1"/>
            </wp:cNvGraphicFramePr>
            <a:graphic>
              <a:graphicData uri="http://schemas.openxmlformats.org/drawingml/2006/picture">
                <pic:pic>
                  <pic:nvPicPr>
                    <pic:cNvPr id="0" name="19_browser_login_demo_buttons.png"/>
                    <pic:cNvPicPr/>
                  </pic:nvPicPr>
                  <pic:blipFill>
                    <a:blip r:embed="rId13"/>
                    <a:stretch>
                      <a:fillRect/>
                    </a:stretch>
                  </pic:blipFill>
                  <pic:spPr>
                    <a:xfrm>
                      <a:off x="0" y="0"/>
                      <a:ext cx="5486400" cy="4114800"/>
                    </a:xfrm>
                    <a:prstGeom prst="rect"/>
                  </pic:spPr>
                </pic:pic>
              </a:graphicData>
            </a:graphic>
          </wp:inline>
        </w:drawing>
      </w:r>
    </w:p>
    <w:p>
      <w:pPr>
        <w:spacing w:before="0" w:after="240"/>
        <w:jc w:val="center"/>
      </w:pPr>
      <w:r>
        <w:rPr>
          <w:rFonts w:ascii="Calibri" w:hAnsi="Calibri"/>
          <w:i/>
          <w:color w:val="64748B"/>
          <w:sz w:val="17"/>
        </w:rPr>
        <w:t>Figure: 1-Click Demo Bar on login.html Providing Quick Switching Between Approved and Pending Wholesalers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7"/>
      </w:rPr>
      <w:t>Supply Chain Transparency for Small Farms • Wholesaler Accreditation &amp; Approval Policy • Confidential / Evaluator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AgriTrace Australia | Regulatory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