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pPr>
      <w:r w:rsidDel="00000000" w:rsidR="00000000" w:rsidRPr="00000000">
        <w:rPr>
          <w:rtl w:val="0"/>
        </w:rPr>
        <w:t xml:space="preserve">Sales Forecasting &amp; Demand Intelligence Report</w:t>
      </w:r>
    </w:p>
    <w:p w:rsidR="00000000" w:rsidDel="00000000" w:rsidP="00000000" w:rsidRDefault="00000000" w:rsidRPr="00000000" w14:paraId="00000002">
      <w:pPr>
        <w:rPr/>
      </w:pPr>
      <w:r w:rsidDel="00000000" w:rsidR="00000000" w:rsidRPr="00000000">
        <w:rPr>
          <w:b w:val="1"/>
          <w:bCs w:val="1"/>
          <w:rtl w:val="0"/>
        </w:rPr>
        <w:t xml:space="preserve">Prepared for: </w:t>
      </w:r>
      <w:r w:rsidDel="00000000" w:rsidR="00000000" w:rsidRPr="00000000">
        <w:rPr>
          <w:rtl w:val="0"/>
        </w:rPr>
        <w:t xml:space="preserve">Head of Supply Chain and CFO</w:t>
        <w:br w:type="textWrapping"/>
        <w:t xml:space="preserve">Prepared by: Harshvardhan Sinha</w:t>
      </w:r>
    </w:p>
    <w:p w:rsidR="00000000" w:rsidDel="00000000" w:rsidP="00000000" w:rsidRDefault="00000000" w:rsidRPr="00000000" w14:paraId="00000003">
      <w:pPr>
        <w:pStyle w:val="Heading1"/>
        <w:rPr/>
      </w:pPr>
      <w:r w:rsidDel="00000000" w:rsidR="00000000" w:rsidRPr="00000000">
        <w:rPr>
          <w:rtl w:val="0"/>
        </w:rPr>
        <w:t xml:space="preserve">Executive Summary</w:t>
      </w:r>
    </w:p>
    <w:p w:rsidR="00000000" w:rsidDel="00000000" w:rsidP="00000000" w:rsidRDefault="00000000" w:rsidRPr="00000000" w14:paraId="00000004">
      <w:pPr>
        <w:rPr/>
      </w:pPr>
      <w:r w:rsidDel="00000000" w:rsidR="00000000" w:rsidRPr="00000000">
        <w:rPr>
          <w:rtl w:val="0"/>
        </w:rPr>
        <w:t xml:space="preserve">This report summarizes retail sales analysis and forecasting in simple business language. Historical sales data was explored to identify trends, seasonal patterns, anomalies, and product demand. Forecasting models were compared and the best-performing model was selected to estimate sales for the next three months. These insights help management improve inventory planning, budgeting, purchasing, and warehouse operations while reducing stock-outs and excess inventory.</w:t>
      </w:r>
    </w:p>
    <w:p w:rsidR="00000000" w:rsidDel="00000000" w:rsidP="00000000" w:rsidRDefault="00000000" w:rsidRPr="00000000" w14:paraId="00000005">
      <w:pPr>
        <w:pStyle w:val="Heading1"/>
        <w:rPr/>
      </w:pPr>
      <w:r w:rsidDel="00000000" w:rsidR="00000000" w:rsidRPr="00000000">
        <w:rPr>
          <w:rtl w:val="0"/>
        </w:rPr>
        <w:t xml:space="preserve">Key Findings from Exploratory Data Analysis (EDA)</w:t>
      </w:r>
    </w:p>
    <w:p w:rsidR="00000000" w:rsidDel="00000000" w:rsidP="00000000" w:rsidRDefault="00000000" w:rsidRPr="00000000" w14:paraId="000000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Sales show a clear seasonal pattern with stronger demand during year-end months.</w:t>
      </w:r>
    </w:p>
    <w:p w:rsidR="00000000" w:rsidDel="00000000" w:rsidP="00000000" w:rsidRDefault="00000000" w:rsidRPr="00000000" w14:paraId="0000000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Technology products contribute the highest sales and should receive higher stocking priority.</w:t>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Demand varies across months but overall trend is stable with predictable seasonal peaks.</w:t>
      </w:r>
    </w:p>
    <w:p w:rsidR="00000000" w:rsidDel="00000000" w:rsidP="00000000" w:rsidRDefault="00000000" w:rsidRPr="00000000" w14:paraId="0000000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Regional sales are relatively balanced, suggesting a healthy distribution network.</w:t>
      </w:r>
    </w:p>
    <w:p w:rsidR="00000000" w:rsidDel="00000000" w:rsidP="00000000" w:rsidRDefault="00000000" w:rsidRPr="00000000" w14:paraId="0000000A">
      <w:pPr>
        <w:pStyle w:val="Heading1"/>
        <w:rPr/>
      </w:pPr>
      <w:r w:rsidDel="00000000" w:rsidR="00000000" w:rsidRPr="00000000">
        <w:rPr>
          <w:rtl w:val="0"/>
        </w:rPr>
        <w:t xml:space="preserve">Business Workflow</w:t>
      </w:r>
    </w:p>
    <w:p w:rsidR="00000000" w:rsidDel="00000000" w:rsidP="00000000" w:rsidRDefault="00000000" w:rsidRPr="00000000" w14:paraId="0000000B">
      <w:pPr>
        <w:rPr/>
      </w:pPr>
      <w:r w:rsidDel="00000000" w:rsidR="00000000" w:rsidRPr="00000000">
        <w:rPr>
          <w:rtl w:val="0"/>
        </w:rPr>
        <w:t xml:space="preserve">Historical Sales</w:t>
        <w:br w:type="textWrapping"/>
        <w:t xml:space="preserve">      ↓</w:t>
        <w:br w:type="textWrapping"/>
        <w:t xml:space="preserve">Data Cleaning</w:t>
        <w:br w:type="textWrapping"/>
        <w:t xml:space="preserve">      ↓</w:t>
        <w:br w:type="textWrapping"/>
        <w:t xml:space="preserve">Exploratory Analysis</w:t>
        <w:br w:type="textWrapping"/>
        <w:t xml:space="preserve">      ↓</w:t>
        <w:br w:type="textWrapping"/>
        <w:t xml:space="preserve">Forecasting Models</w:t>
        <w:br w:type="textWrapping"/>
        <w:t xml:space="preserve">      ↓</w:t>
        <w:br w:type="textWrapping"/>
        <w:t xml:space="preserve">3-Month Forecast</w:t>
        <w:br w:type="textWrapping"/>
        <w:t xml:space="preserve">      ↓</w:t>
        <w:br w:type="textWrapping"/>
        <w:t xml:space="preserve">Inventory Planning</w:t>
        <w:br w:type="textWrapping"/>
        <w:t xml:space="preserve">      ↓</w:t>
        <w:br w:type="textWrapping"/>
        <w:t xml:space="preserve">Business Decisions</w:t>
      </w:r>
    </w:p>
    <w:p w:rsidR="00000000" w:rsidDel="00000000" w:rsidP="00000000" w:rsidRDefault="00000000" w:rsidRPr="00000000" w14:paraId="0000000C">
      <w:pPr>
        <w:pStyle w:val="Heading1"/>
        <w:rPr/>
      </w:pPr>
      <w:r w:rsidDel="00000000" w:rsidR="00000000" w:rsidRPr="00000000">
        <w:rPr>
          <w:rtl w:val="0"/>
        </w:rPr>
        <w:t xml:space="preserve">3-Month Sales Forecast</w:t>
      </w:r>
    </w:p>
    <w:tbl>
      <w:tblPr>
        <w:tblStyle w:val="Table1"/>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60"/>
        <w:gridCol w:w="2160"/>
        <w:gridCol w:w="2160"/>
        <w:gridCol w:w="2160"/>
        <w:tblGridChange w:id="0">
          <w:tblGrid>
            <w:gridCol w:w="2160"/>
            <w:gridCol w:w="2160"/>
            <w:gridCol w:w="2160"/>
            <w:gridCol w:w="2160"/>
          </w:tblGrid>
        </w:tblGridChange>
      </w:tblGrid>
      <w:tr>
        <w:trPr>
          <w:cantSplit w:val="0"/>
          <w:tblHeader w:val="0"/>
        </w:trPr>
        <w:tc>
          <w:tcPr/>
          <w:p w:rsidR="00000000" w:rsidDel="00000000" w:rsidP="00000000" w:rsidRDefault="00000000" w:rsidRPr="00000000" w14:paraId="0000000D">
            <w:pPr>
              <w:rPr/>
            </w:pPr>
            <w:r w:rsidDel="00000000" w:rsidR="00000000" w:rsidRPr="00000000">
              <w:rPr>
                <w:rtl w:val="0"/>
              </w:rPr>
              <w:t xml:space="preserve">Month</w:t>
            </w:r>
          </w:p>
        </w:tc>
        <w:tc>
          <w:tcPr/>
          <w:p w:rsidR="00000000" w:rsidDel="00000000" w:rsidP="00000000" w:rsidRDefault="00000000" w:rsidRPr="00000000" w14:paraId="0000000E">
            <w:pPr>
              <w:rPr/>
            </w:pPr>
            <w:r w:rsidDel="00000000" w:rsidR="00000000" w:rsidRPr="00000000">
              <w:rPr>
                <w:rtl w:val="0"/>
              </w:rPr>
              <w:t xml:space="preserve">Forecast</w:t>
            </w:r>
          </w:p>
        </w:tc>
        <w:tc>
          <w:tcPr/>
          <w:p w:rsidR="00000000" w:rsidDel="00000000" w:rsidP="00000000" w:rsidRDefault="00000000" w:rsidRPr="00000000" w14:paraId="0000000F">
            <w:pPr>
              <w:rPr/>
            </w:pPr>
            <w:r w:rsidDel="00000000" w:rsidR="00000000" w:rsidRPr="00000000">
              <w:rPr>
                <w:rtl w:val="0"/>
              </w:rPr>
              <w:t xml:space="preserve">Confidence Range</w:t>
            </w:r>
          </w:p>
        </w:tc>
        <w:tc>
          <w:tcPr/>
          <w:p w:rsidR="00000000" w:rsidDel="00000000" w:rsidP="00000000" w:rsidRDefault="00000000" w:rsidRPr="00000000" w14:paraId="00000010">
            <w:pPr>
              <w:rPr/>
            </w:pPr>
            <w:r w:rsidDel="00000000" w:rsidR="00000000" w:rsidRPr="00000000">
              <w:rPr>
                <w:rtl w:val="0"/>
              </w:rPr>
              <w:t xml:space="preserve">Business Meaning</w:t>
            </w:r>
          </w:p>
        </w:tc>
      </w:tr>
      <w:tr>
        <w:trPr>
          <w:cantSplit w:val="0"/>
          <w:tblHeader w:val="0"/>
        </w:trPr>
        <w:tc>
          <w:tcPr/>
          <w:p w:rsidR="00000000" w:rsidDel="00000000" w:rsidP="00000000" w:rsidRDefault="00000000" w:rsidRPr="00000000" w14:paraId="00000011">
            <w:pPr>
              <w:rPr/>
            </w:pPr>
            <w:r w:rsidDel="00000000" w:rsidR="00000000" w:rsidRPr="00000000">
              <w:rPr>
                <w:rtl w:val="0"/>
              </w:rPr>
              <w:t xml:space="preserve">January</w:t>
            </w:r>
          </w:p>
        </w:tc>
        <w:tc>
          <w:tcPr/>
          <w:p w:rsidR="00000000" w:rsidDel="00000000" w:rsidP="00000000" w:rsidRDefault="00000000" w:rsidRPr="00000000" w14:paraId="00000012">
            <w:pPr>
              <w:rPr/>
            </w:pPr>
            <w:r w:rsidDel="00000000" w:rsidR="00000000" w:rsidRPr="00000000">
              <w:rPr>
                <w:rtl w:val="0"/>
              </w:rPr>
              <w:t xml:space="preserve">43,492</w:t>
            </w:r>
          </w:p>
        </w:tc>
        <w:tc>
          <w:tcPr/>
          <w:p w:rsidR="00000000" w:rsidDel="00000000" w:rsidP="00000000" w:rsidRDefault="00000000" w:rsidRPr="00000000" w14:paraId="00000013">
            <w:pPr>
              <w:rPr/>
            </w:pPr>
            <w:r w:rsidDel="00000000" w:rsidR="00000000" w:rsidRPr="00000000">
              <w:rPr>
                <w:rtl w:val="0"/>
              </w:rPr>
              <w:t xml:space="preserve">39,000–48,000</w:t>
            </w:r>
          </w:p>
        </w:tc>
        <w:tc>
          <w:tcPr/>
          <w:p w:rsidR="00000000" w:rsidDel="00000000" w:rsidP="00000000" w:rsidRDefault="00000000" w:rsidRPr="00000000" w14:paraId="00000014">
            <w:pPr>
              <w:rPr/>
            </w:pPr>
            <w:r w:rsidDel="00000000" w:rsidR="00000000" w:rsidRPr="00000000">
              <w:rPr>
                <w:rtl w:val="0"/>
              </w:rPr>
              <w:t xml:space="preserve">Stable demand expected</w:t>
            </w:r>
          </w:p>
        </w:tc>
      </w:tr>
      <w:tr>
        <w:trPr>
          <w:cantSplit w:val="0"/>
          <w:tblHeader w:val="0"/>
        </w:trPr>
        <w:tc>
          <w:tcPr/>
          <w:p w:rsidR="00000000" w:rsidDel="00000000" w:rsidP="00000000" w:rsidRDefault="00000000" w:rsidRPr="00000000" w14:paraId="00000015">
            <w:pPr>
              <w:rPr/>
            </w:pPr>
            <w:r w:rsidDel="00000000" w:rsidR="00000000" w:rsidRPr="00000000">
              <w:rPr>
                <w:rtl w:val="0"/>
              </w:rPr>
              <w:t xml:space="preserve">February</w:t>
            </w:r>
          </w:p>
        </w:tc>
        <w:tc>
          <w:tcPr/>
          <w:p w:rsidR="00000000" w:rsidDel="00000000" w:rsidP="00000000" w:rsidRDefault="00000000" w:rsidRPr="00000000" w14:paraId="00000016">
            <w:pPr>
              <w:rPr/>
            </w:pPr>
            <w:r w:rsidDel="00000000" w:rsidR="00000000" w:rsidRPr="00000000">
              <w:rPr>
                <w:rtl w:val="0"/>
              </w:rPr>
              <w:t xml:space="preserve">34,805</w:t>
            </w:r>
          </w:p>
        </w:tc>
        <w:tc>
          <w:tcPr/>
          <w:p w:rsidR="00000000" w:rsidDel="00000000" w:rsidP="00000000" w:rsidRDefault="00000000" w:rsidRPr="00000000" w14:paraId="00000017">
            <w:pPr>
              <w:rPr/>
            </w:pPr>
            <w:r w:rsidDel="00000000" w:rsidR="00000000" w:rsidRPr="00000000">
              <w:rPr>
                <w:rtl w:val="0"/>
              </w:rPr>
              <w:t xml:space="preserve">30,000–40,000</w:t>
            </w:r>
          </w:p>
        </w:tc>
        <w:tc>
          <w:tcPr/>
          <w:p w:rsidR="00000000" w:rsidDel="00000000" w:rsidP="00000000" w:rsidRDefault="00000000" w:rsidRPr="00000000" w14:paraId="00000018">
            <w:pPr>
              <w:rPr/>
            </w:pPr>
            <w:r w:rsidDel="00000000" w:rsidR="00000000" w:rsidRPr="00000000">
              <w:rPr>
                <w:rtl w:val="0"/>
              </w:rPr>
              <w:t xml:space="preserve">Seasonal decline</w:t>
            </w:r>
          </w:p>
        </w:tc>
      </w:tr>
      <w:tr>
        <w:trPr>
          <w:cantSplit w:val="0"/>
          <w:tblHeader w:val="0"/>
        </w:trPr>
        <w:tc>
          <w:tcPr/>
          <w:p w:rsidR="00000000" w:rsidDel="00000000" w:rsidP="00000000" w:rsidRDefault="00000000" w:rsidRPr="00000000" w14:paraId="00000019">
            <w:pPr>
              <w:rPr/>
            </w:pPr>
            <w:r w:rsidDel="00000000" w:rsidR="00000000" w:rsidRPr="00000000">
              <w:rPr>
                <w:rtl w:val="0"/>
              </w:rPr>
              <w:t xml:space="preserve">March</w:t>
            </w:r>
          </w:p>
        </w:tc>
        <w:tc>
          <w:tcPr/>
          <w:p w:rsidR="00000000" w:rsidDel="00000000" w:rsidP="00000000" w:rsidRDefault="00000000" w:rsidRPr="00000000" w14:paraId="0000001A">
            <w:pPr>
              <w:rPr/>
            </w:pPr>
            <w:r w:rsidDel="00000000" w:rsidR="00000000" w:rsidRPr="00000000">
              <w:rPr>
                <w:rtl w:val="0"/>
              </w:rPr>
              <w:t xml:space="preserve">69,907</w:t>
            </w:r>
          </w:p>
        </w:tc>
        <w:tc>
          <w:tcPr/>
          <w:p w:rsidR="00000000" w:rsidDel="00000000" w:rsidP="00000000" w:rsidRDefault="00000000" w:rsidRPr="00000000" w14:paraId="0000001B">
            <w:pPr>
              <w:rPr/>
            </w:pPr>
            <w:r w:rsidDel="00000000" w:rsidR="00000000" w:rsidRPr="00000000">
              <w:rPr>
                <w:rtl w:val="0"/>
              </w:rPr>
              <w:t xml:space="preserve">62,000–76,000</w:t>
            </w:r>
          </w:p>
        </w:tc>
        <w:tc>
          <w:tcPr/>
          <w:p w:rsidR="00000000" w:rsidDel="00000000" w:rsidP="00000000" w:rsidRDefault="00000000" w:rsidRPr="00000000" w14:paraId="0000001C">
            <w:pPr>
              <w:rPr/>
            </w:pPr>
            <w:r w:rsidDel="00000000" w:rsidR="00000000" w:rsidRPr="00000000">
              <w:rPr>
                <w:rtl w:val="0"/>
              </w:rPr>
              <w:t xml:space="preserve">Strong recovery expected</w:t>
            </w:r>
          </w:p>
        </w:tc>
      </w:tr>
    </w:tbl>
    <w:p w:rsidR="00000000" w:rsidDel="00000000" w:rsidP="00000000" w:rsidRDefault="00000000" w:rsidRPr="00000000" w14:paraId="0000001D">
      <w:pPr>
        <w:rPr/>
      </w:pPr>
      <w:r w:rsidDel="00000000" w:rsidR="00000000" w:rsidRPr="00000000">
        <w:rPr>
          <w:rtl w:val="0"/>
        </w:rPr>
        <w:t xml:space="preserve">The confidence range indicates the likely interval in which actual sales may fall. Narrower ranges indicate higher confidence.</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sz w:val="24"/>
          <w:szCs w:val="24"/>
        </w:rPr>
      </w:pPr>
      <w:r w:rsidDel="00000000" w:rsidR="00000000" w:rsidRPr="00000000">
        <w:rPr>
          <w:b w:val="1"/>
          <w:bCs w:val="1"/>
          <w:color w:val="366091"/>
          <w:sz w:val="28"/>
          <w:szCs w:val="28"/>
          <w:rtl w:val="0"/>
        </w:rPr>
        <w:t xml:space="preserve">Forecast Model Comparison </w:t>
      </w:r>
      <w:r w:rsidDel="00000000" w:rsidR="00000000" w:rsidRPr="00000000">
        <w:rPr>
          <w:rtl w:val="0"/>
        </w:rPr>
      </w:r>
    </w:p>
    <w:tbl>
      <w:tblPr>
        <w:tblStyle w:val="Table2"/>
        <w:tblW w:w="84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55"/>
        <w:gridCol w:w="1875"/>
        <w:gridCol w:w="2355"/>
        <w:gridCol w:w="3090"/>
        <w:tblGridChange w:id="0">
          <w:tblGrid>
            <w:gridCol w:w="1155"/>
            <w:gridCol w:w="1875"/>
            <w:gridCol w:w="2355"/>
            <w:gridCol w:w="3090"/>
          </w:tblGrid>
        </w:tblGridChange>
      </w:tblGrid>
      <w:tr>
        <w:trPr>
          <w:cantSplit w:val="0"/>
          <w:trHeight w:val="688.57226562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jc w:val="center"/>
              <w:rPr>
                <w:sz w:val="24"/>
                <w:szCs w:val="24"/>
              </w:rPr>
            </w:pPr>
            <w:r w:rsidDel="00000000" w:rsidR="00000000" w:rsidRPr="00000000">
              <w:rPr>
                <w:b w:val="1"/>
                <w:bCs w:val="1"/>
                <w:sz w:val="24"/>
                <w:szCs w:val="24"/>
                <w:rtl w:val="0"/>
              </w:rPr>
              <w:t xml:space="preserve">Model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jc w:val="center"/>
              <w:rPr>
                <w:sz w:val="24"/>
                <w:szCs w:val="24"/>
              </w:rPr>
            </w:pPr>
            <w:r w:rsidDel="00000000" w:rsidR="00000000" w:rsidRPr="00000000">
              <w:rPr>
                <w:b w:val="1"/>
                <w:bCs w:val="1"/>
                <w:sz w:val="24"/>
                <w:szCs w:val="24"/>
                <w:rtl w:val="0"/>
              </w:rPr>
              <w:t xml:space="preserve">Accuracy</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jc w:val="center"/>
              <w:rPr>
                <w:sz w:val="24"/>
                <w:szCs w:val="24"/>
              </w:rPr>
            </w:pPr>
            <w:r w:rsidDel="00000000" w:rsidR="00000000" w:rsidRPr="00000000">
              <w:rPr>
                <w:b w:val="1"/>
                <w:bCs w:val="1"/>
                <w:sz w:val="24"/>
                <w:szCs w:val="24"/>
                <w:rtl w:val="0"/>
              </w:rPr>
              <w:t xml:space="preserve">Strength</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jc w:val="center"/>
              <w:rPr>
                <w:sz w:val="24"/>
                <w:szCs w:val="24"/>
              </w:rPr>
            </w:pPr>
            <w:r w:rsidDel="00000000" w:rsidR="00000000" w:rsidRPr="00000000">
              <w:rPr>
                <w:b w:val="1"/>
                <w:bCs w:val="1"/>
                <w:sz w:val="24"/>
                <w:szCs w:val="24"/>
                <w:rtl w:val="0"/>
              </w:rPr>
              <w:t xml:space="preserve">Weakness</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rPr>
                <w:sz w:val="24"/>
                <w:szCs w:val="24"/>
              </w:rPr>
            </w:pPr>
            <w:r w:rsidDel="00000000" w:rsidR="00000000" w:rsidRPr="00000000">
              <w:rPr>
                <w:sz w:val="24"/>
                <w:szCs w:val="24"/>
                <w:rtl w:val="0"/>
              </w:rPr>
              <w:t xml:space="preserve">SARIMA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6">
            <w:pPr>
              <w:rPr>
                <w:sz w:val="24"/>
                <w:szCs w:val="24"/>
              </w:rPr>
            </w:pPr>
            <w:r w:rsidDel="00000000" w:rsidR="00000000" w:rsidRPr="00000000">
              <w:rPr>
                <w:sz w:val="24"/>
                <w:szCs w:val="24"/>
                <w:rtl w:val="0"/>
              </w:rPr>
              <w:t xml:space="preserve">Best accuracy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7">
            <w:pPr>
              <w:rPr>
                <w:sz w:val="24"/>
                <w:szCs w:val="24"/>
              </w:rPr>
            </w:pPr>
            <w:r w:rsidDel="00000000" w:rsidR="00000000" w:rsidRPr="00000000">
              <w:rPr>
                <w:sz w:val="24"/>
                <w:szCs w:val="24"/>
                <w:rtl w:val="0"/>
              </w:rPr>
              <w:t xml:space="preserve">Needs historical data</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rPr>
                <w:sz w:val="24"/>
                <w:szCs w:val="24"/>
              </w:rPr>
            </w:pPr>
            <w:r w:rsidDel="00000000" w:rsidR="00000000" w:rsidRPr="00000000">
              <w:rPr>
                <w:sz w:val="24"/>
                <w:szCs w:val="24"/>
                <w:rtl w:val="0"/>
              </w:rPr>
              <w:t xml:space="preserve">Prophet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rPr>
                <w:sz w:val="24"/>
                <w:szCs w:val="24"/>
              </w:rPr>
            </w:pPr>
            <w:r w:rsidDel="00000000" w:rsidR="00000000" w:rsidRPr="00000000">
              <w:rPr>
                <w:sz w:val="24"/>
                <w:szCs w:val="24"/>
                <w:rtl w:val="0"/>
              </w:rPr>
              <w:t xml:space="preserve">Easy seasonality</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rPr>
                <w:sz w:val="24"/>
                <w:szCs w:val="24"/>
              </w:rPr>
            </w:pPr>
            <w:r w:rsidDel="00000000" w:rsidR="00000000" w:rsidRPr="00000000">
              <w:rPr>
                <w:sz w:val="24"/>
                <w:szCs w:val="24"/>
                <w:rtl w:val="0"/>
              </w:rPr>
              <w:t xml:space="preserve">Slightly higher error</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rPr>
                <w:sz w:val="24"/>
                <w:szCs w:val="24"/>
              </w:rPr>
            </w:pPr>
            <w:r w:rsidDel="00000000" w:rsidR="00000000" w:rsidRPr="00000000">
              <w:rPr>
                <w:sz w:val="24"/>
                <w:szCs w:val="24"/>
                <w:rtl w:val="0"/>
              </w:rPr>
              <w:t xml:space="preserve">XGBoost</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D">
            <w:pPr>
              <w:rPr>
                <w:sz w:val="24"/>
                <w:szCs w:val="24"/>
              </w:rPr>
            </w:pPr>
            <w:r w:rsidDel="00000000" w:rsidR="00000000" w:rsidRPr="00000000">
              <w:rPr>
                <w:sz w:val="24"/>
                <w:szCs w:val="24"/>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E">
            <w:pPr>
              <w:rPr>
                <w:sz w:val="24"/>
                <w:szCs w:val="24"/>
              </w:rPr>
            </w:pPr>
            <w:r w:rsidDel="00000000" w:rsidR="00000000" w:rsidRPr="00000000">
              <w:rPr>
                <w:sz w:val="24"/>
                <w:szCs w:val="24"/>
                <w:rtl w:val="0"/>
              </w:rPr>
              <w:t xml:space="preserve">Flexible ML</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rPr>
                <w:sz w:val="24"/>
                <w:szCs w:val="24"/>
              </w:rPr>
            </w:pPr>
            <w:r w:rsidDel="00000000" w:rsidR="00000000" w:rsidRPr="00000000">
              <w:rPr>
                <w:sz w:val="24"/>
                <w:szCs w:val="24"/>
                <w:rtl w:val="0"/>
              </w:rPr>
              <w:t xml:space="preserve">Lowest accuracy</w:t>
            </w:r>
          </w:p>
        </w:tc>
      </w:tr>
    </w:tbl>
    <w:p w:rsidR="00000000" w:rsidDel="00000000" w:rsidP="00000000" w:rsidRDefault="00000000" w:rsidRPr="00000000" w14:paraId="00000030">
      <w:pPr>
        <w:rPr>
          <w:sz w:val="24"/>
          <w:szCs w:val="24"/>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Top 3 Anomalies</w:t>
      </w:r>
    </w:p>
    <w:p w:rsidR="00000000" w:rsidDel="00000000" w:rsidP="00000000" w:rsidRDefault="00000000" w:rsidRPr="00000000" w14:paraId="0000003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Holiday sales spike: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Festive shopping and promotional campaigns.</w:t>
      </w:r>
    </w:p>
    <w:p w:rsidR="00000000" w:rsidDel="00000000" w:rsidP="00000000" w:rsidRDefault="00000000" w:rsidRPr="00000000" w14:paraId="0000003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Unexpected sales dip: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Possible supplier delays or lower customer demand.</w:t>
      </w:r>
    </w:p>
    <w:p w:rsidR="00000000" w:rsidDel="00000000" w:rsidP="00000000" w:rsidRDefault="00000000" w:rsidRPr="00000000" w14:paraId="000000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1"/>
          <w:bCs w:val="1"/>
          <w:i w:val="0"/>
          <w:iCs w:val="0"/>
          <w:smallCaps w:val="0"/>
          <w:strike w:val="0"/>
          <w:color w:val="000000"/>
          <w:sz w:val="22"/>
          <w:szCs w:val="22"/>
          <w:u w:val="none"/>
          <w:shd w:fill="auto" w:val="clear"/>
          <w:vertAlign w:val="baseline"/>
          <w:rtl w:val="0"/>
        </w:rPr>
        <w:t xml:space="preserve">Regional sales surge: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Bulk corporate orders or localized marketing.</w:t>
      </w:r>
    </w:p>
    <w:p w:rsidR="00000000" w:rsidDel="00000000" w:rsidP="00000000" w:rsidRDefault="00000000" w:rsidRPr="00000000" w14:paraId="00000035">
      <w:pPr>
        <w:pStyle w:val="Heading1"/>
        <w:rPr/>
      </w:pPr>
      <w:r w:rsidDel="00000000" w:rsidR="00000000" w:rsidRPr="00000000">
        <w:rPr>
          <w:rtl w:val="0"/>
        </w:rPr>
        <w:t xml:space="preserve">Demand Segmentation &amp; Stocking Strategy</w:t>
      </w:r>
    </w:p>
    <w:tbl>
      <w:tblPr>
        <w:tblStyle w:val="Table3"/>
        <w:tblW w:w="864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80"/>
        <w:gridCol w:w="2880"/>
        <w:gridCol w:w="2880"/>
        <w:tblGridChange w:id="0">
          <w:tblGrid>
            <w:gridCol w:w="2880"/>
            <w:gridCol w:w="2880"/>
            <w:gridCol w:w="2880"/>
          </w:tblGrid>
        </w:tblGridChange>
      </w:tblGrid>
      <w:tr>
        <w:trPr>
          <w:cantSplit w:val="0"/>
          <w:tblHeader w:val="0"/>
        </w:trPr>
        <w:tc>
          <w:tcPr/>
          <w:p w:rsidR="00000000" w:rsidDel="00000000" w:rsidP="00000000" w:rsidRDefault="00000000" w:rsidRPr="00000000" w14:paraId="00000036">
            <w:pPr>
              <w:rPr/>
            </w:pPr>
            <w:r w:rsidDel="00000000" w:rsidR="00000000" w:rsidRPr="00000000">
              <w:rPr>
                <w:rtl w:val="0"/>
              </w:rPr>
              <w:t xml:space="preserve">Segment</w:t>
            </w:r>
          </w:p>
        </w:tc>
        <w:tc>
          <w:tcPr/>
          <w:p w:rsidR="00000000" w:rsidDel="00000000" w:rsidP="00000000" w:rsidRDefault="00000000" w:rsidRPr="00000000" w14:paraId="00000037">
            <w:pPr>
              <w:rPr/>
            </w:pPr>
            <w:r w:rsidDel="00000000" w:rsidR="00000000" w:rsidRPr="00000000">
              <w:rPr>
                <w:rtl w:val="0"/>
              </w:rPr>
              <w:t xml:space="preserve">Finding</w:t>
            </w:r>
          </w:p>
        </w:tc>
        <w:tc>
          <w:tcPr/>
          <w:p w:rsidR="00000000" w:rsidDel="00000000" w:rsidP="00000000" w:rsidRDefault="00000000" w:rsidRPr="00000000" w14:paraId="00000038">
            <w:pPr>
              <w:rPr/>
            </w:pPr>
            <w:r w:rsidDel="00000000" w:rsidR="00000000" w:rsidRPr="00000000">
              <w:rPr>
                <w:rtl w:val="0"/>
              </w:rPr>
              <w:t xml:space="preserve">Recommendation</w:t>
            </w:r>
          </w:p>
        </w:tc>
      </w:tr>
      <w:tr>
        <w:trPr>
          <w:cantSplit w:val="0"/>
          <w:tblHeader w:val="0"/>
        </w:trPr>
        <w:tc>
          <w:tcPr/>
          <w:p w:rsidR="00000000" w:rsidDel="00000000" w:rsidP="00000000" w:rsidRDefault="00000000" w:rsidRPr="00000000" w14:paraId="00000039">
            <w:pPr>
              <w:rPr/>
            </w:pPr>
            <w:r w:rsidDel="00000000" w:rsidR="00000000" w:rsidRPr="00000000">
              <w:rPr>
                <w:rtl w:val="0"/>
              </w:rPr>
              <w:t xml:space="preserve">High Demand</w:t>
            </w:r>
          </w:p>
        </w:tc>
        <w:tc>
          <w:tcPr/>
          <w:p w:rsidR="00000000" w:rsidDel="00000000" w:rsidP="00000000" w:rsidRDefault="00000000" w:rsidRPr="00000000" w14:paraId="0000003A">
            <w:pPr>
              <w:rPr/>
            </w:pPr>
            <w:r w:rsidDel="00000000" w:rsidR="00000000" w:rsidRPr="00000000">
              <w:rPr>
                <w:rtl w:val="0"/>
              </w:rPr>
              <w:t xml:space="preserve">Technology</w:t>
            </w:r>
          </w:p>
        </w:tc>
        <w:tc>
          <w:tcPr/>
          <w:p w:rsidR="00000000" w:rsidDel="00000000" w:rsidP="00000000" w:rsidRDefault="00000000" w:rsidRPr="00000000" w14:paraId="0000003B">
            <w:pPr>
              <w:rPr/>
            </w:pPr>
            <w:r w:rsidDel="00000000" w:rsidR="00000000" w:rsidRPr="00000000">
              <w:rPr>
                <w:rtl w:val="0"/>
              </w:rPr>
              <w:t xml:space="preserve">Maintain higher safety stock and replenish weekly</w:t>
            </w:r>
          </w:p>
        </w:tc>
      </w:tr>
      <w:tr>
        <w:trPr>
          <w:cantSplit w:val="0"/>
          <w:tblHeader w:val="0"/>
        </w:trPr>
        <w:tc>
          <w:tcPr/>
          <w:p w:rsidR="00000000" w:rsidDel="00000000" w:rsidP="00000000" w:rsidRDefault="00000000" w:rsidRPr="00000000" w14:paraId="0000003C">
            <w:pPr>
              <w:rPr/>
            </w:pPr>
            <w:r w:rsidDel="00000000" w:rsidR="00000000" w:rsidRPr="00000000">
              <w:rPr>
                <w:rtl w:val="0"/>
              </w:rPr>
              <w:t xml:space="preserve">Medium Demand</w:t>
            </w:r>
          </w:p>
        </w:tc>
        <w:tc>
          <w:tcPr/>
          <w:p w:rsidR="00000000" w:rsidDel="00000000" w:rsidP="00000000" w:rsidRDefault="00000000" w:rsidRPr="00000000" w14:paraId="0000003D">
            <w:pPr>
              <w:rPr/>
            </w:pPr>
            <w:r w:rsidDel="00000000" w:rsidR="00000000" w:rsidRPr="00000000">
              <w:rPr>
                <w:rtl w:val="0"/>
              </w:rPr>
              <w:t xml:space="preserve">Furniture</w:t>
            </w:r>
          </w:p>
        </w:tc>
        <w:tc>
          <w:tcPr/>
          <w:p w:rsidR="00000000" w:rsidDel="00000000" w:rsidP="00000000" w:rsidRDefault="00000000" w:rsidRPr="00000000" w14:paraId="0000003E">
            <w:pPr>
              <w:rPr/>
            </w:pPr>
            <w:r w:rsidDel="00000000" w:rsidR="00000000" w:rsidRPr="00000000">
              <w:rPr>
                <w:rtl w:val="0"/>
              </w:rPr>
              <w:t xml:space="preserve">Moderate inventory with bi-weekly review</w:t>
            </w:r>
          </w:p>
        </w:tc>
      </w:tr>
      <w:tr>
        <w:trPr>
          <w:cantSplit w:val="0"/>
          <w:tblHeader w:val="0"/>
        </w:trPr>
        <w:tc>
          <w:tcPr/>
          <w:p w:rsidR="00000000" w:rsidDel="00000000" w:rsidP="00000000" w:rsidRDefault="00000000" w:rsidRPr="00000000" w14:paraId="0000003F">
            <w:pPr>
              <w:rPr/>
            </w:pPr>
            <w:r w:rsidDel="00000000" w:rsidR="00000000" w:rsidRPr="00000000">
              <w:rPr>
                <w:rtl w:val="0"/>
              </w:rPr>
              <w:t xml:space="preserve">Low Demand</w:t>
            </w:r>
          </w:p>
        </w:tc>
        <w:tc>
          <w:tcPr/>
          <w:p w:rsidR="00000000" w:rsidDel="00000000" w:rsidP="00000000" w:rsidRDefault="00000000" w:rsidRPr="00000000" w14:paraId="00000040">
            <w:pPr>
              <w:rPr/>
            </w:pPr>
            <w:r w:rsidDel="00000000" w:rsidR="00000000" w:rsidRPr="00000000">
              <w:rPr>
                <w:rtl w:val="0"/>
              </w:rPr>
              <w:t xml:space="preserve">Office Supplies</w:t>
            </w:r>
          </w:p>
        </w:tc>
        <w:tc>
          <w:tcPr/>
          <w:p w:rsidR="00000000" w:rsidDel="00000000" w:rsidP="00000000" w:rsidRDefault="00000000" w:rsidRPr="00000000" w14:paraId="00000041">
            <w:pPr>
              <w:rPr/>
            </w:pPr>
            <w:r w:rsidDel="00000000" w:rsidR="00000000" w:rsidRPr="00000000">
              <w:rPr>
                <w:rtl w:val="0"/>
              </w:rPr>
              <w:t xml:space="preserve">Lean inventory and monthly replenishment</w:t>
            </w:r>
          </w:p>
        </w:tc>
      </w:tr>
    </w:tbl>
    <w:p w:rsidR="00000000" w:rsidDel="00000000" w:rsidP="00000000" w:rsidRDefault="00000000" w:rsidRPr="00000000" w14:paraId="00000042">
      <w:pPr>
        <w:pStyle w:val="Heading1"/>
        <w:rPr/>
      </w:pPr>
      <w:r w:rsidDel="00000000" w:rsidR="00000000" w:rsidRPr="00000000">
        <w:rPr>
          <w:rtl w:val="0"/>
        </w:rPr>
        <w:t xml:space="preserve">Business Recommendations</w:t>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Increase inventory before seasonal peaks because historical data consistently shows higher year-end demand.</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Allocate additional warehouse capacity to high-demand Technology products to maximize revenue opportunities.</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00" w:before="0" w:line="276" w:lineRule="auto"/>
        <w:ind w:left="360" w:right="0" w:hanging="360"/>
        <w:jc w:val="left"/>
        <w:rPr/>
      </w:pP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tl w:val="0"/>
        </w:rPr>
        <w:t xml:space="preserve">Use the selected forecasting model for monthly planning to improve budgeting and reduce inventory costs.</w:t>
      </w:r>
    </w:p>
    <w:p w:rsidR="00000000" w:rsidDel="00000000" w:rsidP="00000000" w:rsidRDefault="00000000" w:rsidRPr="00000000" w14:paraId="00000046">
      <w:pPr>
        <w:pStyle w:val="Heading1"/>
        <w:rPr/>
      </w:pPr>
      <w:r w:rsidDel="00000000" w:rsidR="00000000" w:rsidRPr="00000000">
        <w:rPr>
          <w:rtl w:val="0"/>
        </w:rPr>
        <w:t xml:space="preserve">Risk / Limitation</w:t>
      </w:r>
    </w:p>
    <w:p w:rsidR="00000000" w:rsidDel="00000000" w:rsidP="00000000" w:rsidRDefault="00000000" w:rsidRPr="00000000" w14:paraId="00000047">
      <w:pPr>
        <w:rPr/>
      </w:pPr>
      <w:r w:rsidDel="00000000" w:rsidR="00000000" w:rsidRPr="00000000">
        <w:rPr>
          <w:rtl w:val="0"/>
        </w:rPr>
        <w:t xml:space="preserve">Forecasts rely on historical patterns. Unexpected events such as supply-chain disruptions, economic changes, new competitors, or major promotions can reduce forecast accuracy. Forecasts should therefore be reviewed and updated every month.</w:t>
      </w:r>
    </w:p>
    <w:p w:rsidR="00000000" w:rsidDel="00000000" w:rsidP="00000000" w:rsidRDefault="00000000" w:rsidRPr="00000000" w14:paraId="00000048">
      <w:pPr>
        <w:pStyle w:val="Heading1"/>
        <w:rPr/>
      </w:pPr>
      <w:r w:rsidDel="00000000" w:rsidR="00000000" w:rsidRPr="00000000">
        <w:rPr>
          <w:rtl w:val="0"/>
        </w:rPr>
        <w:t xml:space="preserve">Conclusion</w:t>
      </w:r>
    </w:p>
    <w:p w:rsidR="00000000" w:rsidDel="00000000" w:rsidP="00000000" w:rsidRDefault="00000000" w:rsidRPr="00000000" w14:paraId="00000049">
      <w:pPr>
        <w:rPr/>
      </w:pPr>
      <w:r w:rsidDel="00000000" w:rsidR="00000000" w:rsidRPr="00000000">
        <w:rPr>
          <w:rtl w:val="0"/>
        </w:rPr>
        <w:t xml:space="preserve">The analysis indicates that demand is seasonal and predictable. By combining historical analysis, anomaly detection, and forecasting, the company can improve purchasing decisions, reduce waste, avoid stock shortages, and strengthen financial planning. This report is intended for business leaders and does not require any knowledge of Python or data science.</w:t>
      </w:r>
    </w:p>
    <w:sectPr>
      <w:pgSz w:h="15840" w:w="12240" w:orient="portrait"/>
      <w:pgMar w:bottom="1440" w:top="1440" w:left="1800" w:right="180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36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sz w:val="28"/>
      <w:szCs w:val="28"/>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sz w:val="26"/>
      <w:szCs w:val="26"/>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