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keepNext/>
        <w:spacing w:before="120" w:after="828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402"/>
        <w:gridCol w:w="340"/>
        <w:gridCol w:w="5284"/>
      </w:tblGrid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COLLECTION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01-10-2026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SAMPLE ANALYSIS DATE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02-10-2026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CLIENT NAME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Aamod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ADDRESS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Panvel JNPT Uran Road</w:t>
            </w:r>
          </w:p>
        </w:tc>
      </w:tr>
      <w:tr>
        <w:tc>
          <w:tcPr>
            <w:tcW w:type="dxa" w:w="340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CONTACT PERSON</w:t>
            </w:r>
          </w:p>
        </w:tc>
        <w:tc>
          <w:tcPr>
            <w:tcW w:type="dxa" w:w="340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Manoj Bagade</w:t>
            </w:r>
          </w:p>
        </w:tc>
      </w:tr>
    </w:tbl>
    <w:p>
      <w:pPr>
        <w:keepNext/>
        <w:spacing w:before="828" w:after="552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ANALYSIS REPORT</w:t>
      </w:r>
    </w:p>
    <w:p>
      <w:pPr>
        <w:keepNext/>
        <w:keepLines/>
        <w:spacing w:before="0" w:after="276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4"/>
        </w:rPr>
        <w:t>Please find below the water analysis results for Aamod. The measured parameters for the submitted samples are presented for your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4944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UNIT</w:t>
            </w:r>
          </w:p>
        </w:tc>
        <w:tc>
          <w:tcPr>
            <w:tcW w:type="dxa" w:w="494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FEED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-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7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TDS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9,000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Total Hardness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14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 Alkalinity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Chloride as Cl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5,200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Phosphate as PO4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600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Calcium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900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Turbidity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NTU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8,000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Colour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Pt-Co</w:t>
            </w:r>
          </w:p>
        </w:tc>
        <w:tc>
          <w:tcPr>
            <w:tcW w:type="dxa" w:w="494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4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The water container is damaged, and the water quality has been adversely affected.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4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60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6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Payal Kadam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24"/>
          </w:rPr>
          <w:t>payalkadam0430@gmail.com</w:t>
        </w:r>
      </w:hyperlink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4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payalkadam0430@gmail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