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12" w:color="000000"/>
          <w:bottom w:val="single" w:sz="12" w:color="000000"/>
          <w:left w:val="nil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742"/>
        <w:gridCol w:w="5284"/>
      </w:tblGrid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SAMPLE COLLECTION DATE: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09-06-2026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SAMPLE ANALYSIS DATE: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12-06-2026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CLIENT NAME: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Shree Prakash Textiles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ADDRESS: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601 B, Neelyog Square, R. B. Mehta Marg, Ghatkopar East, Mumbai</w:t>
            </w:r>
          </w:p>
        </w:tc>
      </w:tr>
      <w:tr>
        <w:tc>
          <w:tcPr>
            <w:tcW w:type="dxa" w:w="3742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CONTACT PERSON:</w:t>
            </w:r>
          </w:p>
        </w:tc>
        <w:tc>
          <w:tcPr>
            <w:tcW w:type="dxa" w:w="5284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Mr. R</w:t>
            </w:r>
          </w:p>
        </w:tc>
      </w:tr>
    </w:tbl>
    <w:p>
      <w:pPr>
        <w:keepNext/>
        <w:spacing w:before="828" w:after="552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76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4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T Alkalinity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Phosphate as PO4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Calcium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>Magnesium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</w:rPr>
              <w:t>10,000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4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Water sample was clear.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4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4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63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63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24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4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