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jc w:val="center"/>
      </w:pPr>
      <w:r>
        <w:rPr>
          <w:b/>
          <w:sz w:val="30"/>
          <w:u w:val="single"/>
        </w:rPr>
        <w:t>WATER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09-06-2026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Addr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Mr. R</w:t>
            </w:r>
          </w:p>
        </w:tc>
      </w:tr>
    </w:tbl>
    <w:p>
      <w:pPr>
        <w:keepNext/>
        <w:spacing w:before="200"/>
        <w:jc w:val="center"/>
      </w:pPr>
      <w:r>
        <w:rPr>
          <w:b/>
          <w:sz w:val="22"/>
        </w:rPr>
        <w:t>RO FEED WATER &amp; RO 3RD STAGE REJECT WATER 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948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891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891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</w:pPr>
      <w:r>
        <w:rPr>
          <w:sz w:val="20"/>
        </w:rPr>
        <w:t>The RO reject water shows higher TDS.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20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2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r>
        <w:rPr>
          <w:sz w:val="18"/>
        </w:rPr>
        <w:t>info@nirmaanwatertech.com</w:t>
      </w:r>
    </w:p>
    <w:p>
      <w:pPr>
        <w:spacing w:before="160"/>
      </w:pPr>
      <w:r>
        <w:rPr>
          <w:sz w:val="17"/>
        </w:rPr>
        <w:t>Analysed by: Rajesh Kumar</w:t>
      </w:r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