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color="8A9AAA"/>
          <w:bottom w:val="single" w:sz="4" w:color="8A9AAA"/>
          <w:left w:val="nil" w:sz="4" w:color="8A9AAA"/>
          <w:right w:val="nil" w:sz="4" w:color="8A9AAA"/>
          <w:insideH w:val="nil" w:sz="4" w:color="8A9AAA"/>
          <w:insideV w:val="nil" w:sz="4" w:color="8A9AAA"/>
        </w:tblBorders>
      </w:tblPr>
      <w:tblGrid>
        <w:gridCol w:w="3118"/>
        <w:gridCol w:w="5908"/>
      </w:tblGrid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COLLECTION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ANALYSIS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CLIENT NAME: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ADDRESS: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Addr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CONTACT PERSON: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Mr. R</w:t>
            </w:r>
          </w:p>
        </w:tc>
      </w:tr>
    </w:tbl>
    <w:p>
      <w:pPr>
        <w:keepNext/>
        <w:spacing w:before="690" w:after="46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30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The RO reject water shows higher TDS.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0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18"/>
          </w:rPr>
          <w:t>info@nirmaanwatertech.com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