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ABDULLAH NASER ABDULLAH ALRODHAN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AL SURRA STREET 6 BUILDING 16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260012200886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04-03-2025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965 25331303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