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MUKESH KUMAR KATARA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V9709621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SHAFI RASHED JABER ALHAJRI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270266976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FE6452495 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MUKESH KUMAR KATARA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V9709621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MUKESH KUMAR KATARA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V9709621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