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0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r w:rsidRPr="00C2641E">
              <w:rPr>
                <w:rFonts w:ascii="Times New Roman" w:hAnsi="Times New Roman" w:cs="Times New Roman"/>
                <w:b/>
                <w:bCs/>
                <w:sz w:val="20"/>
                <w:szCs w:val="20"/>
              </w:rPr>
              <w:t>ADD:- 0</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12-30-1899</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0</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C0809068</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17929AF3"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thereto, a</w:t>
            </w:r>
            <w:r w:rsidR="00A044AC" w:rsidRPr="00181542">
              <w:rPr>
                <w:rFonts w:asciiTheme="majorBidi" w:hAnsiTheme="majorBidi" w:cstheme="majorBidi"/>
                <w:b/>
                <w:sz w:val="20"/>
                <w:szCs w:val="20"/>
              </w:rPr>
              <w:t>s</w:t>
            </w:r>
            <w:r w:rsidR="00E30B48">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0</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#VALUE!</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074625">
            <w:pPr>
              <w:jc w:val="both"/>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7777777"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Labour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s committed by the Second Party, determined by the Labour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77777777"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77777777"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7777777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77777777" w:rsidR="00AA2A0B" w:rsidRPr="00181542" w:rsidRDefault="00AA2A0B" w:rsidP="00E71EF1">
            <w:pPr>
              <w:rPr>
                <w:bCs/>
                <w:sz w:val="20"/>
                <w:szCs w:val="20"/>
              </w:rPr>
            </w:pPr>
          </w:p>
        </w:tc>
        <w:tc>
          <w:tcPr>
            <w:tcW w:w="3672" w:type="dxa"/>
            <w:gridSpan w:val="2"/>
          </w:tcPr>
          <w:p w14:paraId="3899C5E2" w14:textId="77777777" w:rsidR="00A04118" w:rsidRPr="00181542" w:rsidRDefault="00A04118" w:rsidP="00A04118">
            <w:pPr>
              <w:rPr>
                <w:sz w:val="20"/>
                <w:szCs w:val="20"/>
              </w:rPr>
            </w:pPr>
            <w:r w:rsidRPr="00181542">
              <w:rPr>
                <w:noProof/>
                <w:sz w:val="20"/>
                <w:szCs w:val="20"/>
              </w:rPr>
              <w:drawing>
                <wp:anchor distT="0" distB="0" distL="114300" distR="114300" simplePos="0" relativeHeight="251658240" behindDoc="0" locked="0" layoutInCell="1" allowOverlap="1" wp14:anchorId="7258782D" wp14:editId="463A41C8">
                  <wp:simplePos x="0" y="0"/>
                  <wp:positionH relativeFrom="column">
                    <wp:posOffset>22860</wp:posOffset>
                  </wp:positionH>
                  <wp:positionV relativeFrom="paragraph">
                    <wp:posOffset>392430</wp:posOffset>
                  </wp:positionV>
                  <wp:extent cx="2105025" cy="1352550"/>
                  <wp:effectExtent l="0" t="0" r="0" b="0"/>
                  <wp:wrapNone/>
                  <wp:docPr id="1" name="Picture 0" descr="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MP.jpg"/>
                          <pic:cNvPicPr/>
                        </pic:nvPicPr>
                        <pic:blipFill>
                          <a:blip r:embed="rId6"/>
                          <a:stretch>
                            <a:fillRect/>
                          </a:stretch>
                        </pic:blipFill>
                        <pic:spPr>
                          <a:xfrm>
                            <a:off x="0" y="0"/>
                            <a:ext cx="2105025" cy="1352550"/>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677DB"/>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0B48"/>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3</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236</cp:revision>
  <cp:lastPrinted>2024-02-12T14:01:00Z</cp:lastPrinted>
  <dcterms:created xsi:type="dcterms:W3CDTF">2022-11-03T13:26:00Z</dcterms:created>
  <dcterms:modified xsi:type="dcterms:W3CDTF">2025-05-08T11:26:00Z</dcterms:modified>
</cp:coreProperties>
</file>