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SOROUH YANEA CONTRACTING COMPANY LTD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118 PC  321 MUSCUT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11-05-2025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SABIR ALAM</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U5014046</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 xml:space="preserve"> WIRING ELECTRICIAN ASSISTANT</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100</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