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{{SPNAME}}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{{SPADD}}</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{{VISAISSUEDATE}}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{{PASSPORTNAME}}</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{{PASSPORTNO}}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w:t>
            </w:r>
            <w:proofErr w:type="gramEnd"/>
            <w:r w:rsidRPr="00786847">
              <w:rPr>
                <w:rFonts w:asciiTheme="majorBidi" w:hAnsiTheme="majorBidi" w:cstheme="majorBidi"/>
                <w:b/>
              </w:rPr>
              <w:t>{JOBROLE}}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{{SALARY}}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