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br/>
      </w:r>
    </w:p>
    <w:p>
      <w:pPr>
        <w:jc w:val="center"/>
      </w:pPr>
      <w:r>
        <w:rPr>
          <w:b/>
          <w:color w:val="1F4E79"/>
          <w:sz w:val="54"/>
        </w:rPr>
        <w:t>INDIAN EQUITY INTELLIGENCE PLATFORM</w:t>
      </w:r>
    </w:p>
    <w:p>
      <w:pPr>
        <w:jc w:val="center"/>
      </w:pPr>
      <w:r>
        <w:rPr>
          <w:color w:val="464646"/>
          <w:sz w:val="30"/>
        </w:rPr>
        <w:t>System Architecture, Data Platform &amp; Multi-Agent Decision Support Specification</w:t>
      </w:r>
    </w:p>
    <w:p>
      <w:pPr>
        <w:jc w:val="center"/>
      </w:pPr>
      <w:r>
        <w:rPr>
          <w:i/>
          <w:sz w:val="22"/>
        </w:rPr>
        <w:t>Implementation handoff for an AI-assisted Indian equity research product</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F4E78"/>
          </w:tcPr>
          <w:p>
            <w:r/>
            <w:r>
              <w:rPr>
                <w:b/>
                <w:color w:val="FFFFFF"/>
                <w:sz w:val="17"/>
              </w:rPr>
              <w:t>Document item</w:t>
            </w:r>
          </w:p>
        </w:tc>
        <w:tc>
          <w:tcPr>
            <w:tcW w:type="dxa" w:w="7056"/>
            <w:vAlign w:val="center"/>
            <w:shd w:fill="1F4E78"/>
          </w:tcPr>
          <w:p>
            <w:r/>
            <w:r>
              <w:rPr>
                <w:b/>
                <w:color w:val="FFFFFF"/>
                <w:sz w:val="17"/>
              </w:rPr>
              <w:t>Value</w:t>
            </w:r>
          </w:p>
        </w:tc>
      </w:tr>
      <w:tr>
        <w:tc>
          <w:tcPr>
            <w:tcW w:type="dxa" w:w="2448"/>
            <w:vAlign w:val="center"/>
          </w:tcPr>
          <w:p>
            <w:r/>
            <w:r>
              <w:rPr>
                <w:b w:val="0"/>
                <w:sz w:val="17"/>
              </w:rPr>
              <w:t>Primary scope</w:t>
            </w:r>
          </w:p>
        </w:tc>
        <w:tc>
          <w:tcPr>
            <w:tcW w:type="dxa" w:w="7056"/>
            <w:vAlign w:val="center"/>
          </w:tcPr>
          <w:p>
            <w:r/>
            <w:r>
              <w:rPr>
                <w:b w:val="0"/>
                <w:sz w:val="17"/>
              </w:rPr>
              <w:t>Indian listed equities first; F&amp;O and additional asset classes later</w:t>
            </w:r>
          </w:p>
        </w:tc>
      </w:tr>
      <w:tr>
        <w:tc>
          <w:tcPr>
            <w:tcW w:type="dxa" w:w="2448"/>
            <w:vAlign w:val="center"/>
          </w:tcPr>
          <w:p>
            <w:r/>
            <w:r>
              <w:rPr>
                <w:b w:val="0"/>
                <w:sz w:val="17"/>
              </w:rPr>
              <w:t>Client platforms</w:t>
            </w:r>
          </w:p>
        </w:tc>
        <w:tc>
          <w:tcPr>
            <w:tcW w:type="dxa" w:w="7056"/>
            <w:vAlign w:val="center"/>
          </w:tcPr>
          <w:p>
            <w:r/>
            <w:r>
              <w:rPr>
                <w:b w:val="0"/>
                <w:sz w:val="17"/>
              </w:rPr>
              <w:t>Responsive Web + Android + iOS</w:t>
            </w:r>
          </w:p>
        </w:tc>
      </w:tr>
      <w:tr>
        <w:tc>
          <w:tcPr>
            <w:tcW w:type="dxa" w:w="2448"/>
            <w:vAlign w:val="center"/>
          </w:tcPr>
          <w:p>
            <w:r/>
            <w:r>
              <w:rPr>
                <w:b w:val="0"/>
                <w:sz w:val="17"/>
              </w:rPr>
              <w:t>Core backend</w:t>
            </w:r>
          </w:p>
        </w:tc>
        <w:tc>
          <w:tcPr>
            <w:tcW w:type="dxa" w:w="7056"/>
            <w:vAlign w:val="center"/>
          </w:tcPr>
          <w:p>
            <w:r/>
            <w:r>
              <w:rPr>
                <w:b w:val="0"/>
                <w:sz w:val="17"/>
              </w:rPr>
              <w:t>Python + FastAPI</w:t>
            </w:r>
          </w:p>
        </w:tc>
      </w:tr>
      <w:tr>
        <w:tc>
          <w:tcPr>
            <w:tcW w:type="dxa" w:w="2448"/>
            <w:vAlign w:val="center"/>
          </w:tcPr>
          <w:p>
            <w:r/>
            <w:r>
              <w:rPr>
                <w:b w:val="0"/>
                <w:sz w:val="17"/>
              </w:rPr>
              <w:t>Primary datastore</w:t>
            </w:r>
          </w:p>
        </w:tc>
        <w:tc>
          <w:tcPr>
            <w:tcW w:type="dxa" w:w="7056"/>
            <w:vAlign w:val="center"/>
          </w:tcPr>
          <w:p>
            <w:r/>
            <w:r>
              <w:rPr>
                <w:b w:val="0"/>
                <w:sz w:val="17"/>
              </w:rPr>
              <w:t>PostgreSQL + TimescaleDB</w:t>
            </w:r>
          </w:p>
        </w:tc>
      </w:tr>
      <w:tr>
        <w:tc>
          <w:tcPr>
            <w:tcW w:type="dxa" w:w="2448"/>
            <w:vAlign w:val="center"/>
          </w:tcPr>
          <w:p>
            <w:r/>
            <w:r>
              <w:rPr>
                <w:b w:val="0"/>
                <w:sz w:val="17"/>
              </w:rPr>
              <w:t>Cache / real-time</w:t>
            </w:r>
          </w:p>
        </w:tc>
        <w:tc>
          <w:tcPr>
            <w:tcW w:type="dxa" w:w="7056"/>
            <w:vAlign w:val="center"/>
          </w:tcPr>
          <w:p>
            <w:r/>
            <w:r>
              <w:rPr>
                <w:b w:val="0"/>
                <w:sz w:val="17"/>
              </w:rPr>
              <w:t>Redis + WebSockets</w:t>
            </w:r>
          </w:p>
        </w:tc>
      </w:tr>
      <w:tr>
        <w:tc>
          <w:tcPr>
            <w:tcW w:type="dxa" w:w="2448"/>
            <w:vAlign w:val="center"/>
          </w:tcPr>
          <w:p>
            <w:r/>
            <w:r>
              <w:rPr>
                <w:b w:val="0"/>
                <w:sz w:val="17"/>
              </w:rPr>
              <w:t>AI approach</w:t>
            </w:r>
          </w:p>
        </w:tc>
        <w:tc>
          <w:tcPr>
            <w:tcW w:type="dxa" w:w="7056"/>
            <w:vAlign w:val="center"/>
          </w:tcPr>
          <w:p>
            <w:r/>
            <w:r>
              <w:rPr>
                <w:b w:val="0"/>
                <w:sz w:val="17"/>
              </w:rPr>
              <w:t>Quantitative engines + ML + multi-agent orchestration + adversarial critique</w:t>
            </w:r>
          </w:p>
        </w:tc>
      </w:tr>
      <w:tr>
        <w:tc>
          <w:tcPr>
            <w:tcW w:type="dxa" w:w="2448"/>
            <w:vAlign w:val="center"/>
          </w:tcPr>
          <w:p>
            <w:r/>
            <w:r>
              <w:rPr>
                <w:b w:val="0"/>
                <w:sz w:val="17"/>
              </w:rPr>
              <w:t>Document purpose</w:t>
            </w:r>
          </w:p>
        </w:tc>
        <w:tc>
          <w:tcPr>
            <w:tcW w:type="dxa" w:w="7056"/>
            <w:vAlign w:val="center"/>
          </w:tcPr>
          <w:p>
            <w:r/>
            <w:r>
              <w:rPr>
                <w:b w:val="0"/>
                <w:sz w:val="17"/>
              </w:rPr>
              <w:t>Provide a senior-architect-level blueprint that an implementation agent can convert into code, infrastructure, schemas, APIs and tasks</w:t>
            </w:r>
          </w:p>
        </w:tc>
      </w:tr>
    </w:tbl>
    <w:p/>
    <w:p>
      <w:r>
        <w:rPr>
          <w:b/>
        </w:rPr>
        <w:t xml:space="preserve">Important product principle: </w:t>
      </w:r>
      <w:r>
        <w:t>The platform is a decision-support and market-intelligence system, not a guaranteed-profit engine. It should present evidence, uncertainty, risk, scenarios and confidence so the end user can make the investment decision.</w:t>
      </w:r>
    </w:p>
    <w:p>
      <w:pPr>
        <w:pStyle w:val="Heading1"/>
      </w:pPr>
      <w:r>
        <w:t>Contents</w:t>
      </w:r>
    </w:p>
    <w:p>
      <w:pPr>
        <w:pStyle w:val="ListBullet"/>
        <w:spacing w:after="40"/>
      </w:pPr>
      <w:r>
        <w:t>1. Product vision and goals</w:t>
      </w:r>
    </w:p>
    <w:p>
      <w:pPr>
        <w:pStyle w:val="ListBullet"/>
        <w:spacing w:after="40"/>
      </w:pPr>
      <w:r>
        <w:t>2. Current scope and non-goals</w:t>
      </w:r>
    </w:p>
    <w:p>
      <w:pPr>
        <w:pStyle w:val="ListBullet"/>
        <w:spacing w:after="40"/>
      </w:pPr>
      <w:r>
        <w:t>3. Data-source and broker-API strategy</w:t>
      </w:r>
    </w:p>
    <w:p>
      <w:pPr>
        <w:pStyle w:val="ListBullet"/>
        <w:spacing w:after="40"/>
      </w:pPr>
      <w:r>
        <w:t>4. System architecture</w:t>
      </w:r>
    </w:p>
    <w:p>
      <w:pPr>
        <w:pStyle w:val="ListBullet"/>
        <w:spacing w:after="40"/>
      </w:pPr>
      <w:r>
        <w:t>5. Data platform and data contracts</w:t>
      </w:r>
    </w:p>
    <w:p>
      <w:pPr>
        <w:pStyle w:val="ListBullet"/>
        <w:spacing w:after="40"/>
      </w:pPr>
      <w:r>
        <w:t>6. Multi-agent architecture</w:t>
      </w:r>
    </w:p>
    <w:p>
      <w:pPr>
        <w:pStyle w:val="ListBullet"/>
        <w:spacing w:after="40"/>
      </w:pPr>
      <w:r>
        <w:t>7. Decision and opportunity engine</w:t>
      </w:r>
    </w:p>
    <w:p>
      <w:pPr>
        <w:pStyle w:val="ListBullet"/>
        <w:spacing w:after="40"/>
      </w:pPr>
      <w:r>
        <w:t>8. Entry-price analysis</w:t>
      </w:r>
    </w:p>
    <w:p>
      <w:pPr>
        <w:pStyle w:val="ListBullet"/>
        <w:spacing w:after="40"/>
      </w:pPr>
      <w:r>
        <w:t>9. Risk and adversarial critique</w:t>
      </w:r>
    </w:p>
    <w:p>
      <w:pPr>
        <w:pStyle w:val="ListBullet"/>
        <w:spacing w:after="40"/>
      </w:pPr>
      <w:r>
        <w:t>10. Backtesting and model evaluation</w:t>
      </w:r>
    </w:p>
    <w:p>
      <w:pPr>
        <w:pStyle w:val="ListBullet"/>
        <w:spacing w:after="40"/>
      </w:pPr>
      <w:r>
        <w:t>11. Backend APIs</w:t>
      </w:r>
    </w:p>
    <w:p>
      <w:pPr>
        <w:pStyle w:val="ListBullet"/>
        <w:spacing w:after="40"/>
      </w:pPr>
      <w:r>
        <w:t>12. Real-time architecture</w:t>
      </w:r>
    </w:p>
    <w:p>
      <w:pPr>
        <w:pStyle w:val="ListBullet"/>
        <w:spacing w:after="40"/>
      </w:pPr>
      <w:r>
        <w:t>13. Frontend and mobile architecture</w:t>
      </w:r>
    </w:p>
    <w:p>
      <w:pPr>
        <w:pStyle w:val="ListBullet"/>
        <w:spacing w:after="40"/>
      </w:pPr>
      <w:r>
        <w:t>14. Security and operational architecture</w:t>
      </w:r>
    </w:p>
    <w:p>
      <w:pPr>
        <w:pStyle w:val="ListBullet"/>
        <w:spacing w:after="40"/>
      </w:pPr>
      <w:r>
        <w:t>15. Infrastructure and technology stack</w:t>
      </w:r>
    </w:p>
    <w:p>
      <w:pPr>
        <w:pStyle w:val="ListBullet"/>
        <w:spacing w:after="40"/>
      </w:pPr>
      <w:r>
        <w:t>16. Database schema outline</w:t>
      </w:r>
    </w:p>
    <w:p>
      <w:pPr>
        <w:pStyle w:val="ListBullet"/>
        <w:spacing w:after="40"/>
      </w:pPr>
      <w:r>
        <w:t>17. Example agent contracts</w:t>
      </w:r>
    </w:p>
    <w:p>
      <w:pPr>
        <w:pStyle w:val="ListBullet"/>
        <w:spacing w:after="40"/>
      </w:pPr>
      <w:r>
        <w:t>18. User experience and screen architecture</w:t>
      </w:r>
    </w:p>
    <w:p>
      <w:pPr>
        <w:pStyle w:val="ListBullet"/>
        <w:spacing w:after="40"/>
      </w:pPr>
      <w:r>
        <w:t>19. Development roadmap</w:t>
      </w:r>
    </w:p>
    <w:p>
      <w:pPr>
        <w:pStyle w:val="ListBullet"/>
        <w:spacing w:after="40"/>
      </w:pPr>
      <w:r>
        <w:t>20. Key architectural rules and trade-offs</w:t>
      </w:r>
    </w:p>
    <w:p>
      <w:pPr>
        <w:pStyle w:val="ListBullet"/>
        <w:spacing w:after="40"/>
      </w:pPr>
      <w:r>
        <w:t>21. V1 implementation checklist</w:t>
      </w:r>
    </w:p>
    <w:p>
      <w:pPr>
        <w:pStyle w:val="ListBullet"/>
        <w:spacing w:after="40"/>
      </w:pPr>
      <w:r>
        <w:t>22. Future F&amp;O architecture</w:t>
      </w:r>
    </w:p>
    <w:p>
      <w:pPr>
        <w:pStyle w:val="ListBullet"/>
        <w:spacing w:after="40"/>
      </w:pPr>
      <w:r>
        <w:t>23. Product/financial-data considerations</w:t>
      </w:r>
    </w:p>
    <w:p>
      <w:pPr>
        <w:pStyle w:val="Heading1"/>
      </w:pPr>
      <w:r>
        <w:t>1. Product Vision and Goals</w:t>
      </w:r>
    </w:p>
    <w:p>
      <w:r>
        <w:t>The target product is an Indian-market intelligence platform that continuously evaluates equity-market conditions and individual stocks, combines historical, technical, fundamental and current-market evidence, and produces transparent opportunity analyses. The platform should identify situations that may be interesting for a user to research rather than claim certainty about future returns.</w:t>
      </w:r>
    </w:p>
    <w:p>
      <w:pPr>
        <w:pStyle w:val="Heading2"/>
      </w:pPr>
      <w:r>
        <w:t>The core user question is:</w:t>
      </w:r>
    </w:p>
    <w:p>
      <w:pPr>
        <w:pStyle w:val="CodeBlock"/>
      </w:pPr>
      <w:r>
        <w:rPr>
          <w:rFonts w:ascii="Consolas" w:hAnsi="Consolas"/>
          <w:sz w:val="16"/>
        </w:rPr>
        <w:t>“Given the current Indian market state and this stock’s current price, what does the available evidence say about the opportunity, possible entry zones, risks, invalidation conditions and appropriate time horizon?”</w:t>
      </w:r>
    </w:p>
    <w:p>
      <w:r>
        <w:t>The product should answer that through a sequence of independent analyses, not through a single LLM prompt.</w:t>
      </w:r>
    </w:p>
    <w:p>
      <w:pPr>
        <w:pStyle w:val="CodeBlock"/>
      </w:pPr>
      <w:r>
        <w:rPr>
          <w:rFonts w:ascii="Consolas" w:hAnsi="Consolas"/>
          <w:sz w:val="16"/>
        </w:rPr>
        <w:t>Raw Market Data -&gt; Clean/Validate -&gt; Quantitative Features -&gt; Independent Analyses</w:t>
        <w:br/>
      </w:r>
      <w:r>
        <w:rPr>
          <w:rFonts w:ascii="Consolas" w:hAnsi="Consolas"/>
          <w:sz w:val="16"/>
        </w:rPr>
        <w:t xml:space="preserve">                                             -&gt; Critic / Risk</w:t>
        <w:br/>
      </w:r>
      <w:r>
        <w:rPr>
          <w:rFonts w:ascii="Consolas" w:hAnsi="Consolas"/>
          <w:sz w:val="16"/>
        </w:rPr>
        <w:t xml:space="preserve">                                             -&gt; Decision Synthesis</w:t>
        <w:br/>
      </w:r>
      <w:r>
        <w:rPr>
          <w:rFonts w:ascii="Consolas" w:hAnsi="Consolas"/>
          <w:sz w:val="16"/>
        </w:rPr>
        <w:t xml:space="preserve">                                             -&gt; Evidence + Uncertainty + Scenarios</w:t>
      </w:r>
    </w:p>
    <w:p>
      <w:pPr>
        <w:pStyle w:val="Heading1"/>
      </w:pPr>
      <w:r>
        <w:t>2. Current Scope and Non-Goals</w:t>
      </w:r>
    </w:p>
    <w:p>
      <w:r>
        <w:t>V1 should focus on Indian listed equity stocks. Keep the architecture extensible, but do not implement F&amp;O, commodities and mutual funds in the first production milestone.</w:t>
      </w:r>
    </w:p>
    <w:p>
      <w:pPr>
        <w:pStyle w:val="Heading2"/>
      </w:pPr>
      <w:r>
        <w:t>V1 universe and evidence types:</w:t>
      </w:r>
    </w:p>
    <w:p>
      <w:pPr>
        <w:pStyle w:val="ListBullet"/>
        <w:spacing w:after="40"/>
      </w:pPr>
      <w:r>
        <w:t>NSE equities first; BSE can be added in the data-normalization layer</w:t>
      </w:r>
    </w:p>
    <w:p>
      <w:pPr>
        <w:pStyle w:val="ListBullet"/>
        <w:spacing w:after="40"/>
      </w:pPr>
      <w:r>
        <w:t>NIFTY 50 / NIFTY 100 as an initial high-quality universe, then expand to the broader equity universe</w:t>
      </w:r>
    </w:p>
    <w:p>
      <w:pPr>
        <w:pStyle w:val="ListBullet"/>
        <w:spacing w:after="40"/>
      </w:pPr>
      <w:r>
        <w:t>OHLC, volume, VWAP, market capitalization and corporate actions</w:t>
      </w:r>
    </w:p>
    <w:p>
      <w:pPr>
        <w:pStyle w:val="ListBullet"/>
        <w:spacing w:after="40"/>
      </w:pPr>
      <w:r>
        <w:t>Fundamentals such as revenue, profit, EPS, ROE, ROCE, debt, cash flow, valuation metrics, shareholding and earnings context</w:t>
      </w:r>
    </w:p>
    <w:p>
      <w:pPr>
        <w:pStyle w:val="ListBullet"/>
        <w:spacing w:after="40"/>
      </w:pPr>
      <w:r>
        <w:t>Technical indicators such as RSI, MACD, EMA/SMA, ATR, Bollinger Bands, ADX, support/resistance, volume behavior and momentum</w:t>
      </w:r>
    </w:p>
    <w:p>
      <w:pPr>
        <w:pStyle w:val="ListBullet"/>
        <w:spacing w:after="40"/>
      </w:pPr>
      <w:r>
        <w:t>Market context including NIFTY, sector indices, India VIX, breadth and relative strength</w:t>
      </w:r>
    </w:p>
    <w:p>
      <w:pPr>
        <w:pStyle w:val="Heading2"/>
      </w:pPr>
      <w:r>
        <w:t>Non-goals for V1:</w:t>
      </w:r>
    </w:p>
    <w:p>
      <w:pPr>
        <w:pStyle w:val="ListBullet"/>
        <w:spacing w:after="40"/>
      </w:pPr>
      <w:r>
        <w:t>Direct order execution and automated trading</w:t>
      </w:r>
    </w:p>
    <w:p>
      <w:pPr>
        <w:pStyle w:val="ListBullet"/>
        <w:spacing w:after="40"/>
      </w:pPr>
      <w:r>
        <w:t>Guaranteeing profit or returns</w:t>
      </w:r>
    </w:p>
    <w:p>
      <w:pPr>
        <w:pStyle w:val="ListBullet"/>
        <w:spacing w:after="40"/>
      </w:pPr>
      <w:r>
        <w:t>Using an LLM as the source of truth for prices or calculations</w:t>
      </w:r>
    </w:p>
    <w:p>
      <w:pPr>
        <w:pStyle w:val="ListBullet"/>
        <w:spacing w:after="40"/>
      </w:pPr>
      <w:r>
        <w:t>Allowing unvalidated public data directly into recommendation logic</w:t>
      </w:r>
    </w:p>
    <w:p>
      <w:pPr>
        <w:pStyle w:val="ListBullet"/>
        <w:spacing w:after="40"/>
      </w:pPr>
      <w:r>
        <w:t>F&amp;O/Options strategy automation before the equity engine is stable and backtested</w:t>
      </w:r>
    </w:p>
    <w:p>
      <w:pPr>
        <w:pStyle w:val="Heading1"/>
      </w:pPr>
      <w:r>
        <w:t>3. Data-Source and Broker-API Strategy</w:t>
      </w:r>
    </w:p>
    <w:p>
      <w:r>
        <w:t>The earlier architecture discussion identified broker APIs as a practical way to obtain market data rather than relying only on direct exchange endpoints. The exact product terms, quotas, segment coverage and historical depth must be verified against each provider’s current documentation before production because pricing and API policies can change.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1F4E78"/>
          </w:tcPr>
          <w:p>
            <w:r/>
            <w:r>
              <w:rPr>
                <w:b/>
                <w:color w:val="FFFFFF"/>
                <w:sz w:val="17"/>
              </w:rPr>
              <w:t>Provider</w:t>
            </w:r>
          </w:p>
        </w:tc>
        <w:tc>
          <w:tcPr>
            <w:tcW w:type="dxa" w:w="2160"/>
            <w:vAlign w:val="center"/>
            <w:shd w:fill="1F4E78"/>
          </w:tcPr>
          <w:p>
            <w:r/>
            <w:r>
              <w:rPr>
                <w:b/>
                <w:color w:val="FFFFFF"/>
                <w:sz w:val="17"/>
              </w:rPr>
              <w:t>Earlier assessment</w:t>
            </w:r>
          </w:p>
        </w:tc>
        <w:tc>
          <w:tcPr>
            <w:tcW w:type="dxa" w:w="4320"/>
            <w:vAlign w:val="center"/>
            <w:shd w:fill="1F4E78"/>
          </w:tcPr>
          <w:p>
            <w:r/>
            <w:r>
              <w:rPr>
                <w:b/>
                <w:color w:val="FFFFFF"/>
                <w:sz w:val="17"/>
              </w:rPr>
              <w:t>Useful capabilities for this project</w:t>
            </w:r>
          </w:p>
        </w:tc>
        <w:tc>
          <w:tcPr>
            <w:tcW w:type="dxa" w:w="2016"/>
            <w:vAlign w:val="center"/>
            <w:shd w:fill="1F4E78"/>
          </w:tcPr>
          <w:p>
            <w:r/>
            <w:r>
              <w:rPr>
                <w:b/>
                <w:color w:val="FFFFFF"/>
                <w:sz w:val="17"/>
              </w:rPr>
              <w:t>Architectural note</w:t>
            </w:r>
          </w:p>
        </w:tc>
      </w:tr>
      <w:tr>
        <w:tc>
          <w:tcPr>
            <w:tcW w:type="dxa" w:w="1440"/>
            <w:vAlign w:val="center"/>
          </w:tcPr>
          <w:p>
            <w:r/>
            <w:r>
              <w:rPr>
                <w:b w:val="0"/>
                <w:sz w:val="17"/>
              </w:rPr>
              <w:t>FYERS</w:t>
            </w:r>
          </w:p>
        </w:tc>
        <w:tc>
          <w:tcPr>
            <w:tcW w:type="dxa" w:w="2160"/>
            <w:vAlign w:val="center"/>
          </w:tcPr>
          <w:p>
            <w:r/>
            <w:r>
              <w:rPr>
                <w:b w:val="0"/>
                <w:sz w:val="17"/>
              </w:rPr>
              <w:t>API/data access presented as a free option</w:t>
            </w:r>
          </w:p>
        </w:tc>
        <w:tc>
          <w:tcPr>
            <w:tcW w:type="dxa" w:w="4320"/>
            <w:vAlign w:val="center"/>
          </w:tcPr>
          <w:p>
            <w:r/>
            <w:r>
              <w:rPr>
                <w:b w:val="0"/>
                <w:sz w:val="17"/>
              </w:rPr>
              <w:t>Live market data, quotes, historical data, F&amp;O/equity coverage, commodity support was discussed</w:t>
            </w:r>
          </w:p>
        </w:tc>
        <w:tc>
          <w:tcPr>
            <w:tcW w:type="dxa" w:w="2016"/>
            <w:vAlign w:val="center"/>
          </w:tcPr>
          <w:p>
            <w:r/>
            <w:r>
              <w:rPr>
                <w:b w:val="0"/>
                <w:sz w:val="17"/>
              </w:rPr>
              <w:t>Good candidate for initial prototyping; validate current quotas, segment coverage and expired-contract history</w:t>
            </w:r>
          </w:p>
        </w:tc>
      </w:tr>
      <w:tr>
        <w:tc>
          <w:tcPr>
            <w:tcW w:type="dxa" w:w="1440"/>
            <w:vAlign w:val="center"/>
          </w:tcPr>
          <w:p>
            <w:r/>
            <w:r>
              <w:rPr>
                <w:b w:val="0"/>
                <w:sz w:val="17"/>
              </w:rPr>
              <w:t>Upstox</w:t>
            </w:r>
          </w:p>
        </w:tc>
        <w:tc>
          <w:tcPr>
            <w:tcW w:type="dxa" w:w="2160"/>
            <w:vAlign w:val="center"/>
          </w:tcPr>
          <w:p>
            <w:r/>
            <w:r>
              <w:rPr>
                <w:b w:val="0"/>
                <w:sz w:val="17"/>
              </w:rPr>
              <w:t>API/data access presented as free</w:t>
            </w:r>
          </w:p>
        </w:tc>
        <w:tc>
          <w:tcPr>
            <w:tcW w:type="dxa" w:w="4320"/>
            <w:vAlign w:val="center"/>
          </w:tcPr>
          <w:p>
            <w:r/>
            <w:r>
              <w:rPr>
                <w:b w:val="0"/>
                <w:sz w:val="17"/>
              </w:rPr>
              <w:t>Quotes, live data, historical candles, F&amp;O/options data; analytics-token concept was discussed</w:t>
            </w:r>
          </w:p>
        </w:tc>
        <w:tc>
          <w:tcPr>
            <w:tcW w:type="dxa" w:w="2016"/>
            <w:vAlign w:val="center"/>
          </w:tcPr>
          <w:p>
            <w:r/>
            <w:r>
              <w:rPr>
                <w:b w:val="0"/>
                <w:sz w:val="17"/>
              </w:rPr>
              <w:t>Strong candidate for market-data experiments and analytics; validate limits and historical availability</w:t>
            </w:r>
          </w:p>
        </w:tc>
      </w:tr>
      <w:tr>
        <w:tc>
          <w:tcPr>
            <w:tcW w:type="dxa" w:w="1440"/>
            <w:vAlign w:val="center"/>
          </w:tcPr>
          <w:p>
            <w:r/>
            <w:r>
              <w:rPr>
                <w:b w:val="0"/>
                <w:sz w:val="17"/>
              </w:rPr>
              <w:t>Angel One SmartAPI</w:t>
            </w:r>
          </w:p>
        </w:tc>
        <w:tc>
          <w:tcPr>
            <w:tcW w:type="dxa" w:w="2160"/>
            <w:vAlign w:val="center"/>
          </w:tcPr>
          <w:p>
            <w:r/>
            <w:r>
              <w:rPr>
                <w:b w:val="0"/>
                <w:sz w:val="17"/>
              </w:rPr>
              <w:t>API presented as free</w:t>
            </w:r>
          </w:p>
        </w:tc>
        <w:tc>
          <w:tcPr>
            <w:tcW w:type="dxa" w:w="4320"/>
            <w:vAlign w:val="center"/>
          </w:tcPr>
          <w:p>
            <w:r/>
            <w:r>
              <w:rPr>
                <w:b w:val="0"/>
                <w:sz w:val="17"/>
              </w:rPr>
              <w:t>Full market data including LTP, OHLC, volume, OI, total buy/sell quantity and top-of-book depth; historical endpoints across NSE/BSE/F&amp;O/MCX were discussed</w:t>
            </w:r>
          </w:p>
        </w:tc>
        <w:tc>
          <w:tcPr>
            <w:tcW w:type="dxa" w:w="2016"/>
            <w:vAlign w:val="center"/>
          </w:tcPr>
          <w:p>
            <w:r/>
            <w:r>
              <w:rPr>
                <w:b w:val="0"/>
                <w:sz w:val="17"/>
              </w:rPr>
              <w:t>Broad exchange/segment coverage; validate current rate limits, data permissions and historical depth</w:t>
            </w:r>
          </w:p>
        </w:tc>
      </w:tr>
      <w:tr>
        <w:tc>
          <w:tcPr>
            <w:tcW w:type="dxa" w:w="1440"/>
            <w:vAlign w:val="center"/>
          </w:tcPr>
          <w:p>
            <w:r/>
            <w:r>
              <w:rPr>
                <w:b w:val="0"/>
                <w:sz w:val="17"/>
              </w:rPr>
              <w:t>Dhan</w:t>
            </w:r>
          </w:p>
        </w:tc>
        <w:tc>
          <w:tcPr>
            <w:tcW w:type="dxa" w:w="2160"/>
            <w:vAlign w:val="center"/>
          </w:tcPr>
          <w:p>
            <w:r/>
            <w:r>
              <w:rPr>
                <w:b w:val="0"/>
                <w:sz w:val="17"/>
              </w:rPr>
              <w:t>Trading API described as free; data API described as paid in the prior discussion</w:t>
            </w:r>
          </w:p>
        </w:tc>
        <w:tc>
          <w:tcPr>
            <w:tcW w:type="dxa" w:w="4320"/>
            <w:vAlign w:val="center"/>
          </w:tcPr>
          <w:p>
            <w:r/>
            <w:r>
              <w:rPr>
                <w:b w:val="0"/>
                <w:sz w:val="17"/>
              </w:rPr>
              <w:t>Historical, real-time data, option chain, OI, Greeks and market data</w:t>
            </w:r>
          </w:p>
        </w:tc>
        <w:tc>
          <w:tcPr>
            <w:tcW w:type="dxa" w:w="2016"/>
            <w:vAlign w:val="center"/>
          </w:tcPr>
          <w:p>
            <w:r/>
            <w:r>
              <w:rPr>
                <w:b w:val="0"/>
                <w:sz w:val="17"/>
              </w:rPr>
              <w:t>Consider when paid market-data access is acceptable</w:t>
            </w:r>
          </w:p>
        </w:tc>
      </w:tr>
      <w:tr>
        <w:tc>
          <w:tcPr>
            <w:tcW w:type="dxa" w:w="1440"/>
            <w:vAlign w:val="center"/>
          </w:tcPr>
          <w:p>
            <w:r/>
            <w:r>
              <w:rPr>
                <w:b w:val="0"/>
                <w:sz w:val="17"/>
              </w:rPr>
              <w:t>Zerodha Kite Connect</w:t>
            </w:r>
          </w:p>
        </w:tc>
        <w:tc>
          <w:tcPr>
            <w:tcW w:type="dxa" w:w="2160"/>
            <w:vAlign w:val="center"/>
          </w:tcPr>
          <w:p>
            <w:r/>
            <w:r>
              <w:rPr>
                <w:b w:val="0"/>
                <w:sz w:val="17"/>
              </w:rPr>
              <w:t>Market-data API described as paid in prior discussion</w:t>
            </w:r>
          </w:p>
        </w:tc>
        <w:tc>
          <w:tcPr>
            <w:tcW w:type="dxa" w:w="4320"/>
            <w:vAlign w:val="center"/>
          </w:tcPr>
          <w:p>
            <w:r/>
            <w:r>
              <w:rPr>
                <w:b w:val="0"/>
                <w:sz w:val="17"/>
              </w:rPr>
              <w:t>Mature live and historical ecosystem</w:t>
            </w:r>
          </w:p>
        </w:tc>
        <w:tc>
          <w:tcPr>
            <w:tcW w:type="dxa" w:w="2016"/>
            <w:vAlign w:val="center"/>
          </w:tcPr>
          <w:p>
            <w:r/>
            <w:r>
              <w:rPr>
                <w:b w:val="0"/>
                <w:sz w:val="17"/>
              </w:rPr>
              <w:t>Strong mature ecosystem, but not the default choice when the primary constraint is zero API cost</w:t>
            </w:r>
          </w:p>
        </w:tc>
      </w:tr>
    </w:tbl>
    <w:p/>
    <w:p>
      <w:r>
        <w:t>Important distinction: “API is free” and “all market data is free” are not equivalent. Also, broker market data is not the same thing as full exchange order-level data. Full order-by-order / tick-by-tick / deep historical order data may require licensed or commercial feeds.</w:t>
      </w:r>
    </w:p>
    <w:p>
      <w:pPr>
        <w:pStyle w:val="Heading2"/>
      </w:pPr>
      <w:r>
        <w:t>For this product, normalize all providers behind one internal interface so the rest of the system is vendor-independent:</w:t>
      </w:r>
    </w:p>
    <w:p>
      <w:pPr>
        <w:pStyle w:val="CodeBlock"/>
      </w:pPr>
      <w:r>
        <w:rPr>
          <w:rFonts w:ascii="Consolas" w:hAnsi="Consolas"/>
          <w:sz w:val="16"/>
        </w:rPr>
        <w:t>MarketDataProvider</w:t>
        <w:br/>
      </w:r>
      <w:r>
        <w:rPr>
          <w:rFonts w:ascii="Consolas" w:hAnsi="Consolas"/>
          <w:sz w:val="16"/>
        </w:rPr>
        <w:t xml:space="preserve">  get_quote(symbol)</w:t>
        <w:br/>
      </w:r>
      <w:r>
        <w:rPr>
          <w:rFonts w:ascii="Consolas" w:hAnsi="Consolas"/>
          <w:sz w:val="16"/>
        </w:rPr>
        <w:t xml:space="preserve">  get_candles(symbol, timeframe, start, end)</w:t>
        <w:br/>
      </w:r>
      <w:r>
        <w:rPr>
          <w:rFonts w:ascii="Consolas" w:hAnsi="Consolas"/>
          <w:sz w:val="16"/>
        </w:rPr>
        <w:t xml:space="preserve">  get_market_depth(symbol)</w:t>
        <w:br/>
      </w:r>
      <w:r>
        <w:rPr>
          <w:rFonts w:ascii="Consolas" w:hAnsi="Consolas"/>
          <w:sz w:val="16"/>
        </w:rPr>
        <w:t xml:space="preserve">  get_instrument_master()</w:t>
        <w:br/>
      </w:r>
      <w:r>
        <w:rPr>
          <w:rFonts w:ascii="Consolas" w:hAnsi="Consolas"/>
          <w:sz w:val="16"/>
        </w:rPr>
        <w:t xml:space="preserve">  get_corporate_actions(symbol)</w:t>
        <w:br/>
      </w:r>
      <w:r>
        <w:rPr>
          <w:rFonts w:ascii="Consolas" w:hAnsi="Consolas"/>
          <w:sz w:val="16"/>
        </w:rPr>
        <w:t xml:space="preserve">  get_option_chain(symbol, expiry)      # future F&amp;O phase</w:t>
        <w:br/>
      </w:r>
      <w:r>
        <w:rPr>
          <w:rFonts w:ascii="Consolas" w:hAnsi="Consolas"/>
          <w:sz w:val="16"/>
        </w:rPr>
        <w:t xml:space="preserve">  get_historical_oi(symbol, start, end) # future F&amp;O phase</w:t>
      </w:r>
    </w:p>
    <w:p>
      <w:pPr>
        <w:pStyle w:val="Heading1"/>
      </w:pPr>
      <w:r>
        <w:t>4. System Architecture</w:t>
      </w:r>
    </w:p>
    <w:p>
      <w:pPr>
        <w:pStyle w:val="CodeBlock"/>
      </w:pPr>
      <w:r>
        <w:rPr>
          <w:rFonts w:ascii="Consolas" w:hAnsi="Consolas"/>
          <w:sz w:val="16"/>
        </w:rPr>
        <w:t xml:space="preserve">                          +---------------------------+</w:t>
        <w:br/>
      </w:r>
      <w:r>
        <w:rPr>
          <w:rFonts w:ascii="Consolas" w:hAnsi="Consolas"/>
          <w:sz w:val="16"/>
        </w:rPr>
        <w:t xml:space="preserve">                          |   Web / Android / iOS     |</w:t>
        <w:br/>
      </w:r>
      <w:r>
        <w:rPr>
          <w:rFonts w:ascii="Consolas" w:hAnsi="Consolas"/>
          <w:sz w:val="16"/>
        </w:rPr>
        <w:t xml:space="preserve">                          | Responsive user clients   |</w:t>
        <w:br/>
      </w:r>
      <w:r>
        <w:rPr>
          <w:rFonts w:ascii="Consolas" w:hAnsi="Consolas"/>
          <w:sz w:val="16"/>
        </w:rPr>
        <w:t xml:space="preserve">                          +-------------+-------------+</w:t>
        <w:br/>
      </w:r>
      <w:r>
        <w:rPr>
          <w:rFonts w:ascii="Consolas" w:hAnsi="Consolas"/>
          <w:sz w:val="16"/>
        </w:rPr>
        <w:t xml:space="preserve">                                        |</w:t>
        <w:br/>
      </w:r>
      <w:r>
        <w:rPr>
          <w:rFonts w:ascii="Consolas" w:hAnsi="Consolas"/>
          <w:sz w:val="16"/>
        </w:rPr>
        <w:t xml:space="preserve">                                  API Gateway</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Auth / User / Portfolio                      Market / Analysis APIs</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Decision Platform</w:t>
        <w:br/>
      </w:r>
      <w:r>
        <w:rPr>
          <w:rFonts w:ascii="Consolas" w:hAnsi="Consolas"/>
          <w:sz w:val="16"/>
        </w:rPr>
        <w:t xml:space="preserve">                                        |</w:t>
        <w:br/>
      </w:r>
      <w:r>
        <w:rPr>
          <w:rFonts w:ascii="Consolas" w:hAnsi="Consolas"/>
          <w:sz w:val="16"/>
        </w:rPr>
        <w:t xml:space="preserve">        +----------------+--------------+----------------+----------------+</w:t>
        <w:br/>
      </w:r>
      <w:r>
        <w:rPr>
          <w:rFonts w:ascii="Consolas" w:hAnsi="Consolas"/>
          <w:sz w:val="16"/>
        </w:rPr>
        <w:t xml:space="preserve">        |                |               |                |                |</w:t>
        <w:br/>
      </w:r>
      <w:r>
        <w:rPr>
          <w:rFonts w:ascii="Consolas" w:hAnsi="Consolas"/>
          <w:sz w:val="16"/>
        </w:rPr>
        <w:t xml:space="preserve">  Market Regime     Historical      Technical       Fundamental       Risk</w:t>
        <w:br/>
      </w:r>
      <w:r>
        <w:rPr>
          <w:rFonts w:ascii="Consolas" w:hAnsi="Consolas"/>
          <w:sz w:val="16"/>
        </w:rPr>
        <w:t xml:space="preserve">     Engine           Engine          Engine           Engine          Engine</w:t>
        <w:br/>
      </w:r>
      <w:r>
        <w:rPr>
          <w:rFonts w:ascii="Consolas" w:hAnsi="Consolas"/>
          <w:sz w:val="16"/>
        </w:rPr>
        <w:t xml:space="preserve">        |                |               |                |                |</w:t>
        <w:br/>
      </w:r>
      <w:r>
        <w:rPr>
          <w:rFonts w:ascii="Consolas" w:hAnsi="Consolas"/>
          <w:sz w:val="16"/>
        </w:rPr>
        <w:t xml:space="preserve">        +----------------+---------------+----------------+---------------+</w:t>
        <w:br/>
      </w:r>
      <w:r>
        <w:rPr>
          <w:rFonts w:ascii="Consolas" w:hAnsi="Consolas"/>
          <w:sz w:val="16"/>
        </w:rPr>
        <w:t xml:space="preserve">                                        |</w:t>
        <w:br/>
      </w:r>
      <w:r>
        <w:rPr>
          <w:rFonts w:ascii="Consolas" w:hAnsi="Consolas"/>
          <w:sz w:val="16"/>
        </w:rPr>
        <w:t xml:space="preserve">                                Entry / Opportunity</w:t>
        <w:br/>
      </w:r>
      <w:r>
        <w:rPr>
          <w:rFonts w:ascii="Consolas" w:hAnsi="Consolas"/>
          <w:sz w:val="16"/>
        </w:rPr>
        <w:t xml:space="preserve">                                        |</w:t>
        <w:br/>
      </w:r>
      <w:r>
        <w:rPr>
          <w:rFonts w:ascii="Consolas" w:hAnsi="Consolas"/>
          <w:sz w:val="16"/>
        </w:rPr>
        <w:t xml:space="preserve">                               Critic / Validator</w:t>
        <w:br/>
      </w:r>
      <w:r>
        <w:rPr>
          <w:rFonts w:ascii="Consolas" w:hAnsi="Consolas"/>
          <w:sz w:val="16"/>
        </w:rPr>
        <w:t xml:space="preserve">                                        |</w:t>
        <w:br/>
      </w:r>
      <w:r>
        <w:rPr>
          <w:rFonts w:ascii="Consolas" w:hAnsi="Consolas"/>
          <w:sz w:val="16"/>
        </w:rPr>
        <w:t xml:space="preserve">                               Decision Synthesizer</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Opportunity State              Evidence / Reasons</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User-facing insight</w:t>
        <w:br/>
      </w:r>
      <w:r>
        <w:rPr>
          <w:rFonts w:ascii="Consolas" w:hAnsi="Consolas"/>
          <w:sz w:val="16"/>
        </w:rPr>
        <w:br/>
      </w:r>
      <w:r>
        <w:rPr>
          <w:rFonts w:ascii="Consolas" w:hAnsi="Consolas"/>
          <w:sz w:val="16"/>
        </w:rPr>
        <w:t>Data foundation below all of the above:</w:t>
        <w:br/>
      </w:r>
      <w:r>
        <w:rPr>
          <w:rFonts w:ascii="Consolas" w:hAnsi="Consolas"/>
          <w:sz w:val="16"/>
        </w:rPr>
        <w:t>Providers -&gt; Ingestion -&gt; Validation -&gt; Normalization -&gt; Time-series DB -&gt; Features -&gt; Cache</w:t>
      </w:r>
    </w:p>
    <w:p>
      <w:pPr>
        <w:pStyle w:val="Heading2"/>
      </w:pPr>
      <w:r>
        <w:t>Recommended deployment model:</w:t>
      </w:r>
    </w:p>
    <w:p>
      <w:pPr>
        <w:pStyle w:val="ListBullet"/>
        <w:spacing w:after="40"/>
      </w:pPr>
      <w:r>
        <w:t>Start as a modular monolith rather than premature microservices.</w:t>
      </w:r>
    </w:p>
    <w:p>
      <w:pPr>
        <w:pStyle w:val="ListBullet"/>
        <w:spacing w:after="40"/>
      </w:pPr>
      <w:r>
        <w:t>Keep clear internal modules and interfaces so data, analysis and AI components can be extracted into services later.</w:t>
      </w:r>
    </w:p>
    <w:p>
      <w:pPr>
        <w:pStyle w:val="ListBullet"/>
        <w:spacing w:after="40"/>
      </w:pPr>
      <w:r>
        <w:t>Parallelize independent agent/engine computations for latency, but centralize final decision synthesis.</w:t>
      </w:r>
    </w:p>
    <w:p>
      <w:pPr>
        <w:pStyle w:val="Heading1"/>
      </w:pPr>
      <w:r>
        <w:t>5. Data Platform and Data Contracts</w:t>
      </w:r>
    </w:p>
    <w:p>
      <w:r>
        <w:t>Data quality is a higher-order dependency than the LLM. The platform should preserve raw provider data, normalized market data, derived features and recommendation snapshots separately.</w:t>
      </w:r>
    </w:p>
    <w:p>
      <w:pPr>
        <w:pStyle w:val="CodeBlock"/>
      </w:pPr>
      <w:r>
        <w:rPr>
          <w:rFonts w:ascii="Consolas" w:hAnsi="Consolas"/>
          <w:sz w:val="16"/>
        </w:rPr>
        <w:t>Raw provider layer</w:t>
        <w:br/>
      </w:r>
      <w:r>
        <w:rPr>
          <w:rFonts w:ascii="Consolas" w:hAnsi="Consolas"/>
          <w:sz w:val="16"/>
        </w:rPr>
        <w:t xml:space="preserve">  raw_market_data</w:t>
        <w:br/>
      </w:r>
      <w:r>
        <w:rPr>
          <w:rFonts w:ascii="Consolas" w:hAnsi="Consolas"/>
          <w:sz w:val="16"/>
        </w:rPr>
        <w:br/>
      </w:r>
      <w:r>
        <w:rPr>
          <w:rFonts w:ascii="Consolas" w:hAnsi="Consolas"/>
          <w:sz w:val="16"/>
        </w:rPr>
        <w:t>Normalized layer</w:t>
        <w:br/>
      </w:r>
      <w:r>
        <w:rPr>
          <w:rFonts w:ascii="Consolas" w:hAnsi="Consolas"/>
          <w:sz w:val="16"/>
        </w:rPr>
        <w:t xml:space="preserve">  market_candles</w:t>
        <w:br/>
      </w:r>
      <w:r>
        <w:rPr>
          <w:rFonts w:ascii="Consolas" w:hAnsi="Consolas"/>
          <w:sz w:val="16"/>
        </w:rPr>
        <w:t xml:space="preserve">  instruments</w:t>
        <w:br/>
      </w:r>
      <w:r>
        <w:rPr>
          <w:rFonts w:ascii="Consolas" w:hAnsi="Consolas"/>
          <w:sz w:val="16"/>
        </w:rPr>
        <w:t xml:space="preserve">  corporate_actions</w:t>
        <w:br/>
      </w:r>
      <w:r>
        <w:rPr>
          <w:rFonts w:ascii="Consolas" w:hAnsi="Consolas"/>
          <w:sz w:val="16"/>
        </w:rPr>
        <w:t xml:space="preserve">  fundamentals</w:t>
        <w:br/>
      </w:r>
      <w:r>
        <w:rPr>
          <w:rFonts w:ascii="Consolas" w:hAnsi="Consolas"/>
          <w:sz w:val="16"/>
        </w:rPr>
        <w:br/>
      </w:r>
      <w:r>
        <w:rPr>
          <w:rFonts w:ascii="Consolas" w:hAnsi="Consolas"/>
          <w:sz w:val="16"/>
        </w:rPr>
        <w:t>Derived feature layer</w:t>
        <w:br/>
      </w:r>
      <w:r>
        <w:rPr>
          <w:rFonts w:ascii="Consolas" w:hAnsi="Consolas"/>
          <w:sz w:val="16"/>
        </w:rPr>
        <w:t xml:space="preserve">  technical_indicators</w:t>
        <w:br/>
      </w:r>
      <w:r>
        <w:rPr>
          <w:rFonts w:ascii="Consolas" w:hAnsi="Consolas"/>
          <w:sz w:val="16"/>
        </w:rPr>
        <w:t xml:space="preserve">  market_regime_features</w:t>
        <w:br/>
      </w:r>
      <w:r>
        <w:rPr>
          <w:rFonts w:ascii="Consolas" w:hAnsi="Consolas"/>
          <w:sz w:val="16"/>
        </w:rPr>
        <w:t xml:space="preserve">  valuation_features</w:t>
        <w:br/>
      </w:r>
      <w:r>
        <w:rPr>
          <w:rFonts w:ascii="Consolas" w:hAnsi="Consolas"/>
          <w:sz w:val="16"/>
        </w:rPr>
        <w:t xml:space="preserve">  relative_strength_features</w:t>
        <w:br/>
      </w:r>
      <w:r>
        <w:rPr>
          <w:rFonts w:ascii="Consolas" w:hAnsi="Consolas"/>
          <w:sz w:val="16"/>
        </w:rPr>
        <w:br/>
      </w:r>
      <w:r>
        <w:rPr>
          <w:rFonts w:ascii="Consolas" w:hAnsi="Consolas"/>
          <w:sz w:val="16"/>
        </w:rPr>
        <w:t>Decision layer</w:t>
        <w:br/>
      </w:r>
      <w:r>
        <w:rPr>
          <w:rFonts w:ascii="Consolas" w:hAnsi="Consolas"/>
          <w:sz w:val="16"/>
        </w:rPr>
        <w:t xml:space="preserve">  agent_runs</w:t>
        <w:br/>
      </w:r>
      <w:r>
        <w:rPr>
          <w:rFonts w:ascii="Consolas" w:hAnsi="Consolas"/>
          <w:sz w:val="16"/>
        </w:rPr>
        <w:t xml:space="preserve">  recommendation_snapshots</w:t>
        <w:br/>
      </w:r>
      <w:r>
        <w:rPr>
          <w:rFonts w:ascii="Consolas" w:hAnsi="Consolas"/>
          <w:sz w:val="16"/>
        </w:rPr>
        <w:t xml:space="preserve">  evidence_items</w:t>
        <w:br/>
      </w:r>
      <w:r>
        <w:rPr>
          <w:rFonts w:ascii="Consolas" w:hAnsi="Consolas"/>
          <w:sz w:val="16"/>
        </w:rPr>
        <w:t xml:space="preserve">  outcome_evaluations</w:t>
      </w:r>
    </w:p>
    <w:p>
      <w:pPr>
        <w:pStyle w:val="Heading2"/>
      </w:pPr>
      <w:r>
        <w:t>Recommended data integrity practices:</w:t>
      </w:r>
    </w:p>
    <w:p>
      <w:pPr>
        <w:pStyle w:val="ListBullet"/>
        <w:spacing w:after="40"/>
      </w:pPr>
      <w:r>
        <w:t>Timestamp every market observation and every agent result.</w:t>
      </w:r>
    </w:p>
    <w:p>
      <w:pPr>
        <w:pStyle w:val="ListBullet"/>
        <w:spacing w:after="40"/>
      </w:pPr>
      <w:r>
        <w:t>Store source/provider identifiers and data timestamps.</w:t>
      </w:r>
    </w:p>
    <w:p>
      <w:pPr>
        <w:pStyle w:val="ListBullet"/>
        <w:spacing w:after="40"/>
      </w:pPr>
      <w:r>
        <w:t>Version feature calculations and models.</w:t>
      </w:r>
    </w:p>
    <w:p>
      <w:pPr>
        <w:pStyle w:val="ListBullet"/>
        <w:spacing w:after="40"/>
      </w:pPr>
      <w:r>
        <w:t>Handle stock splits, bonuses, dividends, rights issues, mergers and demergers through a corporate-action layer.</w:t>
      </w:r>
    </w:p>
    <w:p>
      <w:pPr>
        <w:pStyle w:val="ListBullet"/>
        <w:spacing w:after="40"/>
      </w:pPr>
      <w:r>
        <w:t>Prevent look-ahead bias by enforcing time-aware joins and as-of data access.</w:t>
      </w:r>
    </w:p>
    <w:p>
      <w:pPr>
        <w:pStyle w:val="ListBullet"/>
        <w:spacing w:after="40"/>
      </w:pPr>
      <w:r>
        <w:t>Keep raw data immutable where licensing permits and rebuild normalized/derived data from known source versions.</w:t>
      </w:r>
    </w:p>
    <w:p>
      <w:pPr>
        <w:pStyle w:val="Heading1"/>
      </w:pPr>
      <w:r>
        <w:t>6. Multi-Agent Architecture</w:t>
      </w:r>
    </w:p>
    <w:p>
      <w:r>
        <w:t>The multi-agent system is best treated as a structured evidence pipeline. Agents should not “chat freely” and then produce a recommendation. Each agent should return a typed, auditable result.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504"/>
            <w:vAlign w:val="center"/>
            <w:shd w:fill="1F4E78"/>
          </w:tcPr>
          <w:p>
            <w:r/>
            <w:r>
              <w:rPr>
                <w:b/>
                <w:color w:val="FFFFFF"/>
                <w:sz w:val="17"/>
              </w:rPr>
              <w:t>#</w:t>
            </w:r>
          </w:p>
        </w:tc>
        <w:tc>
          <w:tcPr>
            <w:tcW w:type="dxa" w:w="2232"/>
            <w:vAlign w:val="center"/>
            <w:shd w:fill="1F4E78"/>
          </w:tcPr>
          <w:p>
            <w:r/>
            <w:r>
              <w:rPr>
                <w:b/>
                <w:color w:val="FFFFFF"/>
                <w:sz w:val="17"/>
              </w:rPr>
              <w:t>Agent / Engine</w:t>
            </w:r>
          </w:p>
        </w:tc>
        <w:tc>
          <w:tcPr>
            <w:tcW w:type="dxa" w:w="2592"/>
            <w:vAlign w:val="center"/>
            <w:shd w:fill="1F4E78"/>
          </w:tcPr>
          <w:p>
            <w:r/>
            <w:r>
              <w:rPr>
                <w:b/>
                <w:color w:val="FFFFFF"/>
                <w:sz w:val="17"/>
              </w:rPr>
              <w:t>Question answered</w:t>
            </w:r>
          </w:p>
        </w:tc>
        <w:tc>
          <w:tcPr>
            <w:tcW w:type="dxa" w:w="3456"/>
            <w:vAlign w:val="center"/>
            <w:shd w:fill="1F4E78"/>
          </w:tcPr>
          <w:p>
            <w:r/>
            <w:r>
              <w:rPr>
                <w:b/>
                <w:color w:val="FFFFFF"/>
                <w:sz w:val="17"/>
              </w:rPr>
              <w:t>Primary inputs</w:t>
            </w:r>
          </w:p>
        </w:tc>
        <w:tc>
          <w:tcPr>
            <w:tcW w:type="dxa" w:w="1872"/>
            <w:vAlign w:val="center"/>
            <w:shd w:fill="1F4E78"/>
          </w:tcPr>
          <w:p>
            <w:r/>
            <w:r>
              <w:rPr>
                <w:b/>
                <w:color w:val="FFFFFF"/>
                <w:sz w:val="17"/>
              </w:rPr>
              <w:t>Primary output</w:t>
            </w:r>
          </w:p>
        </w:tc>
      </w:tr>
      <w:tr>
        <w:tc>
          <w:tcPr>
            <w:tcW w:type="dxa" w:w="504"/>
            <w:vAlign w:val="center"/>
          </w:tcPr>
          <w:p>
            <w:r/>
            <w:r>
              <w:rPr>
                <w:b w:val="0"/>
                <w:sz w:val="17"/>
              </w:rPr>
              <w:t>1</w:t>
            </w:r>
          </w:p>
        </w:tc>
        <w:tc>
          <w:tcPr>
            <w:tcW w:type="dxa" w:w="2232"/>
            <w:vAlign w:val="center"/>
          </w:tcPr>
          <w:p>
            <w:r/>
            <w:r>
              <w:rPr>
                <w:b w:val="0"/>
                <w:sz w:val="17"/>
              </w:rPr>
              <w:t>Market Regime Agent</w:t>
            </w:r>
          </w:p>
        </w:tc>
        <w:tc>
          <w:tcPr>
            <w:tcW w:type="dxa" w:w="2592"/>
            <w:vAlign w:val="center"/>
          </w:tcPr>
          <w:p>
            <w:r/>
            <w:r>
              <w:rPr>
                <w:b w:val="0"/>
                <w:sz w:val="17"/>
              </w:rPr>
              <w:t>Overall Indian market state</w:t>
            </w:r>
          </w:p>
        </w:tc>
        <w:tc>
          <w:tcPr>
            <w:tcW w:type="dxa" w:w="3456"/>
            <w:vAlign w:val="center"/>
          </w:tcPr>
          <w:p>
            <w:r/>
            <w:r>
              <w:rPr>
                <w:b w:val="0"/>
                <w:sz w:val="17"/>
              </w:rPr>
              <w:t>Trend, volatility, breadth, index conditions, sector context</w:t>
            </w:r>
          </w:p>
        </w:tc>
        <w:tc>
          <w:tcPr>
            <w:tcW w:type="dxa" w:w="1872"/>
            <w:vAlign w:val="center"/>
          </w:tcPr>
          <w:p>
            <w:r/>
            <w:r>
              <w:rPr>
                <w:b w:val="0"/>
                <w:sz w:val="17"/>
              </w:rPr>
              <w:t>Market regime + evidence</w:t>
            </w:r>
          </w:p>
        </w:tc>
      </w:tr>
      <w:tr>
        <w:tc>
          <w:tcPr>
            <w:tcW w:type="dxa" w:w="504"/>
            <w:vAlign w:val="center"/>
          </w:tcPr>
          <w:p>
            <w:r/>
            <w:r>
              <w:rPr>
                <w:b w:val="0"/>
                <w:sz w:val="17"/>
              </w:rPr>
              <w:t>2</w:t>
            </w:r>
          </w:p>
        </w:tc>
        <w:tc>
          <w:tcPr>
            <w:tcW w:type="dxa" w:w="2232"/>
            <w:vAlign w:val="center"/>
          </w:tcPr>
          <w:p>
            <w:r/>
            <w:r>
              <w:rPr>
                <w:b w:val="0"/>
                <w:sz w:val="17"/>
              </w:rPr>
              <w:t>Historical Stock Agent</w:t>
            </w:r>
          </w:p>
        </w:tc>
        <w:tc>
          <w:tcPr>
            <w:tcW w:type="dxa" w:w="2592"/>
            <w:vAlign w:val="center"/>
          </w:tcPr>
          <w:p>
            <w:r/>
            <w:r>
              <w:rPr>
                <w:b w:val="0"/>
                <w:sz w:val="17"/>
              </w:rPr>
              <w:t>Long-term and historical behavior of a stock</w:t>
            </w:r>
          </w:p>
        </w:tc>
        <w:tc>
          <w:tcPr>
            <w:tcW w:type="dxa" w:w="3456"/>
            <w:vAlign w:val="center"/>
          </w:tcPr>
          <w:p>
            <w:r/>
            <w:r>
              <w:rPr>
                <w:b w:val="0"/>
                <w:sz w:val="17"/>
              </w:rPr>
              <w:t>Returns, drawdowns, volatility, support/resistance history, valuation history</w:t>
            </w:r>
          </w:p>
        </w:tc>
        <w:tc>
          <w:tcPr>
            <w:tcW w:type="dxa" w:w="1872"/>
            <w:vAlign w:val="center"/>
          </w:tcPr>
          <w:p>
            <w:r/>
            <w:r>
              <w:rPr>
                <w:b w:val="0"/>
                <w:sz w:val="17"/>
              </w:rPr>
              <w:t>Historical context</w:t>
            </w:r>
          </w:p>
        </w:tc>
      </w:tr>
      <w:tr>
        <w:tc>
          <w:tcPr>
            <w:tcW w:type="dxa" w:w="504"/>
            <w:vAlign w:val="center"/>
          </w:tcPr>
          <w:p>
            <w:r/>
            <w:r>
              <w:rPr>
                <w:b w:val="0"/>
                <w:sz w:val="17"/>
              </w:rPr>
              <w:t>3</w:t>
            </w:r>
          </w:p>
        </w:tc>
        <w:tc>
          <w:tcPr>
            <w:tcW w:type="dxa" w:w="2232"/>
            <w:vAlign w:val="center"/>
          </w:tcPr>
          <w:p>
            <w:r/>
            <w:r>
              <w:rPr>
                <w:b w:val="0"/>
                <w:sz w:val="17"/>
              </w:rPr>
              <w:t>Current Market / Technical Agent</w:t>
            </w:r>
          </w:p>
        </w:tc>
        <w:tc>
          <w:tcPr>
            <w:tcW w:type="dxa" w:w="2592"/>
            <w:vAlign w:val="center"/>
          </w:tcPr>
          <w:p>
            <w:r/>
            <w:r>
              <w:rPr>
                <w:b w:val="0"/>
                <w:sz w:val="17"/>
              </w:rPr>
              <w:t>Current price action and technical state</w:t>
            </w:r>
          </w:p>
        </w:tc>
        <w:tc>
          <w:tcPr>
            <w:tcW w:type="dxa" w:w="3456"/>
            <w:vAlign w:val="center"/>
          </w:tcPr>
          <w:p>
            <w:r/>
            <w:r>
              <w:rPr>
                <w:b w:val="0"/>
                <w:sz w:val="17"/>
              </w:rPr>
              <w:t>RSI, MACD, EMA/SMA, volume, ATR, ADX, momentum, breakouts/breakdowns</w:t>
            </w:r>
          </w:p>
        </w:tc>
        <w:tc>
          <w:tcPr>
            <w:tcW w:type="dxa" w:w="1872"/>
            <w:vAlign w:val="center"/>
          </w:tcPr>
          <w:p>
            <w:r/>
            <w:r>
              <w:rPr>
                <w:b w:val="0"/>
                <w:sz w:val="17"/>
              </w:rPr>
              <w:t>Current signal state</w:t>
            </w:r>
          </w:p>
        </w:tc>
      </w:tr>
      <w:tr>
        <w:tc>
          <w:tcPr>
            <w:tcW w:type="dxa" w:w="504"/>
            <w:vAlign w:val="center"/>
          </w:tcPr>
          <w:p>
            <w:r/>
            <w:r>
              <w:rPr>
                <w:b w:val="0"/>
                <w:sz w:val="17"/>
              </w:rPr>
              <w:t>4</w:t>
            </w:r>
          </w:p>
        </w:tc>
        <w:tc>
          <w:tcPr>
            <w:tcW w:type="dxa" w:w="2232"/>
            <w:vAlign w:val="center"/>
          </w:tcPr>
          <w:p>
            <w:r/>
            <w:r>
              <w:rPr>
                <w:b w:val="0"/>
                <w:sz w:val="17"/>
              </w:rPr>
              <w:t>Fundamental / Valuation Agent</w:t>
            </w:r>
          </w:p>
        </w:tc>
        <w:tc>
          <w:tcPr>
            <w:tcW w:type="dxa" w:w="2592"/>
            <w:vAlign w:val="center"/>
          </w:tcPr>
          <w:p>
            <w:r/>
            <w:r>
              <w:rPr>
                <w:b w:val="0"/>
                <w:sz w:val="17"/>
              </w:rPr>
              <w:t>Business quality and valuation context</w:t>
            </w:r>
          </w:p>
        </w:tc>
        <w:tc>
          <w:tcPr>
            <w:tcW w:type="dxa" w:w="3456"/>
            <w:vAlign w:val="center"/>
          </w:tcPr>
          <w:p>
            <w:r/>
            <w:r>
              <w:rPr>
                <w:b w:val="0"/>
                <w:sz w:val="17"/>
              </w:rPr>
              <w:t>Revenue, profit, EPS, ROE/ROCE, debt, cash flow, P/E, P/B, EV/EBITDA, peer context</w:t>
            </w:r>
          </w:p>
        </w:tc>
        <w:tc>
          <w:tcPr>
            <w:tcW w:type="dxa" w:w="1872"/>
            <w:vAlign w:val="center"/>
          </w:tcPr>
          <w:p>
            <w:r/>
            <w:r>
              <w:rPr>
                <w:b w:val="0"/>
                <w:sz w:val="17"/>
              </w:rPr>
              <w:t>Fundamental/valuation thesis</w:t>
            </w:r>
          </w:p>
        </w:tc>
      </w:tr>
      <w:tr>
        <w:tc>
          <w:tcPr>
            <w:tcW w:type="dxa" w:w="504"/>
            <w:vAlign w:val="center"/>
          </w:tcPr>
          <w:p>
            <w:r/>
            <w:r>
              <w:rPr>
                <w:b w:val="0"/>
                <w:sz w:val="17"/>
              </w:rPr>
              <w:t>5</w:t>
            </w:r>
          </w:p>
        </w:tc>
        <w:tc>
          <w:tcPr>
            <w:tcW w:type="dxa" w:w="2232"/>
            <w:vAlign w:val="center"/>
          </w:tcPr>
          <w:p>
            <w:r/>
            <w:r>
              <w:rPr>
                <w:b w:val="0"/>
                <w:sz w:val="17"/>
              </w:rPr>
              <w:t>Entry / Price Agent</w:t>
            </w:r>
          </w:p>
        </w:tc>
        <w:tc>
          <w:tcPr>
            <w:tcW w:type="dxa" w:w="2592"/>
            <w:vAlign w:val="center"/>
          </w:tcPr>
          <w:p>
            <w:r/>
            <w:r>
              <w:rPr>
                <w:b w:val="0"/>
                <w:sz w:val="17"/>
              </w:rPr>
              <w:t>Potential entry zones under the current scenario</w:t>
            </w:r>
          </w:p>
        </w:tc>
        <w:tc>
          <w:tcPr>
            <w:tcW w:type="dxa" w:w="3456"/>
            <w:vAlign w:val="center"/>
          </w:tcPr>
          <w:p>
            <w:r/>
            <w:r>
              <w:rPr>
                <w:b w:val="0"/>
                <w:sz w:val="17"/>
              </w:rPr>
              <w:t>Support, ATR, volatility, historical reaction, volume profile, valuation and market regime</w:t>
            </w:r>
          </w:p>
        </w:tc>
        <w:tc>
          <w:tcPr>
            <w:tcW w:type="dxa" w:w="1872"/>
            <w:vAlign w:val="center"/>
          </w:tcPr>
          <w:p>
            <w:r/>
            <w:r>
              <w:rPr>
                <w:b w:val="0"/>
                <w:sz w:val="17"/>
              </w:rPr>
              <w:t>Entry scenarios</w:t>
            </w:r>
          </w:p>
        </w:tc>
      </w:tr>
      <w:tr>
        <w:tc>
          <w:tcPr>
            <w:tcW w:type="dxa" w:w="504"/>
            <w:vAlign w:val="center"/>
          </w:tcPr>
          <w:p>
            <w:r/>
            <w:r>
              <w:rPr>
                <w:b w:val="0"/>
                <w:sz w:val="17"/>
              </w:rPr>
              <w:t>6</w:t>
            </w:r>
          </w:p>
        </w:tc>
        <w:tc>
          <w:tcPr>
            <w:tcW w:type="dxa" w:w="2232"/>
            <w:vAlign w:val="center"/>
          </w:tcPr>
          <w:p>
            <w:r/>
            <w:r>
              <w:rPr>
                <w:b w:val="0"/>
                <w:sz w:val="17"/>
              </w:rPr>
              <w:t>Risk / Bear Agent</w:t>
            </w:r>
          </w:p>
        </w:tc>
        <w:tc>
          <w:tcPr>
            <w:tcW w:type="dxa" w:w="2592"/>
            <w:vAlign w:val="center"/>
          </w:tcPr>
          <w:p>
            <w:r/>
            <w:r>
              <w:rPr>
                <w:b w:val="0"/>
                <w:sz w:val="17"/>
              </w:rPr>
              <w:t>Try to break the current thesis</w:t>
            </w:r>
          </w:p>
        </w:tc>
        <w:tc>
          <w:tcPr>
            <w:tcW w:type="dxa" w:w="3456"/>
            <w:vAlign w:val="center"/>
          </w:tcPr>
          <w:p>
            <w:r/>
            <w:r>
              <w:rPr>
                <w:b w:val="0"/>
                <w:sz w:val="17"/>
              </w:rPr>
              <w:t>Contradicting signals, macro/sector risk, invalidation conditions, downside scenarios</w:t>
            </w:r>
          </w:p>
        </w:tc>
        <w:tc>
          <w:tcPr>
            <w:tcW w:type="dxa" w:w="1872"/>
            <w:vAlign w:val="center"/>
          </w:tcPr>
          <w:p>
            <w:r/>
            <w:r>
              <w:rPr>
                <w:b w:val="0"/>
                <w:sz w:val="17"/>
              </w:rPr>
              <w:t>Risk thesis / invalidation</w:t>
            </w:r>
          </w:p>
        </w:tc>
      </w:tr>
      <w:tr>
        <w:tc>
          <w:tcPr>
            <w:tcW w:type="dxa" w:w="504"/>
            <w:vAlign w:val="center"/>
          </w:tcPr>
          <w:p>
            <w:r/>
            <w:r>
              <w:rPr>
                <w:b w:val="0"/>
                <w:sz w:val="17"/>
              </w:rPr>
              <w:t>7</w:t>
            </w:r>
          </w:p>
        </w:tc>
        <w:tc>
          <w:tcPr>
            <w:tcW w:type="dxa" w:w="2232"/>
            <w:vAlign w:val="center"/>
          </w:tcPr>
          <w:p>
            <w:r/>
            <w:r>
              <w:rPr>
                <w:b w:val="0"/>
                <w:sz w:val="17"/>
              </w:rPr>
              <w:t>Critic / Evidence Validator</w:t>
            </w:r>
          </w:p>
        </w:tc>
        <w:tc>
          <w:tcPr>
            <w:tcW w:type="dxa" w:w="2592"/>
            <w:vAlign w:val="center"/>
          </w:tcPr>
          <w:p>
            <w:r/>
            <w:r>
              <w:rPr>
                <w:b w:val="0"/>
                <w:sz w:val="17"/>
              </w:rPr>
              <w:t>Challenge agent claims and consistency</w:t>
            </w:r>
          </w:p>
        </w:tc>
        <w:tc>
          <w:tcPr>
            <w:tcW w:type="dxa" w:w="3456"/>
            <w:vAlign w:val="center"/>
          </w:tcPr>
          <w:p>
            <w:r/>
            <w:r>
              <w:rPr>
                <w:b w:val="0"/>
                <w:sz w:val="17"/>
              </w:rPr>
              <w:t>Claim verification, conflicting evidence, stale inputs, unsupported statements</w:t>
            </w:r>
          </w:p>
        </w:tc>
        <w:tc>
          <w:tcPr>
            <w:tcW w:type="dxa" w:w="1872"/>
            <w:vAlign w:val="center"/>
          </w:tcPr>
          <w:p>
            <w:r/>
            <w:r>
              <w:rPr>
                <w:b w:val="0"/>
                <w:sz w:val="17"/>
              </w:rPr>
              <w:t>Validation result</w:t>
            </w:r>
          </w:p>
        </w:tc>
      </w:tr>
      <w:tr>
        <w:tc>
          <w:tcPr>
            <w:tcW w:type="dxa" w:w="504"/>
            <w:vAlign w:val="center"/>
          </w:tcPr>
          <w:p>
            <w:r/>
            <w:r>
              <w:rPr>
                <w:b w:val="0"/>
                <w:sz w:val="17"/>
              </w:rPr>
              <w:t>8</w:t>
            </w:r>
          </w:p>
        </w:tc>
        <w:tc>
          <w:tcPr>
            <w:tcW w:type="dxa" w:w="2232"/>
            <w:vAlign w:val="center"/>
          </w:tcPr>
          <w:p>
            <w:r/>
            <w:r>
              <w:rPr>
                <w:b w:val="0"/>
                <w:sz w:val="17"/>
              </w:rPr>
              <w:t>Decision Synthesizer</w:t>
            </w:r>
          </w:p>
        </w:tc>
        <w:tc>
          <w:tcPr>
            <w:tcW w:type="dxa" w:w="2592"/>
            <w:vAlign w:val="center"/>
          </w:tcPr>
          <w:p>
            <w:r/>
            <w:r>
              <w:rPr>
                <w:b w:val="0"/>
                <w:sz w:val="17"/>
              </w:rPr>
              <w:t>Combine structured evidence into a user-facing opportunity state</w:t>
            </w:r>
          </w:p>
        </w:tc>
        <w:tc>
          <w:tcPr>
            <w:tcW w:type="dxa" w:w="3456"/>
            <w:vAlign w:val="center"/>
          </w:tcPr>
          <w:p>
            <w:r/>
            <w:r>
              <w:rPr>
                <w:b w:val="0"/>
                <w:sz w:val="17"/>
              </w:rPr>
              <w:t>All validated agent outputs</w:t>
            </w:r>
          </w:p>
        </w:tc>
        <w:tc>
          <w:tcPr>
            <w:tcW w:type="dxa" w:w="1872"/>
            <w:vAlign w:val="center"/>
          </w:tcPr>
          <w:p>
            <w:r/>
            <w:r>
              <w:rPr>
                <w:b w:val="0"/>
                <w:sz w:val="17"/>
              </w:rPr>
              <w:t>Opportunity state + explanation</w:t>
            </w:r>
          </w:p>
        </w:tc>
      </w:tr>
    </w:tbl>
    <w:p/>
    <w:p>
      <w:pPr>
        <w:pStyle w:val="Heading1"/>
      </w:pPr>
      <w:r>
        <w:t>7. Decision and Opportunity Engine</w:t>
      </w:r>
    </w:p>
    <w:p>
      <w:r>
        <w:t>Do not reduce the whole product to a single “BUY score.” A more robust representation separates opportunity, confidence, risk, time horizon, evidence strength and invalidation conditions.</w:t>
      </w:r>
    </w:p>
    <w:p>
      <w:pPr>
        <w:pStyle w:val="CodeBlock"/>
      </w:pPr>
      <w:r>
        <w:rPr>
          <w:rFonts w:ascii="Consolas" w:hAnsi="Consolas"/>
          <w:sz w:val="16"/>
        </w:rPr>
        <w:t>Opportunity State</w:t>
        <w:br/>
      </w:r>
      <w:r>
        <w:rPr>
          <w:rFonts w:ascii="Consolas" w:hAnsi="Consolas"/>
          <w:sz w:val="16"/>
        </w:rPr>
        <w:t xml:space="preserve">  opportunity_level: LOW | MODERATE | HIGH</w:t>
        <w:br/>
      </w:r>
      <w:r>
        <w:rPr>
          <w:rFonts w:ascii="Consolas" w:hAnsi="Consolas"/>
          <w:sz w:val="16"/>
        </w:rPr>
        <w:t xml:space="preserve">  confidence: 0..1</w:t>
        <w:br/>
      </w:r>
      <w:r>
        <w:rPr>
          <w:rFonts w:ascii="Consolas" w:hAnsi="Consolas"/>
          <w:sz w:val="16"/>
        </w:rPr>
        <w:t xml:space="preserve">  risk_level: LOW | MEDIUM | HIGH</w:t>
        <w:br/>
      </w:r>
      <w:r>
        <w:rPr>
          <w:rFonts w:ascii="Consolas" w:hAnsi="Consolas"/>
          <w:sz w:val="16"/>
        </w:rPr>
        <w:t xml:space="preserve">  time_horizon: INTRADAY | SWING | 1-3M | 6-12M | 3-5Y</w:t>
        <w:br/>
      </w:r>
      <w:r>
        <w:rPr>
          <w:rFonts w:ascii="Consolas" w:hAnsi="Consolas"/>
          <w:sz w:val="16"/>
        </w:rPr>
        <w:t xml:space="preserve">  evidence_strength: 0..1</w:t>
        <w:br/>
      </w:r>
      <w:r>
        <w:rPr>
          <w:rFonts w:ascii="Consolas" w:hAnsi="Consolas"/>
          <w:sz w:val="16"/>
        </w:rPr>
        <w:t xml:space="preserve">  supporting_factors: [...]</w:t>
        <w:br/>
      </w:r>
      <w:r>
        <w:rPr>
          <w:rFonts w:ascii="Consolas" w:hAnsi="Consolas"/>
          <w:sz w:val="16"/>
        </w:rPr>
        <w:t xml:space="preserve">  contradictory_factors: [...]</w:t>
        <w:br/>
      </w:r>
      <w:r>
        <w:rPr>
          <w:rFonts w:ascii="Consolas" w:hAnsi="Consolas"/>
          <w:sz w:val="16"/>
        </w:rPr>
        <w:t xml:space="preserve">  invalidation_conditions: [...]</w:t>
        <w:br/>
      </w:r>
      <w:r>
        <w:rPr>
          <w:rFonts w:ascii="Consolas" w:hAnsi="Consolas"/>
          <w:sz w:val="16"/>
        </w:rPr>
        <w:t xml:space="preserve">  data_timestamp: ...</w:t>
        <w:br/>
      </w:r>
      <w:r>
        <w:rPr>
          <w:rFonts w:ascii="Consolas" w:hAnsi="Consolas"/>
          <w:sz w:val="16"/>
        </w:rPr>
        <w:t xml:space="preserve">  model_version: ...</w:t>
      </w:r>
    </w:p>
    <w:p>
      <w:r>
        <w:t>Quantitative engines should produce the measurable signals. LLMs should interpret, summarize and challenge evidence. The final synthesis should only be generated from validated structured inputs.</w:t>
      </w:r>
    </w:p>
    <w:p>
      <w:pPr>
        <w:pStyle w:val="Heading1"/>
      </w:pPr>
      <w:r>
        <w:t>8. Entry-Price Analysis</w:t>
      </w:r>
    </w:p>
    <w:p>
      <w:r>
        <w:t>For a question such as “is the current price attractive?”, the system should not invent a price target. It should derive one or more scenario zones from measurable market structure and explain the evidence.</w:t>
      </w:r>
    </w:p>
    <w:p>
      <w:pPr>
        <w:pStyle w:val="CodeBlock"/>
      </w:pPr>
      <w:r>
        <w:rPr>
          <w:rFonts w:ascii="Consolas" w:hAnsi="Consolas"/>
          <w:sz w:val="16"/>
        </w:rPr>
        <w:t>Example:</w:t>
        <w:br/>
      </w:r>
      <w:r>
        <w:rPr>
          <w:rFonts w:ascii="Consolas" w:hAnsi="Consolas"/>
          <w:sz w:val="16"/>
        </w:rPr>
        <w:t>Current price: Rs 1,425</w:t>
        <w:br/>
      </w:r>
      <w:r>
        <w:rPr>
          <w:rFonts w:ascii="Consolas" w:hAnsi="Consolas"/>
          <w:sz w:val="16"/>
        </w:rPr>
        <w:br/>
      </w:r>
      <w:r>
        <w:rPr>
          <w:rFonts w:ascii="Consolas" w:hAnsi="Consolas"/>
          <w:sz w:val="16"/>
        </w:rPr>
        <w:t>Possible zones (illustrative architecture output, not a live recommendation):</w:t>
        <w:br/>
      </w:r>
      <w:r>
        <w:rPr>
          <w:rFonts w:ascii="Consolas" w:hAnsi="Consolas"/>
          <w:sz w:val="16"/>
        </w:rPr>
        <w:t xml:space="preserve">  Zone A: Rs 1,390 - 1,410  -&gt; primary pullback zone</w:t>
        <w:br/>
      </w:r>
      <w:r>
        <w:rPr>
          <w:rFonts w:ascii="Consolas" w:hAnsi="Consolas"/>
          <w:sz w:val="16"/>
        </w:rPr>
        <w:t xml:space="preserve">  Zone B: Rs 1,350 - 1,375  -&gt; deeper historical support zone</w:t>
        <w:br/>
      </w:r>
      <w:r>
        <w:rPr>
          <w:rFonts w:ascii="Consolas" w:hAnsi="Consolas"/>
          <w:sz w:val="16"/>
        </w:rPr>
        <w:br/>
      </w:r>
      <w:r>
        <w:rPr>
          <w:rFonts w:ascii="Consolas" w:hAnsi="Consolas"/>
          <w:sz w:val="16"/>
        </w:rPr>
        <w:t>Evidence may include:</w:t>
        <w:br/>
      </w:r>
      <w:r>
        <w:rPr>
          <w:rFonts w:ascii="Consolas" w:hAnsi="Consolas"/>
          <w:sz w:val="16"/>
        </w:rPr>
        <w:t xml:space="preserve">  - historical support reactions</w:t>
        <w:br/>
      </w:r>
      <w:r>
        <w:rPr>
          <w:rFonts w:ascii="Consolas" w:hAnsi="Consolas"/>
          <w:sz w:val="16"/>
        </w:rPr>
        <w:t xml:space="preserve">  - ATR / volatility bands</w:t>
        <w:br/>
      </w:r>
      <w:r>
        <w:rPr>
          <w:rFonts w:ascii="Consolas" w:hAnsi="Consolas"/>
          <w:sz w:val="16"/>
        </w:rPr>
        <w:t xml:space="preserve">  - moving averages</w:t>
        <w:br/>
      </w:r>
      <w:r>
        <w:rPr>
          <w:rFonts w:ascii="Consolas" w:hAnsi="Consolas"/>
          <w:sz w:val="16"/>
        </w:rPr>
        <w:t xml:space="preserve">  - volume profile</w:t>
        <w:br/>
      </w:r>
      <w:r>
        <w:rPr>
          <w:rFonts w:ascii="Consolas" w:hAnsi="Consolas"/>
          <w:sz w:val="16"/>
        </w:rPr>
        <w:t xml:space="preserve">  - valuation distribution</w:t>
        <w:br/>
      </w:r>
      <w:r>
        <w:rPr>
          <w:rFonts w:ascii="Consolas" w:hAnsi="Consolas"/>
          <w:sz w:val="16"/>
        </w:rPr>
        <w:t xml:space="preserve">  - current market regime</w:t>
        <w:br/>
      </w:r>
      <w:r>
        <w:rPr>
          <w:rFonts w:ascii="Consolas" w:hAnsi="Consolas"/>
          <w:sz w:val="16"/>
        </w:rPr>
        <w:t xml:space="preserve">  - sector strength</w:t>
      </w:r>
    </w:p>
    <w:p>
      <w:r>
        <w:t>Every entry zone should carry its own evidence and invalidation logic. The system must avoid implying that a lower price automatically means a lower-risk investment.</w:t>
      </w:r>
    </w:p>
    <w:p>
      <w:pPr>
        <w:pStyle w:val="Heading1"/>
      </w:pPr>
      <w:r>
        <w:t>9. Risk and Adversarial Critique</w:t>
      </w:r>
    </w:p>
    <w:p>
      <w:r>
        <w:t>The risk layer should actively search for evidence that would invalidate the bullish or positive thesis. This is more useful than having multiple agents independently repeat the same narrative.</w:t>
      </w:r>
    </w:p>
    <w:p>
      <w:pPr>
        <w:pStyle w:val="CodeBlock"/>
      </w:pPr>
      <w:r>
        <w:rPr>
          <w:rFonts w:ascii="Consolas" w:hAnsi="Consolas"/>
          <w:sz w:val="16"/>
        </w:rPr>
        <w:t>Bull / Opportunity Thesis</w:t>
        <w:br/>
      </w:r>
      <w:r>
        <w:rPr>
          <w:rFonts w:ascii="Consolas" w:hAnsi="Consolas"/>
          <w:sz w:val="16"/>
        </w:rPr>
        <w:t xml:space="preserve">          vs</w:t>
        <w:br/>
      </w:r>
      <w:r>
        <w:rPr>
          <w:rFonts w:ascii="Consolas" w:hAnsi="Consolas"/>
          <w:sz w:val="16"/>
        </w:rPr>
        <w:t>Risk / Bear Thesis</w:t>
        <w:br/>
      </w:r>
      <w:r>
        <w:rPr>
          <w:rFonts w:ascii="Consolas" w:hAnsi="Consolas"/>
          <w:sz w:val="16"/>
        </w:rPr>
        <w:t xml:space="preserve">          |</w:t>
        <w:br/>
      </w:r>
      <w:r>
        <w:rPr>
          <w:rFonts w:ascii="Consolas" w:hAnsi="Consolas"/>
          <w:sz w:val="16"/>
        </w:rPr>
        <w:t xml:space="preserve">          v</w:t>
        <w:br/>
      </w:r>
      <w:r>
        <w:rPr>
          <w:rFonts w:ascii="Consolas" w:hAnsi="Consolas"/>
          <w:sz w:val="16"/>
        </w:rPr>
        <w:t xml:space="preserve">   Evidence Validator</w:t>
        <w:br/>
      </w:r>
      <w:r>
        <w:rPr>
          <w:rFonts w:ascii="Consolas" w:hAnsi="Consolas"/>
          <w:sz w:val="16"/>
        </w:rPr>
        <w:t xml:space="preserve">          |</w:t>
        <w:br/>
      </w:r>
      <w:r>
        <w:rPr>
          <w:rFonts w:ascii="Consolas" w:hAnsi="Consolas"/>
          <w:sz w:val="16"/>
        </w:rPr>
        <w:t xml:space="preserve">          v</w:t>
        <w:br/>
      </w:r>
      <w:r>
        <w:rPr>
          <w:rFonts w:ascii="Consolas" w:hAnsi="Consolas"/>
          <w:sz w:val="16"/>
        </w:rPr>
        <w:t xml:space="preserve">   Decision Synthesizer</w:t>
        <w:br/>
      </w:r>
      <w:r>
        <w:rPr>
          <w:rFonts w:ascii="Consolas" w:hAnsi="Consolas"/>
          <w:sz w:val="16"/>
        </w:rPr>
        <w:t xml:space="preserve">          |</w:t>
        <w:br/>
      </w:r>
      <w:r>
        <w:rPr>
          <w:rFonts w:ascii="Consolas" w:hAnsi="Consolas"/>
          <w:sz w:val="16"/>
        </w:rPr>
        <w:t xml:space="preserve">          +--&gt; supporting evidence</w:t>
        <w:br/>
      </w:r>
      <w:r>
        <w:rPr>
          <w:rFonts w:ascii="Consolas" w:hAnsi="Consolas"/>
          <w:sz w:val="16"/>
        </w:rPr>
        <w:t xml:space="preserve">          +--&gt; contradictory evidence</w:t>
        <w:br/>
      </w:r>
      <w:r>
        <w:rPr>
          <w:rFonts w:ascii="Consolas" w:hAnsi="Consolas"/>
          <w:sz w:val="16"/>
        </w:rPr>
        <w:t xml:space="preserve">          +--&gt; invalidation conditions</w:t>
        <w:br/>
      </w:r>
      <w:r>
        <w:rPr>
          <w:rFonts w:ascii="Consolas" w:hAnsi="Consolas"/>
          <w:sz w:val="16"/>
        </w:rPr>
        <w:t xml:space="preserve">          +--&gt; uncertainty / confidence</w:t>
      </w:r>
    </w:p>
    <w:p>
      <w:pPr>
        <w:pStyle w:val="Heading1"/>
      </w:pPr>
      <w:r>
        <w:t>10. Backtesting and Model Evaluation</w:t>
      </w:r>
    </w:p>
    <w:p>
      <w:r>
        <w:t>Every production recommendation path should be measurable against later outcomes. Store the complete decision snapshot so the team can evaluate what the system knew at the time and what happened afterward.</w:t>
      </w:r>
    </w:p>
    <w:p>
      <w:pPr>
        <w:pStyle w:val="CodeBlock"/>
      </w:pPr>
      <w:r>
        <w:rPr>
          <w:rFonts w:ascii="Consolas" w:hAnsi="Consolas"/>
          <w:sz w:val="16"/>
        </w:rPr>
        <w:t>Recommendation snapshot</w:t>
        <w:br/>
      </w:r>
      <w:r>
        <w:rPr>
          <w:rFonts w:ascii="Consolas" w:hAnsi="Consolas"/>
          <w:sz w:val="16"/>
        </w:rPr>
        <w:t xml:space="preserve">  timestamp</w:t>
        <w:br/>
      </w:r>
      <w:r>
        <w:rPr>
          <w:rFonts w:ascii="Consolas" w:hAnsi="Consolas"/>
          <w:sz w:val="16"/>
        </w:rPr>
        <w:t xml:space="preserve">  symbol</w:t>
        <w:br/>
      </w:r>
      <w:r>
        <w:rPr>
          <w:rFonts w:ascii="Consolas" w:hAnsi="Consolas"/>
          <w:sz w:val="16"/>
        </w:rPr>
        <w:t xml:space="preserve">  price</w:t>
        <w:br/>
      </w:r>
      <w:r>
        <w:rPr>
          <w:rFonts w:ascii="Consolas" w:hAnsi="Consolas"/>
          <w:sz w:val="16"/>
        </w:rPr>
        <w:t xml:space="preserve">  market state</w:t>
        <w:br/>
      </w:r>
      <w:r>
        <w:rPr>
          <w:rFonts w:ascii="Consolas" w:hAnsi="Consolas"/>
          <w:sz w:val="16"/>
        </w:rPr>
        <w:t xml:space="preserve">  technical state</w:t>
        <w:br/>
      </w:r>
      <w:r>
        <w:rPr>
          <w:rFonts w:ascii="Consolas" w:hAnsi="Consolas"/>
          <w:sz w:val="16"/>
        </w:rPr>
        <w:t xml:space="preserve">  fundamental state</w:t>
        <w:br/>
      </w:r>
      <w:r>
        <w:rPr>
          <w:rFonts w:ascii="Consolas" w:hAnsi="Consolas"/>
          <w:sz w:val="16"/>
        </w:rPr>
        <w:t xml:space="preserve">  valuation state</w:t>
        <w:br/>
      </w:r>
      <w:r>
        <w:rPr>
          <w:rFonts w:ascii="Consolas" w:hAnsi="Consolas"/>
          <w:sz w:val="16"/>
        </w:rPr>
        <w:t xml:space="preserve">  agent outputs</w:t>
        <w:br/>
      </w:r>
      <w:r>
        <w:rPr>
          <w:rFonts w:ascii="Consolas" w:hAnsi="Consolas"/>
          <w:sz w:val="16"/>
        </w:rPr>
        <w:t xml:space="preserve">  critic output</w:t>
        <w:br/>
      </w:r>
      <w:r>
        <w:rPr>
          <w:rFonts w:ascii="Consolas" w:hAnsi="Consolas"/>
          <w:sz w:val="16"/>
        </w:rPr>
        <w:t xml:space="preserve">  final opportunity state</w:t>
        <w:br/>
      </w:r>
      <w:r>
        <w:rPr>
          <w:rFonts w:ascii="Consolas" w:hAnsi="Consolas"/>
          <w:sz w:val="16"/>
        </w:rPr>
        <w:t xml:space="preserve">  model versions</w:t>
        <w:br/>
      </w:r>
      <w:r>
        <w:rPr>
          <w:rFonts w:ascii="Consolas" w:hAnsi="Consolas"/>
          <w:sz w:val="16"/>
        </w:rPr>
        <w:t xml:space="preserve">  data versions</w:t>
        <w:br/>
      </w:r>
      <w:r>
        <w:rPr>
          <w:rFonts w:ascii="Consolas" w:hAnsi="Consolas"/>
          <w:sz w:val="16"/>
        </w:rPr>
        <w:br/>
      </w:r>
      <w:r>
        <w:rPr>
          <w:rFonts w:ascii="Consolas" w:hAnsi="Consolas"/>
          <w:sz w:val="16"/>
        </w:rPr>
        <w:t>Outcome evaluation</w:t>
        <w:br/>
      </w:r>
      <w:r>
        <w:rPr>
          <w:rFonts w:ascii="Consolas" w:hAnsi="Consolas"/>
          <w:sz w:val="16"/>
        </w:rPr>
        <w:t xml:space="preserve">  +1d / +7d / +30d / +90d / +180d</w:t>
        <w:br/>
      </w:r>
      <w:r>
        <w:rPr>
          <w:rFonts w:ascii="Consolas" w:hAnsi="Consolas"/>
          <w:sz w:val="16"/>
        </w:rPr>
        <w:t xml:space="preserve">  realized return</w:t>
        <w:br/>
      </w:r>
      <w:r>
        <w:rPr>
          <w:rFonts w:ascii="Consolas" w:hAnsi="Consolas"/>
          <w:sz w:val="16"/>
        </w:rPr>
        <w:t xml:space="preserve">  max adverse excursion</w:t>
        <w:br/>
      </w:r>
      <w:r>
        <w:rPr>
          <w:rFonts w:ascii="Consolas" w:hAnsi="Consolas"/>
          <w:sz w:val="16"/>
        </w:rPr>
        <w:t xml:space="preserve">  max favorable excursion</w:t>
        <w:br/>
      </w:r>
      <w:r>
        <w:rPr>
          <w:rFonts w:ascii="Consolas" w:hAnsi="Consolas"/>
          <w:sz w:val="16"/>
        </w:rPr>
        <w:t xml:space="preserve">  volatility</w:t>
        <w:br/>
      </w:r>
      <w:r>
        <w:rPr>
          <w:rFonts w:ascii="Consolas" w:hAnsi="Consolas"/>
          <w:sz w:val="16"/>
        </w:rPr>
        <w:t xml:space="preserve">  thesis invalidation</w:t>
        <w:br/>
      </w:r>
      <w:r>
        <w:rPr>
          <w:rFonts w:ascii="Consolas" w:hAnsi="Consolas"/>
          <w:sz w:val="16"/>
        </w:rPr>
        <w:t xml:space="preserve">  benchmark-relative result</w:t>
      </w:r>
    </w:p>
    <w:p>
      <w:pPr>
        <w:pStyle w:val="Heading2"/>
      </w:pPr>
      <w:r>
        <w:t>Backtesting principles:</w:t>
      </w:r>
    </w:p>
    <w:p>
      <w:pPr>
        <w:pStyle w:val="ListBullet"/>
        <w:spacing w:after="40"/>
      </w:pPr>
      <w:r>
        <w:t>Use time-sliced, out-of-sample evaluation.</w:t>
      </w:r>
    </w:p>
    <w:p>
      <w:pPr>
        <w:pStyle w:val="ListBullet"/>
        <w:spacing w:after="40"/>
      </w:pPr>
      <w:r>
        <w:t>Use walk-forward testing for models that depend on time-varying distributions.</w:t>
      </w:r>
    </w:p>
    <w:p>
      <w:pPr>
        <w:pStyle w:val="ListBullet"/>
        <w:spacing w:after="40"/>
      </w:pPr>
      <w:r>
        <w:t>Protect against look-ahead and survivorship bias.</w:t>
      </w:r>
    </w:p>
    <w:p>
      <w:pPr>
        <w:pStyle w:val="ListBullet"/>
        <w:spacing w:after="40"/>
      </w:pPr>
      <w:r>
        <w:t>Evaluate transaction-cost and slippage assumptions where relevant.</w:t>
      </w:r>
    </w:p>
    <w:p>
      <w:pPr>
        <w:pStyle w:val="ListBullet"/>
        <w:spacing w:after="40"/>
      </w:pPr>
      <w:r>
        <w:t>Compare signal quality by regime, sector and time horizon.</w:t>
      </w:r>
    </w:p>
    <w:p>
      <w:pPr>
        <w:pStyle w:val="ListBullet"/>
        <w:spacing w:after="40"/>
      </w:pPr>
      <w:r>
        <w:t>Track calibration of confidence estimates instead of assuming confidence equals correctness.</w:t>
      </w:r>
    </w:p>
    <w:p>
      <w:pPr>
        <w:pStyle w:val="Heading1"/>
      </w:pPr>
      <w:r>
        <w:t>11. Backend APIs</w:t>
      </w:r>
    </w:p>
    <w:p>
      <w:r>
        <w:t>The frontend should never talk directly to data vendors or agent internals. Use the backend as the consistent contract and policy boundary.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1F4E78"/>
          </w:tcPr>
          <w:p>
            <w:r/>
            <w:r>
              <w:rPr>
                <w:b/>
                <w:color w:val="FFFFFF"/>
                <w:sz w:val="17"/>
              </w:rPr>
              <w:t>Endpoint</w:t>
            </w:r>
          </w:p>
        </w:tc>
        <w:tc>
          <w:tcPr>
            <w:tcW w:type="dxa" w:w="4032"/>
            <w:vAlign w:val="center"/>
            <w:shd w:fill="1F4E78"/>
          </w:tcPr>
          <w:p>
            <w:r/>
            <w:r>
              <w:rPr>
                <w:b/>
                <w:color w:val="FFFFFF"/>
                <w:sz w:val="17"/>
              </w:rPr>
              <w:t>Purpose</w:t>
            </w:r>
          </w:p>
        </w:tc>
        <w:tc>
          <w:tcPr>
            <w:tcW w:type="dxa" w:w="2880"/>
            <w:vAlign w:val="center"/>
            <w:shd w:fill="1F4E78"/>
          </w:tcPr>
          <w:p>
            <w:r/>
            <w:r>
              <w:rPr>
                <w:b/>
                <w:color w:val="FFFFFF"/>
                <w:sz w:val="17"/>
              </w:rPr>
              <w:t>Example response</w:t>
            </w:r>
          </w:p>
        </w:tc>
      </w:tr>
      <w:tr>
        <w:tc>
          <w:tcPr>
            <w:tcW w:type="dxa" w:w="2592"/>
            <w:vAlign w:val="center"/>
          </w:tcPr>
          <w:p>
            <w:r/>
            <w:r>
              <w:rPr>
                <w:b w:val="0"/>
                <w:sz w:val="17"/>
              </w:rPr>
              <w:t>GET /market/overview</w:t>
            </w:r>
          </w:p>
        </w:tc>
        <w:tc>
          <w:tcPr>
            <w:tcW w:type="dxa" w:w="4032"/>
            <w:vAlign w:val="center"/>
          </w:tcPr>
          <w:p>
            <w:r/>
            <w:r>
              <w:rPr>
                <w:b w:val="0"/>
                <w:sz w:val="17"/>
              </w:rPr>
              <w:t>Current market regime, index snapshot, breadth, volatility</w:t>
            </w:r>
          </w:p>
        </w:tc>
        <w:tc>
          <w:tcPr>
            <w:tcW w:type="dxa" w:w="2880"/>
            <w:vAlign w:val="center"/>
          </w:tcPr>
          <w:p>
            <w:r/>
            <w:r>
              <w:rPr>
                <w:b w:val="0"/>
                <w:sz w:val="17"/>
              </w:rPr>
              <w:t>Market regime object</w:t>
            </w:r>
          </w:p>
        </w:tc>
      </w:tr>
      <w:tr>
        <w:tc>
          <w:tcPr>
            <w:tcW w:type="dxa" w:w="2592"/>
            <w:vAlign w:val="center"/>
          </w:tcPr>
          <w:p>
            <w:r/>
            <w:r>
              <w:rPr>
                <w:b w:val="0"/>
                <w:sz w:val="17"/>
              </w:rPr>
              <w:t>GET /stocks</w:t>
            </w:r>
          </w:p>
        </w:tc>
        <w:tc>
          <w:tcPr>
            <w:tcW w:type="dxa" w:w="4032"/>
            <w:vAlign w:val="center"/>
          </w:tcPr>
          <w:p>
            <w:r/>
            <w:r>
              <w:rPr>
                <w:b w:val="0"/>
                <w:sz w:val="17"/>
              </w:rPr>
              <w:t>Search/filter equity universe</w:t>
            </w:r>
          </w:p>
        </w:tc>
        <w:tc>
          <w:tcPr>
            <w:tcW w:type="dxa" w:w="2880"/>
            <w:vAlign w:val="center"/>
          </w:tcPr>
          <w:p>
            <w:r/>
            <w:r>
              <w:rPr>
                <w:b w:val="0"/>
                <w:sz w:val="17"/>
              </w:rPr>
              <w:t>Paged stock list</w:t>
            </w:r>
          </w:p>
        </w:tc>
      </w:tr>
      <w:tr>
        <w:tc>
          <w:tcPr>
            <w:tcW w:type="dxa" w:w="2592"/>
            <w:vAlign w:val="center"/>
          </w:tcPr>
          <w:p>
            <w:r/>
            <w:r>
              <w:rPr>
                <w:b w:val="0"/>
                <w:sz w:val="17"/>
              </w:rPr>
              <w:t>GET /stocks/{symbol}</w:t>
            </w:r>
          </w:p>
        </w:tc>
        <w:tc>
          <w:tcPr>
            <w:tcW w:type="dxa" w:w="4032"/>
            <w:vAlign w:val="center"/>
          </w:tcPr>
          <w:p>
            <w:r/>
            <w:r>
              <w:rPr>
                <w:b w:val="0"/>
                <w:sz w:val="17"/>
              </w:rPr>
              <w:t>Stock profile and current quote</w:t>
            </w:r>
          </w:p>
        </w:tc>
        <w:tc>
          <w:tcPr>
            <w:tcW w:type="dxa" w:w="2880"/>
            <w:vAlign w:val="center"/>
          </w:tcPr>
          <w:p>
            <w:r/>
            <w:r>
              <w:rPr>
                <w:b w:val="0"/>
                <w:sz w:val="17"/>
              </w:rPr>
              <w:t>Instrument + current state</w:t>
            </w:r>
          </w:p>
        </w:tc>
      </w:tr>
      <w:tr>
        <w:tc>
          <w:tcPr>
            <w:tcW w:type="dxa" w:w="2592"/>
            <w:vAlign w:val="center"/>
          </w:tcPr>
          <w:p>
            <w:r/>
            <w:r>
              <w:rPr>
                <w:b w:val="0"/>
                <w:sz w:val="17"/>
              </w:rPr>
              <w:t>GET /stocks/{symbol}/chart</w:t>
            </w:r>
          </w:p>
        </w:tc>
        <w:tc>
          <w:tcPr>
            <w:tcW w:type="dxa" w:w="4032"/>
            <w:vAlign w:val="center"/>
          </w:tcPr>
          <w:p>
            <w:r/>
            <w:r>
              <w:rPr>
                <w:b w:val="0"/>
                <w:sz w:val="17"/>
              </w:rPr>
              <w:t>Historical OHLCV / derived series</w:t>
            </w:r>
          </w:p>
        </w:tc>
        <w:tc>
          <w:tcPr>
            <w:tcW w:type="dxa" w:w="2880"/>
            <w:vAlign w:val="center"/>
          </w:tcPr>
          <w:p>
            <w:r/>
            <w:r>
              <w:rPr>
                <w:b w:val="0"/>
                <w:sz w:val="17"/>
              </w:rPr>
              <w:t>Time series</w:t>
            </w:r>
          </w:p>
        </w:tc>
      </w:tr>
      <w:tr>
        <w:tc>
          <w:tcPr>
            <w:tcW w:type="dxa" w:w="2592"/>
            <w:vAlign w:val="center"/>
          </w:tcPr>
          <w:p>
            <w:r/>
            <w:r>
              <w:rPr>
                <w:b w:val="0"/>
                <w:sz w:val="17"/>
              </w:rPr>
              <w:t>GET /stocks/{symbol}/technical</w:t>
            </w:r>
          </w:p>
        </w:tc>
        <w:tc>
          <w:tcPr>
            <w:tcW w:type="dxa" w:w="4032"/>
            <w:vAlign w:val="center"/>
          </w:tcPr>
          <w:p>
            <w:r/>
            <w:r>
              <w:rPr>
                <w:b w:val="0"/>
                <w:sz w:val="17"/>
              </w:rPr>
              <w:t>Technical state</w:t>
            </w:r>
          </w:p>
        </w:tc>
        <w:tc>
          <w:tcPr>
            <w:tcW w:type="dxa" w:w="2880"/>
            <w:vAlign w:val="center"/>
          </w:tcPr>
          <w:p>
            <w:r/>
            <w:r>
              <w:rPr>
                <w:b w:val="0"/>
                <w:sz w:val="17"/>
              </w:rPr>
              <w:t>Indicators + evidence</w:t>
            </w:r>
          </w:p>
        </w:tc>
      </w:tr>
      <w:tr>
        <w:tc>
          <w:tcPr>
            <w:tcW w:type="dxa" w:w="2592"/>
            <w:vAlign w:val="center"/>
          </w:tcPr>
          <w:p>
            <w:r/>
            <w:r>
              <w:rPr>
                <w:b w:val="0"/>
                <w:sz w:val="17"/>
              </w:rPr>
              <w:t>GET /stocks/{symbol}/fundamentals</w:t>
            </w:r>
          </w:p>
        </w:tc>
        <w:tc>
          <w:tcPr>
            <w:tcW w:type="dxa" w:w="4032"/>
            <w:vAlign w:val="center"/>
          </w:tcPr>
          <w:p>
            <w:r/>
            <w:r>
              <w:rPr>
                <w:b w:val="0"/>
                <w:sz w:val="17"/>
              </w:rPr>
              <w:t>Fundamental and valuation context</w:t>
            </w:r>
          </w:p>
        </w:tc>
        <w:tc>
          <w:tcPr>
            <w:tcW w:type="dxa" w:w="2880"/>
            <w:vAlign w:val="center"/>
          </w:tcPr>
          <w:p>
            <w:r/>
            <w:r>
              <w:rPr>
                <w:b w:val="0"/>
                <w:sz w:val="17"/>
              </w:rPr>
              <w:t>Metrics + periods</w:t>
            </w:r>
          </w:p>
        </w:tc>
      </w:tr>
      <w:tr>
        <w:tc>
          <w:tcPr>
            <w:tcW w:type="dxa" w:w="2592"/>
            <w:vAlign w:val="center"/>
          </w:tcPr>
          <w:p>
            <w:r/>
            <w:r>
              <w:rPr>
                <w:b w:val="0"/>
                <w:sz w:val="17"/>
              </w:rPr>
              <w:t>GET /stocks/{symbol}/analysis</w:t>
            </w:r>
          </w:p>
        </w:tc>
        <w:tc>
          <w:tcPr>
            <w:tcW w:type="dxa" w:w="4032"/>
            <w:vAlign w:val="center"/>
          </w:tcPr>
          <w:p>
            <w:r/>
            <w:r>
              <w:rPr>
                <w:b w:val="0"/>
                <w:sz w:val="17"/>
              </w:rPr>
              <w:t>Combined multi-agent analysis</w:t>
            </w:r>
          </w:p>
        </w:tc>
        <w:tc>
          <w:tcPr>
            <w:tcW w:type="dxa" w:w="2880"/>
            <w:vAlign w:val="center"/>
          </w:tcPr>
          <w:p>
            <w:r/>
            <w:r>
              <w:rPr>
                <w:b w:val="0"/>
                <w:sz w:val="17"/>
              </w:rPr>
              <w:t>Opportunity state + evidence</w:t>
            </w:r>
          </w:p>
        </w:tc>
      </w:tr>
      <w:tr>
        <w:tc>
          <w:tcPr>
            <w:tcW w:type="dxa" w:w="2592"/>
            <w:vAlign w:val="center"/>
          </w:tcPr>
          <w:p>
            <w:r/>
            <w:r>
              <w:rPr>
                <w:b w:val="0"/>
                <w:sz w:val="17"/>
              </w:rPr>
              <w:t>GET /stocks/{symbol}/opportunity</w:t>
            </w:r>
          </w:p>
        </w:tc>
        <w:tc>
          <w:tcPr>
            <w:tcW w:type="dxa" w:w="4032"/>
            <w:vAlign w:val="center"/>
          </w:tcPr>
          <w:p>
            <w:r/>
            <w:r>
              <w:rPr>
                <w:b w:val="0"/>
                <w:sz w:val="17"/>
              </w:rPr>
              <w:t>Current entry/opportunity state</w:t>
            </w:r>
          </w:p>
        </w:tc>
        <w:tc>
          <w:tcPr>
            <w:tcW w:type="dxa" w:w="2880"/>
            <w:vAlign w:val="center"/>
          </w:tcPr>
          <w:p>
            <w:r/>
            <w:r>
              <w:rPr>
                <w:b w:val="0"/>
                <w:sz w:val="17"/>
              </w:rPr>
              <w:t>Zones + risks + confidence</w:t>
            </w:r>
          </w:p>
        </w:tc>
      </w:tr>
      <w:tr>
        <w:tc>
          <w:tcPr>
            <w:tcW w:type="dxa" w:w="2592"/>
            <w:vAlign w:val="center"/>
          </w:tcPr>
          <w:p>
            <w:r/>
            <w:r>
              <w:rPr>
                <w:b w:val="0"/>
                <w:sz w:val="17"/>
              </w:rPr>
              <w:t>GET /opportunities/today</w:t>
            </w:r>
          </w:p>
        </w:tc>
        <w:tc>
          <w:tcPr>
            <w:tcW w:type="dxa" w:w="4032"/>
            <w:vAlign w:val="center"/>
          </w:tcPr>
          <w:p>
            <w:r/>
            <w:r>
              <w:rPr>
                <w:b w:val="0"/>
                <w:sz w:val="17"/>
              </w:rPr>
              <w:t>Candidate stock universe after quantitative screening</w:t>
            </w:r>
          </w:p>
        </w:tc>
        <w:tc>
          <w:tcPr>
            <w:tcW w:type="dxa" w:w="2880"/>
            <w:vAlign w:val="center"/>
          </w:tcPr>
          <w:p>
            <w:r/>
            <w:r>
              <w:rPr>
                <w:b w:val="0"/>
                <w:sz w:val="17"/>
              </w:rPr>
              <w:t>Opportunity cards</w:t>
            </w:r>
          </w:p>
        </w:tc>
      </w:tr>
      <w:tr>
        <w:tc>
          <w:tcPr>
            <w:tcW w:type="dxa" w:w="2592"/>
            <w:vAlign w:val="center"/>
          </w:tcPr>
          <w:p>
            <w:r/>
            <w:r>
              <w:rPr>
                <w:b w:val="0"/>
                <w:sz w:val="17"/>
              </w:rPr>
              <w:t>GET /recommendations/{id}</w:t>
            </w:r>
          </w:p>
        </w:tc>
        <w:tc>
          <w:tcPr>
            <w:tcW w:type="dxa" w:w="4032"/>
            <w:vAlign w:val="center"/>
          </w:tcPr>
          <w:p>
            <w:r/>
            <w:r>
              <w:rPr>
                <w:b w:val="0"/>
                <w:sz w:val="17"/>
              </w:rPr>
              <w:t>Historical, auditable recommendation snapshot</w:t>
            </w:r>
          </w:p>
        </w:tc>
        <w:tc>
          <w:tcPr>
            <w:tcW w:type="dxa" w:w="2880"/>
            <w:vAlign w:val="center"/>
          </w:tcPr>
          <w:p>
            <w:r/>
            <w:r>
              <w:rPr>
                <w:b w:val="0"/>
                <w:sz w:val="17"/>
              </w:rPr>
              <w:t>Full decision snapshot</w:t>
            </w:r>
          </w:p>
        </w:tc>
      </w:tr>
      <w:tr>
        <w:tc>
          <w:tcPr>
            <w:tcW w:type="dxa" w:w="2592"/>
            <w:vAlign w:val="center"/>
          </w:tcPr>
          <w:p>
            <w:r/>
            <w:r>
              <w:rPr>
                <w:b w:val="0"/>
                <w:sz w:val="17"/>
              </w:rPr>
              <w:t>WS /market/stream</w:t>
            </w:r>
          </w:p>
        </w:tc>
        <w:tc>
          <w:tcPr>
            <w:tcW w:type="dxa" w:w="4032"/>
            <w:vAlign w:val="center"/>
          </w:tcPr>
          <w:p>
            <w:r/>
            <w:r>
              <w:rPr>
                <w:b w:val="0"/>
                <w:sz w:val="17"/>
              </w:rPr>
              <w:t>Live market updates to clients</w:t>
            </w:r>
          </w:p>
        </w:tc>
        <w:tc>
          <w:tcPr>
            <w:tcW w:type="dxa" w:w="2880"/>
            <w:vAlign w:val="center"/>
          </w:tcPr>
          <w:p>
            <w:r/>
            <w:r>
              <w:rPr>
                <w:b w:val="0"/>
                <w:sz w:val="17"/>
              </w:rPr>
              <w:t>Quote/market event stream</w:t>
            </w:r>
          </w:p>
        </w:tc>
      </w:tr>
    </w:tbl>
    <w:p/>
    <w:p>
      <w:pPr>
        <w:pStyle w:val="Heading1"/>
      </w:pPr>
      <w:r>
        <w:t>12. Real-Time Architecture</w:t>
      </w:r>
    </w:p>
    <w:p>
      <w:pPr>
        <w:pStyle w:val="CodeBlock"/>
      </w:pPr>
      <w:r>
        <w:rPr>
          <w:rFonts w:ascii="Consolas" w:hAnsi="Consolas"/>
          <w:sz w:val="16"/>
        </w:rPr>
        <w:t>Broker / market WebSocket</w:t>
        <w:br/>
      </w:r>
      <w:r>
        <w:rPr>
          <w:rFonts w:ascii="Consolas" w:hAnsi="Consolas"/>
          <w:sz w:val="16"/>
        </w:rPr>
        <w:t xml:space="preserve">          |</w:t>
        <w:br/>
      </w:r>
      <w:r>
        <w:rPr>
          <w:rFonts w:ascii="Consolas" w:hAnsi="Consolas"/>
          <w:sz w:val="16"/>
        </w:rPr>
        <w:t xml:space="preserve">          v</w:t>
        <w:br/>
      </w:r>
      <w:r>
        <w:rPr>
          <w:rFonts w:ascii="Consolas" w:hAnsi="Consolas"/>
          <w:sz w:val="16"/>
        </w:rPr>
        <w:t xml:space="preserve">   Market Data Collector</w:t>
        <w:br/>
      </w:r>
      <w:r>
        <w:rPr>
          <w:rFonts w:ascii="Consolas" w:hAnsi="Consolas"/>
          <w:sz w:val="16"/>
        </w:rPr>
        <w:t xml:space="preserve">          |</w:t>
        <w:br/>
      </w:r>
      <w:r>
        <w:rPr>
          <w:rFonts w:ascii="Consolas" w:hAnsi="Consolas"/>
          <w:sz w:val="16"/>
        </w:rPr>
        <w:t xml:space="preserve">          +----&gt; validation / normalization</w:t>
        <w:br/>
      </w:r>
      <w:r>
        <w:rPr>
          <w:rFonts w:ascii="Consolas" w:hAnsi="Consolas"/>
          <w:sz w:val="16"/>
        </w:rPr>
        <w:t xml:space="preserve">          |</w:t>
        <w:br/>
      </w:r>
      <w:r>
        <w:rPr>
          <w:rFonts w:ascii="Consolas" w:hAnsi="Consolas"/>
          <w:sz w:val="16"/>
        </w:rPr>
        <w:t xml:space="preserve">          v</w:t>
        <w:br/>
      </w:r>
      <w:r>
        <w:rPr>
          <w:rFonts w:ascii="Consolas" w:hAnsi="Consolas"/>
          <w:sz w:val="16"/>
        </w:rPr>
        <w:t xml:space="preserve">        Redis</w:t>
        <w:br/>
      </w:r>
      <w:r>
        <w:rPr>
          <w:rFonts w:ascii="Consolas" w:hAnsi="Consolas"/>
          <w:sz w:val="16"/>
        </w:rPr>
        <w:t xml:space="preserve">          |</w:t>
        <w:br/>
      </w:r>
      <w:r>
        <w:rPr>
          <w:rFonts w:ascii="Consolas" w:hAnsi="Consolas"/>
          <w:sz w:val="16"/>
        </w:rPr>
        <w:t xml:space="preserve">          +----&gt; analytics cache</w:t>
        <w:br/>
      </w:r>
      <w:r>
        <w:rPr>
          <w:rFonts w:ascii="Consolas" w:hAnsi="Consolas"/>
          <w:sz w:val="16"/>
        </w:rPr>
        <w:t xml:space="preserve">          |</w:t>
        <w:br/>
      </w:r>
      <w:r>
        <w:rPr>
          <w:rFonts w:ascii="Consolas" w:hAnsi="Consolas"/>
          <w:sz w:val="16"/>
        </w:rPr>
        <w:t xml:space="preserve">          v</w:t>
        <w:br/>
      </w:r>
      <w:r>
        <w:rPr>
          <w:rFonts w:ascii="Consolas" w:hAnsi="Consolas"/>
          <w:sz w:val="16"/>
        </w:rPr>
        <w:t xml:space="preserve">    WebSocket Gateway</w:t>
        <w:br/>
      </w:r>
      <w:r>
        <w:rPr>
          <w:rFonts w:ascii="Consolas" w:hAnsi="Consolas"/>
          <w:sz w:val="16"/>
        </w:rPr>
        <w:t xml:space="preserve">          |</w:t>
        <w:br/>
      </w:r>
      <w:r>
        <w:rPr>
          <w:rFonts w:ascii="Consolas" w:hAnsi="Consolas"/>
          <w:sz w:val="16"/>
        </w:rPr>
        <w:t xml:space="preserve">          +----&gt; Web / Android / iOS</w:t>
      </w:r>
    </w:p>
    <w:p>
      <w:r>
        <w:t>Clients should share the backend’s market stream rather than each client establishing its own broker connection. This allows centralized rate limiting, normalization, caching, authentication and observability.</w:t>
      </w:r>
    </w:p>
    <w:p>
      <w:pPr>
        <w:pStyle w:val="Heading1"/>
      </w:pPr>
      <w:r>
        <w:t>13. Frontend and Mobile Architecture</w:t>
      </w:r>
    </w:p>
    <w:p>
      <w:r>
        <w:t>Recommended platform strategy based on the stated requirement for responsive web, Android and iOS:</w:t>
      </w:r>
    </w:p>
    <w:p>
      <w:pPr>
        <w:pStyle w:val="ListBullet"/>
        <w:spacing w:after="40"/>
      </w:pPr>
      <w:r>
        <w:t>Web: Next.js + React + TypeScript.</w:t>
      </w:r>
    </w:p>
    <w:p>
      <w:pPr>
        <w:pStyle w:val="ListBullet"/>
        <w:spacing w:after="40"/>
      </w:pPr>
      <w:r>
        <w:t>Mobile: React Native + Expo.</w:t>
      </w:r>
    </w:p>
    <w:p>
      <w:pPr>
        <w:pStyle w:val="ListBullet"/>
        <w:spacing w:after="40"/>
      </w:pPr>
      <w:r>
        <w:t>Shared domain types: TypeScript contracts generated from OpenAPI where practical.</w:t>
      </w:r>
    </w:p>
    <w:p>
      <w:pPr>
        <w:pStyle w:val="ListBullet"/>
        <w:spacing w:after="40"/>
      </w:pPr>
      <w:r>
        <w:t>Charts: a financial charting library suitable for responsive time-series rendering.</w:t>
      </w:r>
    </w:p>
    <w:p>
      <w:pPr>
        <w:pStyle w:val="ListBullet"/>
        <w:spacing w:after="40"/>
      </w:pPr>
      <w:r>
        <w:t>Design: mobile-first cards and progressive disclosure so dense financial detail does not overwhelm smaller screens.</w:t>
      </w:r>
    </w:p>
    <w:p>
      <w:pPr>
        <w:pStyle w:val="Heading2"/>
      </w:pPr>
      <w:r>
        <w:t>Core screens:</w:t>
      </w:r>
    </w:p>
    <w:p>
      <w:pPr>
        <w:pStyle w:val="ListBullet"/>
        <w:spacing w:after="40"/>
      </w:pPr>
      <w:r>
        <w:t>Market Pulse</w:t>
      </w:r>
    </w:p>
    <w:p>
      <w:pPr>
        <w:pStyle w:val="ListBullet"/>
        <w:spacing w:after="40"/>
      </w:pPr>
      <w:r>
        <w:t>Opportunity / candidate list</w:t>
      </w:r>
    </w:p>
    <w:p>
      <w:pPr>
        <w:pStyle w:val="ListBullet"/>
        <w:spacing w:after="40"/>
      </w:pPr>
      <w:r>
        <w:t>Stock detail</w:t>
      </w:r>
    </w:p>
    <w:p>
      <w:pPr>
        <w:pStyle w:val="ListBullet"/>
        <w:spacing w:after="40"/>
      </w:pPr>
      <w:r>
        <w:t>Technical analysis</w:t>
      </w:r>
    </w:p>
    <w:p>
      <w:pPr>
        <w:pStyle w:val="ListBullet"/>
        <w:spacing w:after="40"/>
      </w:pPr>
      <w:r>
        <w:t>Fundamental/valuation analysis</w:t>
      </w:r>
    </w:p>
    <w:p>
      <w:pPr>
        <w:pStyle w:val="ListBullet"/>
        <w:spacing w:after="40"/>
      </w:pPr>
      <w:r>
        <w:t>Entry-zone scenarios</w:t>
      </w:r>
    </w:p>
    <w:p>
      <w:pPr>
        <w:pStyle w:val="ListBullet"/>
        <w:spacing w:after="40"/>
      </w:pPr>
      <w:r>
        <w:t>Agent debate / evidence view</w:t>
      </w:r>
    </w:p>
    <w:p>
      <w:pPr>
        <w:pStyle w:val="ListBullet"/>
        <w:spacing w:after="40"/>
      </w:pPr>
      <w:r>
        <w:t>Risk &amp; invalidation view</w:t>
      </w:r>
    </w:p>
    <w:p>
      <w:pPr>
        <w:pStyle w:val="ListBullet"/>
        <w:spacing w:after="40"/>
      </w:pPr>
      <w:r>
        <w:t>Saved stocks / watchlist</w:t>
      </w:r>
    </w:p>
    <w:p>
      <w:pPr>
        <w:pStyle w:val="ListBullet"/>
        <w:spacing w:after="40"/>
      </w:pPr>
      <w:r>
        <w:t>Portfolio (future phase)</w:t>
      </w:r>
    </w:p>
    <w:p>
      <w:pPr>
        <w:pStyle w:val="ListBullet"/>
        <w:spacing w:after="40"/>
      </w:pPr>
      <w:r>
        <w:t>Alerts / notifications</w:t>
      </w:r>
    </w:p>
    <w:p>
      <w:pPr>
        <w:pStyle w:val="Heading1"/>
      </w:pPr>
      <w:r>
        <w:t>14. Security and Operational Architecture</w:t>
      </w:r>
    </w:p>
    <w:p>
      <w:pPr>
        <w:pStyle w:val="ListBullet"/>
        <w:spacing w:after="40"/>
      </w:pPr>
      <w:r>
        <w:t>OAuth/JWT-based authentication and authorization.</w:t>
      </w:r>
    </w:p>
    <w:p>
      <w:pPr>
        <w:pStyle w:val="ListBullet"/>
        <w:spacing w:after="40"/>
      </w:pPr>
      <w:r>
        <w:t>Do not store broker credentials in plaintext. Use a secrets-management service such as AWS Secrets Manager or Azure Key Vault.</w:t>
      </w:r>
    </w:p>
    <w:p>
      <w:pPr>
        <w:pStyle w:val="ListBullet"/>
        <w:spacing w:after="40"/>
      </w:pPr>
      <w:r>
        <w:t>Apply rate limiting and abuse protection at the API gateway.</w:t>
      </w:r>
    </w:p>
    <w:p>
      <w:pPr>
        <w:pStyle w:val="ListBullet"/>
        <w:spacing w:after="40"/>
      </w:pPr>
      <w:r>
        <w:t>Separate user data from market-data infrastructure.</w:t>
      </w:r>
    </w:p>
    <w:p>
      <w:pPr>
        <w:pStyle w:val="ListBullet"/>
        <w:spacing w:after="40"/>
      </w:pPr>
      <w:r>
        <w:t>Audit important recommendation requests and model decisions.</w:t>
      </w:r>
    </w:p>
    <w:p>
      <w:pPr>
        <w:pStyle w:val="ListBullet"/>
        <w:spacing w:after="40"/>
      </w:pPr>
      <w:r>
        <w:t>Use observability for data freshness, provider failures, queue latency, agent failures, model version, and recommendation generation latency.</w:t>
      </w:r>
    </w:p>
    <w:p>
      <w:pPr>
        <w:pStyle w:val="ListBullet"/>
        <w:spacing w:after="40"/>
      </w:pPr>
      <w:r>
        <w:t>Use feature flags for provider or model rollouts.</w:t>
      </w:r>
    </w:p>
    <w:p>
      <w:pPr>
        <w:pStyle w:val="ListBullet"/>
        <w:spacing w:after="40"/>
      </w:pPr>
      <w:r>
        <w:t>Version prompts, agent contracts, feature code and models so historical decisions remain explainable.</w:t>
      </w:r>
    </w:p>
    <w:p>
      <w:pPr>
        <w:pStyle w:val="Heading1"/>
      </w:pPr>
      <w:r>
        <w:t>15. Infrastructure and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F4E78"/>
          </w:tcPr>
          <w:p>
            <w:r/>
            <w:r>
              <w:rPr>
                <w:b/>
                <w:color w:val="FFFFFF"/>
                <w:sz w:val="17"/>
              </w:rPr>
              <w:t>Layer</w:t>
            </w:r>
          </w:p>
        </w:tc>
        <w:tc>
          <w:tcPr>
            <w:tcW w:type="dxa" w:w="3168"/>
            <w:vAlign w:val="center"/>
            <w:shd w:fill="1F4E78"/>
          </w:tcPr>
          <w:p>
            <w:r/>
            <w:r>
              <w:rPr>
                <w:b/>
                <w:color w:val="FFFFFF"/>
                <w:sz w:val="17"/>
              </w:rPr>
              <w:t>Recommended technology</w:t>
            </w:r>
          </w:p>
        </w:tc>
        <w:tc>
          <w:tcPr>
            <w:tcW w:type="dxa" w:w="4320"/>
            <w:vAlign w:val="center"/>
            <w:shd w:fill="1F4E78"/>
          </w:tcPr>
          <w:p>
            <w:r/>
            <w:r>
              <w:rPr>
                <w:b/>
                <w:color w:val="FFFFFF"/>
                <w:sz w:val="17"/>
              </w:rPr>
              <w:t>Reason</w:t>
            </w:r>
          </w:p>
        </w:tc>
      </w:tr>
      <w:tr>
        <w:tc>
          <w:tcPr>
            <w:tcW w:type="dxa" w:w="2016"/>
            <w:vAlign w:val="center"/>
          </w:tcPr>
          <w:p>
            <w:r/>
            <w:r>
              <w:rPr>
                <w:b w:val="0"/>
                <w:sz w:val="17"/>
              </w:rPr>
              <w:t>Backend API</w:t>
            </w:r>
          </w:p>
        </w:tc>
        <w:tc>
          <w:tcPr>
            <w:tcW w:type="dxa" w:w="3168"/>
            <w:vAlign w:val="center"/>
          </w:tcPr>
          <w:p>
            <w:r/>
            <w:r>
              <w:rPr>
                <w:b w:val="0"/>
                <w:sz w:val="17"/>
              </w:rPr>
              <w:t>Python + FastAPI</w:t>
            </w:r>
          </w:p>
        </w:tc>
        <w:tc>
          <w:tcPr>
            <w:tcW w:type="dxa" w:w="4320"/>
            <w:vAlign w:val="center"/>
          </w:tcPr>
          <w:p>
            <w:r/>
            <w:r>
              <w:rPr>
                <w:b w:val="0"/>
                <w:sz w:val="17"/>
              </w:rPr>
              <w:t>Strong fit for data/ML workloads and typed APIs</w:t>
            </w:r>
          </w:p>
        </w:tc>
      </w:tr>
      <w:tr>
        <w:tc>
          <w:tcPr>
            <w:tcW w:type="dxa" w:w="2016"/>
            <w:vAlign w:val="center"/>
          </w:tcPr>
          <w:p>
            <w:r/>
            <w:r>
              <w:rPr>
                <w:b w:val="0"/>
                <w:sz w:val="17"/>
              </w:rPr>
              <w:t>Time series DB</w:t>
            </w:r>
          </w:p>
        </w:tc>
        <w:tc>
          <w:tcPr>
            <w:tcW w:type="dxa" w:w="3168"/>
            <w:vAlign w:val="center"/>
          </w:tcPr>
          <w:p>
            <w:r/>
            <w:r>
              <w:rPr>
                <w:b w:val="0"/>
                <w:sz w:val="17"/>
              </w:rPr>
              <w:t>PostgreSQL + TimescaleDB</w:t>
            </w:r>
          </w:p>
        </w:tc>
        <w:tc>
          <w:tcPr>
            <w:tcW w:type="dxa" w:w="4320"/>
            <w:vAlign w:val="center"/>
          </w:tcPr>
          <w:p>
            <w:r/>
            <w:r>
              <w:rPr>
                <w:b w:val="0"/>
                <w:sz w:val="17"/>
              </w:rPr>
              <w:t>Relational integrity plus time-series queries</w:t>
            </w:r>
          </w:p>
        </w:tc>
      </w:tr>
      <w:tr>
        <w:tc>
          <w:tcPr>
            <w:tcW w:type="dxa" w:w="2016"/>
            <w:vAlign w:val="center"/>
          </w:tcPr>
          <w:p>
            <w:r/>
            <w:r>
              <w:rPr>
                <w:b w:val="0"/>
                <w:sz w:val="17"/>
              </w:rPr>
              <w:t>Cache / stream</w:t>
            </w:r>
          </w:p>
        </w:tc>
        <w:tc>
          <w:tcPr>
            <w:tcW w:type="dxa" w:w="3168"/>
            <w:vAlign w:val="center"/>
          </w:tcPr>
          <w:p>
            <w:r/>
            <w:r>
              <w:rPr>
                <w:b w:val="0"/>
                <w:sz w:val="17"/>
              </w:rPr>
              <w:t>Redis</w:t>
            </w:r>
          </w:p>
        </w:tc>
        <w:tc>
          <w:tcPr>
            <w:tcW w:type="dxa" w:w="4320"/>
            <w:vAlign w:val="center"/>
          </w:tcPr>
          <w:p>
            <w:r/>
            <w:r>
              <w:rPr>
                <w:b w:val="0"/>
                <w:sz w:val="17"/>
              </w:rPr>
              <w:t>Low-latency latest-price and computed-signal access</w:t>
            </w:r>
          </w:p>
        </w:tc>
      </w:tr>
      <w:tr>
        <w:tc>
          <w:tcPr>
            <w:tcW w:type="dxa" w:w="2016"/>
            <w:vAlign w:val="center"/>
          </w:tcPr>
          <w:p>
            <w:r/>
            <w:r>
              <w:rPr>
                <w:b w:val="0"/>
                <w:sz w:val="17"/>
              </w:rPr>
              <w:t>Async jobs</w:t>
            </w:r>
          </w:p>
        </w:tc>
        <w:tc>
          <w:tcPr>
            <w:tcW w:type="dxa" w:w="3168"/>
            <w:vAlign w:val="center"/>
          </w:tcPr>
          <w:p>
            <w:r/>
            <w:r>
              <w:rPr>
                <w:b w:val="0"/>
                <w:sz w:val="17"/>
              </w:rPr>
              <w:t>Celery or Dramatiq</w:t>
            </w:r>
          </w:p>
        </w:tc>
        <w:tc>
          <w:tcPr>
            <w:tcW w:type="dxa" w:w="4320"/>
            <w:vAlign w:val="center"/>
          </w:tcPr>
          <w:p>
            <w:r/>
            <w:r>
              <w:rPr>
                <w:b w:val="0"/>
                <w:sz w:val="17"/>
              </w:rPr>
              <w:t>Scheduled ingestion, feature computation, agent runs and alerts</w:t>
            </w:r>
          </w:p>
        </w:tc>
      </w:tr>
      <w:tr>
        <w:tc>
          <w:tcPr>
            <w:tcW w:type="dxa" w:w="2016"/>
            <w:vAlign w:val="center"/>
          </w:tcPr>
          <w:p>
            <w:r/>
            <w:r>
              <w:rPr>
                <w:b w:val="0"/>
                <w:sz w:val="17"/>
              </w:rPr>
              <w:t>Object storage</w:t>
            </w:r>
          </w:p>
        </w:tc>
        <w:tc>
          <w:tcPr>
            <w:tcW w:type="dxa" w:w="3168"/>
            <w:vAlign w:val="center"/>
          </w:tcPr>
          <w:p>
            <w:r/>
            <w:r>
              <w:rPr>
                <w:b w:val="0"/>
                <w:sz w:val="17"/>
              </w:rPr>
              <w:t>S3 / Azure Blob</w:t>
            </w:r>
          </w:p>
        </w:tc>
        <w:tc>
          <w:tcPr>
            <w:tcW w:type="dxa" w:w="4320"/>
            <w:vAlign w:val="center"/>
          </w:tcPr>
          <w:p>
            <w:r/>
            <w:r>
              <w:rPr>
                <w:b w:val="0"/>
                <w:sz w:val="17"/>
              </w:rPr>
              <w:t>Raw files, historical datasets, model artifacts</w:t>
            </w:r>
          </w:p>
        </w:tc>
      </w:tr>
      <w:tr>
        <w:tc>
          <w:tcPr>
            <w:tcW w:type="dxa" w:w="2016"/>
            <w:vAlign w:val="center"/>
          </w:tcPr>
          <w:p>
            <w:r/>
            <w:r>
              <w:rPr>
                <w:b w:val="0"/>
                <w:sz w:val="17"/>
              </w:rPr>
              <w:t>Frontend web</w:t>
            </w:r>
          </w:p>
        </w:tc>
        <w:tc>
          <w:tcPr>
            <w:tcW w:type="dxa" w:w="3168"/>
            <w:vAlign w:val="center"/>
          </w:tcPr>
          <w:p>
            <w:r/>
            <w:r>
              <w:rPr>
                <w:b w:val="0"/>
                <w:sz w:val="17"/>
              </w:rPr>
              <w:t>Next.js + React + TypeScript</w:t>
            </w:r>
          </w:p>
        </w:tc>
        <w:tc>
          <w:tcPr>
            <w:tcW w:type="dxa" w:w="4320"/>
            <w:vAlign w:val="center"/>
          </w:tcPr>
          <w:p>
            <w:r/>
            <w:r>
              <w:rPr>
                <w:b w:val="0"/>
                <w:sz w:val="17"/>
              </w:rPr>
              <w:t>Responsive web and mature data-dashboard ecosystem</w:t>
            </w:r>
          </w:p>
        </w:tc>
      </w:tr>
      <w:tr>
        <w:tc>
          <w:tcPr>
            <w:tcW w:type="dxa" w:w="2016"/>
            <w:vAlign w:val="center"/>
          </w:tcPr>
          <w:p>
            <w:r/>
            <w:r>
              <w:rPr>
                <w:b w:val="0"/>
                <w:sz w:val="17"/>
              </w:rPr>
              <w:t>Mobile</w:t>
            </w:r>
          </w:p>
        </w:tc>
        <w:tc>
          <w:tcPr>
            <w:tcW w:type="dxa" w:w="3168"/>
            <w:vAlign w:val="center"/>
          </w:tcPr>
          <w:p>
            <w:r/>
            <w:r>
              <w:rPr>
                <w:b w:val="0"/>
                <w:sz w:val="17"/>
              </w:rPr>
              <w:t>React Native + Expo</w:t>
            </w:r>
          </w:p>
        </w:tc>
        <w:tc>
          <w:tcPr>
            <w:tcW w:type="dxa" w:w="4320"/>
            <w:vAlign w:val="center"/>
          </w:tcPr>
          <w:p>
            <w:r/>
            <w:r>
              <w:rPr>
                <w:b w:val="0"/>
                <w:sz w:val="17"/>
              </w:rPr>
              <w:t>Shared TypeScript ecosystem for Android/iOS</w:t>
            </w:r>
          </w:p>
        </w:tc>
      </w:tr>
      <w:tr>
        <w:tc>
          <w:tcPr>
            <w:tcW w:type="dxa" w:w="2016"/>
            <w:vAlign w:val="center"/>
          </w:tcPr>
          <w:p>
            <w:r/>
            <w:r>
              <w:rPr>
                <w:b w:val="0"/>
                <w:sz w:val="17"/>
              </w:rPr>
              <w:t>ML</w:t>
            </w:r>
          </w:p>
        </w:tc>
        <w:tc>
          <w:tcPr>
            <w:tcW w:type="dxa" w:w="3168"/>
            <w:vAlign w:val="center"/>
          </w:tcPr>
          <w:p>
            <w:r/>
            <w:r>
              <w:rPr>
                <w:b w:val="0"/>
                <w:sz w:val="17"/>
              </w:rPr>
              <w:t>scikit-learn, XGBoost, PyTorch as needed</w:t>
            </w:r>
          </w:p>
        </w:tc>
        <w:tc>
          <w:tcPr>
            <w:tcW w:type="dxa" w:w="4320"/>
            <w:vAlign w:val="center"/>
          </w:tcPr>
          <w:p>
            <w:r/>
            <w:r>
              <w:rPr>
                <w:b w:val="0"/>
                <w:sz w:val="17"/>
              </w:rPr>
              <w:t>Classical models first; deep learning only when justified</w:t>
            </w:r>
          </w:p>
        </w:tc>
      </w:tr>
      <w:tr>
        <w:tc>
          <w:tcPr>
            <w:tcW w:type="dxa" w:w="2016"/>
            <w:vAlign w:val="center"/>
          </w:tcPr>
          <w:p>
            <w:r/>
            <w:r>
              <w:rPr>
                <w:b w:val="0"/>
                <w:sz w:val="17"/>
              </w:rPr>
              <w:t>AI orchestration</w:t>
            </w:r>
          </w:p>
        </w:tc>
        <w:tc>
          <w:tcPr>
            <w:tcW w:type="dxa" w:w="3168"/>
            <w:vAlign w:val="center"/>
          </w:tcPr>
          <w:p>
            <w:r/>
            <w:r>
              <w:rPr>
                <w:b w:val="0"/>
                <w:sz w:val="17"/>
              </w:rPr>
              <w:t>LangGraph or custom orchestration</w:t>
            </w:r>
          </w:p>
        </w:tc>
        <w:tc>
          <w:tcPr>
            <w:tcW w:type="dxa" w:w="4320"/>
            <w:vAlign w:val="center"/>
          </w:tcPr>
          <w:p>
            <w:r/>
            <w:r>
              <w:rPr>
                <w:b w:val="0"/>
                <w:sz w:val="17"/>
              </w:rPr>
              <w:t>Explicit stateful multi-step agent graph</w:t>
            </w:r>
          </w:p>
        </w:tc>
      </w:tr>
      <w:tr>
        <w:tc>
          <w:tcPr>
            <w:tcW w:type="dxa" w:w="2016"/>
            <w:vAlign w:val="center"/>
          </w:tcPr>
          <w:p>
            <w:r/>
            <w:r>
              <w:rPr>
                <w:b w:val="0"/>
                <w:sz w:val="17"/>
              </w:rPr>
              <w:t>Containers</w:t>
            </w:r>
          </w:p>
        </w:tc>
        <w:tc>
          <w:tcPr>
            <w:tcW w:type="dxa" w:w="3168"/>
            <w:vAlign w:val="center"/>
          </w:tcPr>
          <w:p>
            <w:r/>
            <w:r>
              <w:rPr>
                <w:b w:val="0"/>
                <w:sz w:val="17"/>
              </w:rPr>
              <w:t>Docker</w:t>
            </w:r>
          </w:p>
        </w:tc>
        <w:tc>
          <w:tcPr>
            <w:tcW w:type="dxa" w:w="4320"/>
            <w:vAlign w:val="center"/>
          </w:tcPr>
          <w:p>
            <w:r/>
            <w:r>
              <w:rPr>
                <w:b w:val="0"/>
                <w:sz w:val="17"/>
              </w:rPr>
              <w:t>Repeatable local and cloud environments</w:t>
            </w:r>
          </w:p>
        </w:tc>
      </w:tr>
      <w:tr>
        <w:tc>
          <w:tcPr>
            <w:tcW w:type="dxa" w:w="2016"/>
            <w:vAlign w:val="center"/>
          </w:tcPr>
          <w:p>
            <w:r/>
            <w:r>
              <w:rPr>
                <w:b w:val="0"/>
                <w:sz w:val="17"/>
              </w:rPr>
              <w:t>CI/CD</w:t>
            </w:r>
          </w:p>
        </w:tc>
        <w:tc>
          <w:tcPr>
            <w:tcW w:type="dxa" w:w="3168"/>
            <w:vAlign w:val="center"/>
          </w:tcPr>
          <w:p>
            <w:r/>
            <w:r>
              <w:rPr>
                <w:b w:val="0"/>
                <w:sz w:val="17"/>
              </w:rPr>
              <w:t>GitHub Actions</w:t>
            </w:r>
          </w:p>
        </w:tc>
        <w:tc>
          <w:tcPr>
            <w:tcW w:type="dxa" w:w="4320"/>
            <w:vAlign w:val="center"/>
          </w:tcPr>
          <w:p>
            <w:r/>
            <w:r>
              <w:rPr>
                <w:b w:val="0"/>
                <w:sz w:val="17"/>
              </w:rPr>
              <w:t>Automated tests, builds and deployments</w:t>
            </w:r>
          </w:p>
        </w:tc>
      </w:tr>
      <w:tr>
        <w:tc>
          <w:tcPr>
            <w:tcW w:type="dxa" w:w="2016"/>
            <w:vAlign w:val="center"/>
          </w:tcPr>
          <w:p>
            <w:r/>
            <w:r>
              <w:rPr>
                <w:b w:val="0"/>
                <w:sz w:val="17"/>
              </w:rPr>
              <w:t>Cloud</w:t>
            </w:r>
          </w:p>
        </w:tc>
        <w:tc>
          <w:tcPr>
            <w:tcW w:type="dxa" w:w="3168"/>
            <w:vAlign w:val="center"/>
          </w:tcPr>
          <w:p>
            <w:r/>
            <w:r>
              <w:rPr>
                <w:b w:val="0"/>
                <w:sz w:val="17"/>
              </w:rPr>
              <w:t>AWS or Azure</w:t>
            </w:r>
          </w:p>
        </w:tc>
        <w:tc>
          <w:tcPr>
            <w:tcW w:type="dxa" w:w="4320"/>
            <w:vAlign w:val="center"/>
          </w:tcPr>
          <w:p>
            <w:r/>
            <w:r>
              <w:rPr>
                <w:b w:val="0"/>
                <w:sz w:val="17"/>
              </w:rPr>
              <w:t>Managed databases, secrets, object storage, queues and observability</w:t>
            </w:r>
          </w:p>
        </w:tc>
      </w:tr>
    </w:tbl>
    <w:p/>
    <w:p>
      <w:pPr>
        <w:pStyle w:val="Heading1"/>
      </w:pPr>
      <w:r>
        <w:t>16. Database Schema Outline</w:t>
      </w:r>
    </w:p>
    <w:p>
      <w:pPr>
        <w:pStyle w:val="CodeBlock"/>
      </w:pPr>
      <w:r>
        <w:rPr>
          <w:rFonts w:ascii="Consolas" w:hAnsi="Consolas"/>
          <w:sz w:val="16"/>
        </w:rPr>
        <w:t>users</w:t>
        <w:br/>
      </w:r>
      <w:r>
        <w:rPr>
          <w:rFonts w:ascii="Consolas" w:hAnsi="Consolas"/>
          <w:sz w:val="16"/>
        </w:rPr>
        <w:t>portfolios</w:t>
        <w:br/>
      </w:r>
      <w:r>
        <w:rPr>
          <w:rFonts w:ascii="Consolas" w:hAnsi="Consolas"/>
          <w:sz w:val="16"/>
        </w:rPr>
        <w:t>watchlists</w:t>
        <w:br/>
      </w:r>
      <w:r>
        <w:rPr>
          <w:rFonts w:ascii="Consolas" w:hAnsi="Consolas"/>
          <w:sz w:val="16"/>
        </w:rPr>
        <w:br/>
      </w:r>
      <w:r>
        <w:rPr>
          <w:rFonts w:ascii="Consolas" w:hAnsi="Consolas"/>
          <w:sz w:val="16"/>
        </w:rPr>
        <w:t>instruments</w:t>
        <w:br/>
      </w:r>
      <w:r>
        <w:rPr>
          <w:rFonts w:ascii="Consolas" w:hAnsi="Consolas"/>
          <w:sz w:val="16"/>
        </w:rPr>
        <w:t>market_candles</w:t>
        <w:br/>
      </w:r>
      <w:r>
        <w:rPr>
          <w:rFonts w:ascii="Consolas" w:hAnsi="Consolas"/>
          <w:sz w:val="16"/>
        </w:rPr>
        <w:t>market_quotes</w:t>
        <w:br/>
      </w:r>
      <w:r>
        <w:rPr>
          <w:rFonts w:ascii="Consolas" w:hAnsi="Consolas"/>
          <w:sz w:val="16"/>
        </w:rPr>
        <w:t>market_depth_snapshots</w:t>
        <w:br/>
      </w:r>
      <w:r>
        <w:rPr>
          <w:rFonts w:ascii="Consolas" w:hAnsi="Consolas"/>
          <w:sz w:val="16"/>
        </w:rPr>
        <w:t>corporate_actions</w:t>
        <w:br/>
      </w:r>
      <w:r>
        <w:rPr>
          <w:rFonts w:ascii="Consolas" w:hAnsi="Consolas"/>
          <w:sz w:val="16"/>
        </w:rPr>
        <w:br/>
      </w:r>
      <w:r>
        <w:rPr>
          <w:rFonts w:ascii="Consolas" w:hAnsi="Consolas"/>
          <w:sz w:val="16"/>
        </w:rPr>
        <w:t>fundamentals</w:t>
        <w:br/>
      </w:r>
      <w:r>
        <w:rPr>
          <w:rFonts w:ascii="Consolas" w:hAnsi="Consolas"/>
          <w:sz w:val="16"/>
        </w:rPr>
        <w:t>financial_periods</w:t>
        <w:br/>
      </w:r>
      <w:r>
        <w:rPr>
          <w:rFonts w:ascii="Consolas" w:hAnsi="Consolas"/>
          <w:sz w:val="16"/>
        </w:rPr>
        <w:t>shareholding</w:t>
        <w:br/>
      </w:r>
      <w:r>
        <w:rPr>
          <w:rFonts w:ascii="Consolas" w:hAnsi="Consolas"/>
          <w:sz w:val="16"/>
        </w:rPr>
        <w:t>sector_classification</w:t>
        <w:br/>
      </w:r>
      <w:r>
        <w:rPr>
          <w:rFonts w:ascii="Consolas" w:hAnsi="Consolas"/>
          <w:sz w:val="16"/>
        </w:rPr>
        <w:br/>
      </w:r>
      <w:r>
        <w:rPr>
          <w:rFonts w:ascii="Consolas" w:hAnsi="Consolas"/>
          <w:sz w:val="16"/>
        </w:rPr>
        <w:t>technical_indicators</w:t>
        <w:br/>
      </w:r>
      <w:r>
        <w:rPr>
          <w:rFonts w:ascii="Consolas" w:hAnsi="Consolas"/>
          <w:sz w:val="16"/>
        </w:rPr>
        <w:t>market_regime_features</w:t>
        <w:br/>
      </w:r>
      <w:r>
        <w:rPr>
          <w:rFonts w:ascii="Consolas" w:hAnsi="Consolas"/>
          <w:sz w:val="16"/>
        </w:rPr>
        <w:t>valuation_features</w:t>
        <w:br/>
      </w:r>
      <w:r>
        <w:rPr>
          <w:rFonts w:ascii="Consolas" w:hAnsi="Consolas"/>
          <w:sz w:val="16"/>
        </w:rPr>
        <w:br/>
      </w:r>
      <w:r>
        <w:rPr>
          <w:rFonts w:ascii="Consolas" w:hAnsi="Consolas"/>
          <w:sz w:val="16"/>
        </w:rPr>
        <w:t>agent_runs</w:t>
        <w:br/>
      </w:r>
      <w:r>
        <w:rPr>
          <w:rFonts w:ascii="Consolas" w:hAnsi="Consolas"/>
          <w:sz w:val="16"/>
        </w:rPr>
        <w:t>agent_evidence</w:t>
        <w:br/>
      </w:r>
      <w:r>
        <w:rPr>
          <w:rFonts w:ascii="Consolas" w:hAnsi="Consolas"/>
          <w:sz w:val="16"/>
        </w:rPr>
        <w:t>agent_claims</w:t>
        <w:br/>
      </w:r>
      <w:r>
        <w:rPr>
          <w:rFonts w:ascii="Consolas" w:hAnsi="Consolas"/>
          <w:sz w:val="16"/>
        </w:rPr>
        <w:t>critic_runs</w:t>
        <w:br/>
      </w:r>
      <w:r>
        <w:rPr>
          <w:rFonts w:ascii="Consolas" w:hAnsi="Consolas"/>
          <w:sz w:val="16"/>
        </w:rPr>
        <w:t>recommendation_snapshots</w:t>
        <w:br/>
      </w:r>
      <w:r>
        <w:rPr>
          <w:rFonts w:ascii="Consolas" w:hAnsi="Consolas"/>
          <w:sz w:val="16"/>
        </w:rPr>
        <w:t>recommendation_outcomes</w:t>
        <w:br/>
      </w:r>
      <w:r>
        <w:rPr>
          <w:rFonts w:ascii="Consolas" w:hAnsi="Consolas"/>
          <w:sz w:val="16"/>
        </w:rPr>
        <w:t>model_versions</w:t>
        <w:br/>
      </w:r>
      <w:r>
        <w:rPr>
          <w:rFonts w:ascii="Consolas" w:hAnsi="Consolas"/>
          <w:sz w:val="16"/>
        </w:rPr>
        <w:t>data_versions</w:t>
        <w:br/>
      </w:r>
      <w:r>
        <w:rPr>
          <w:rFonts w:ascii="Consolas" w:hAnsi="Consolas"/>
          <w:sz w:val="16"/>
        </w:rPr>
        <w:br/>
      </w:r>
      <w:r>
        <w:rPr>
          <w:rFonts w:ascii="Consolas" w:hAnsi="Consolas"/>
          <w:sz w:val="16"/>
        </w:rPr>
        <w:t>alerts</w:t>
        <w:br/>
      </w:r>
      <w:r>
        <w:rPr>
          <w:rFonts w:ascii="Consolas" w:hAnsi="Consolas"/>
          <w:sz w:val="16"/>
        </w:rPr>
        <w:t>notifications</w:t>
        <w:br/>
      </w:r>
      <w:r>
        <w:rPr>
          <w:rFonts w:ascii="Consolas" w:hAnsi="Consolas"/>
          <w:sz w:val="16"/>
        </w:rPr>
        <w:t>audit_logs</w:t>
      </w:r>
    </w:p>
    <w:p>
      <w:pPr>
        <w:pStyle w:val="Heading1"/>
      </w:pPr>
      <w:r>
        <w:t>17. Example Agent Contracts</w:t>
      </w:r>
    </w:p>
    <w:p>
      <w:r>
        <w:t>Every agent should produce structured output. A representative contract is below.</w:t>
      </w:r>
    </w:p>
    <w:p>
      <w:pPr>
        <w:pStyle w:val="CodeBlock"/>
      </w:pPr>
      <w:r>
        <w:rPr>
          <w:rFonts w:ascii="Consolas" w:hAnsi="Consolas"/>
          <w:sz w:val="16"/>
        </w:rPr>
        <w:t>{</w:t>
        <w:br/>
      </w:r>
      <w:r>
        <w:rPr>
          <w:rFonts w:ascii="Consolas" w:hAnsi="Consolas"/>
          <w:sz w:val="16"/>
        </w:rPr>
        <w:t xml:space="preserve">  "agent": "technical_agent",</w:t>
        <w:br/>
      </w:r>
      <w:r>
        <w:rPr>
          <w:rFonts w:ascii="Consolas" w:hAnsi="Consolas"/>
          <w:sz w:val="16"/>
        </w:rPr>
        <w:t xml:space="preserve">  "symbol": "RELIANCE",</w:t>
        <w:br/>
      </w:r>
      <w:r>
        <w:rPr>
          <w:rFonts w:ascii="Consolas" w:hAnsi="Consolas"/>
          <w:sz w:val="16"/>
        </w:rPr>
        <w:t xml:space="preserve">  "timestamp": "2026-09-16T14:30:00+05:30",</w:t>
        <w:br/>
      </w:r>
      <w:r>
        <w:rPr>
          <w:rFonts w:ascii="Consolas" w:hAnsi="Consolas"/>
          <w:sz w:val="16"/>
        </w:rPr>
        <w:t xml:space="preserve">  "signals": {</w:t>
        <w:br/>
      </w:r>
      <w:r>
        <w:rPr>
          <w:rFonts w:ascii="Consolas" w:hAnsi="Consolas"/>
          <w:sz w:val="16"/>
        </w:rPr>
        <w:t xml:space="preserve">    "trend": "neutral",</w:t>
        <w:br/>
      </w:r>
      <w:r>
        <w:rPr>
          <w:rFonts w:ascii="Consolas" w:hAnsi="Consolas"/>
          <w:sz w:val="16"/>
        </w:rPr>
        <w:t xml:space="preserve">    "momentum": "bearish",</w:t>
        <w:br/>
      </w:r>
      <w:r>
        <w:rPr>
          <w:rFonts w:ascii="Consolas" w:hAnsi="Consolas"/>
          <w:sz w:val="16"/>
        </w:rPr>
        <w:t xml:space="preserve">    "volume": "positive"</w:t>
        <w:br/>
      </w:r>
      <w:r>
        <w:rPr>
          <w:rFonts w:ascii="Consolas" w:hAnsi="Consolas"/>
          <w:sz w:val="16"/>
        </w:rPr>
        <w:t xml:space="preserve">  },</w:t>
        <w:br/>
      </w:r>
      <w:r>
        <w:rPr>
          <w:rFonts w:ascii="Consolas" w:hAnsi="Consolas"/>
          <w:sz w:val="16"/>
        </w:rPr>
        <w:t xml:space="preserve">  "evidence": [</w:t>
        <w:br/>
      </w:r>
      <w:r>
        <w:rPr>
          <w:rFonts w:ascii="Consolas" w:hAnsi="Consolas"/>
          <w:sz w:val="16"/>
        </w:rPr>
        <w:t xml:space="preserve">    {</w:t>
        <w:br/>
      </w:r>
      <w:r>
        <w:rPr>
          <w:rFonts w:ascii="Consolas" w:hAnsi="Consolas"/>
          <w:sz w:val="16"/>
        </w:rPr>
        <w:t xml:space="preserve">      "metric": "RSI",</w:t>
        <w:br/>
      </w:r>
      <w:r>
        <w:rPr>
          <w:rFonts w:ascii="Consolas" w:hAnsi="Consolas"/>
          <w:sz w:val="16"/>
        </w:rPr>
        <w:t xml:space="preserve">      "value": 34,</w:t>
        <w:br/>
      </w:r>
      <w:r>
        <w:rPr>
          <w:rFonts w:ascii="Consolas" w:hAnsi="Consolas"/>
          <w:sz w:val="16"/>
        </w:rPr>
        <w:t xml:space="preserve">      "interpretation": "weak momentum"</w:t>
        <w:br/>
      </w:r>
      <w:r>
        <w:rPr>
          <w:rFonts w:ascii="Consolas" w:hAnsi="Consolas"/>
          <w:sz w:val="16"/>
        </w:rPr>
        <w:t xml:space="preserve">    }</w:t>
        <w:br/>
      </w:r>
      <w:r>
        <w:rPr>
          <w:rFonts w:ascii="Consolas" w:hAnsi="Consolas"/>
          <w:sz w:val="16"/>
        </w:rPr>
        <w:t xml:space="preserve">  ],</w:t>
        <w:br/>
      </w:r>
      <w:r>
        <w:rPr>
          <w:rFonts w:ascii="Consolas" w:hAnsi="Consolas"/>
          <w:sz w:val="16"/>
        </w:rPr>
        <w:t xml:space="preserve">  "confidence": 0.74,</w:t>
        <w:br/>
      </w:r>
      <w:r>
        <w:rPr>
          <w:rFonts w:ascii="Consolas" w:hAnsi="Consolas"/>
          <w:sz w:val="16"/>
        </w:rPr>
        <w:t xml:space="preserve">  "data_timestamp": "...",</w:t>
        <w:br/>
      </w:r>
      <w:r>
        <w:rPr>
          <w:rFonts w:ascii="Consolas" w:hAnsi="Consolas"/>
          <w:sz w:val="16"/>
        </w:rPr>
        <w:t xml:space="preserve">  "model_version": "technical-v3"</w:t>
        <w:br/>
      </w:r>
      <w:r>
        <w:rPr>
          <w:rFonts w:ascii="Consolas" w:hAnsi="Consolas"/>
          <w:sz w:val="16"/>
        </w:rPr>
        <w:t>}</w:t>
      </w:r>
    </w:p>
    <w:p>
      <w:pPr>
        <w:pStyle w:val="Heading2"/>
      </w:pPr>
      <w:r>
        <w:t>Representative final opportunity object:</w:t>
      </w:r>
    </w:p>
    <w:p>
      <w:pPr>
        <w:pStyle w:val="CodeBlock"/>
      </w:pPr>
      <w:r>
        <w:rPr>
          <w:rFonts w:ascii="Consolas" w:hAnsi="Consolas"/>
          <w:sz w:val="16"/>
        </w:rPr>
        <w:t>{</w:t>
        <w:br/>
      </w:r>
      <w:r>
        <w:rPr>
          <w:rFonts w:ascii="Consolas" w:hAnsi="Consolas"/>
          <w:sz w:val="16"/>
        </w:rPr>
        <w:t xml:space="preserve">  "symbol": "RELIANCE",</w:t>
        <w:br/>
      </w:r>
      <w:r>
        <w:rPr>
          <w:rFonts w:ascii="Consolas" w:hAnsi="Consolas"/>
          <w:sz w:val="16"/>
        </w:rPr>
        <w:t xml:space="preserve">  "market_regime": "NEUTRAL",</w:t>
        <w:br/>
      </w:r>
      <w:r>
        <w:rPr>
          <w:rFonts w:ascii="Consolas" w:hAnsi="Consolas"/>
          <w:sz w:val="16"/>
        </w:rPr>
        <w:t xml:space="preserve">  "opportunity": {</w:t>
        <w:br/>
      </w:r>
      <w:r>
        <w:rPr>
          <w:rFonts w:ascii="Consolas" w:hAnsi="Consolas"/>
          <w:sz w:val="16"/>
        </w:rPr>
        <w:t xml:space="preserve">    "level": "MODERATE",</w:t>
        <w:br/>
      </w:r>
      <w:r>
        <w:rPr>
          <w:rFonts w:ascii="Consolas" w:hAnsi="Consolas"/>
          <w:sz w:val="16"/>
        </w:rPr>
        <w:t xml:space="preserve">    "confidence": 0.71</w:t>
        <w:br/>
      </w:r>
      <w:r>
        <w:rPr>
          <w:rFonts w:ascii="Consolas" w:hAnsi="Consolas"/>
          <w:sz w:val="16"/>
        </w:rPr>
        <w:t xml:space="preserve">  },</w:t>
        <w:br/>
      </w:r>
      <w:r>
        <w:rPr>
          <w:rFonts w:ascii="Consolas" w:hAnsi="Consolas"/>
          <w:sz w:val="16"/>
        </w:rPr>
        <w:t xml:space="preserve">  "current_price": 1425,</w:t>
        <w:br/>
      </w:r>
      <w:r>
        <w:rPr>
          <w:rFonts w:ascii="Consolas" w:hAnsi="Consolas"/>
          <w:sz w:val="16"/>
        </w:rPr>
        <w:t xml:space="preserve">  "entry_zones": [</w:t>
        <w:br/>
      </w:r>
      <w:r>
        <w:rPr>
          <w:rFonts w:ascii="Consolas" w:hAnsi="Consolas"/>
          <w:sz w:val="16"/>
        </w:rPr>
        <w:t xml:space="preserve">    {"min": 1390, "max": 1410, "type": "PRIMARY"},</w:t>
        <w:br/>
      </w:r>
      <w:r>
        <w:rPr>
          <w:rFonts w:ascii="Consolas" w:hAnsi="Consolas"/>
          <w:sz w:val="16"/>
        </w:rPr>
        <w:t xml:space="preserve">    {"min": 1350, "max": 1375, "type": "SECONDARY"}</w:t>
        <w:br/>
      </w:r>
      <w:r>
        <w:rPr>
          <w:rFonts w:ascii="Consolas" w:hAnsi="Consolas"/>
          <w:sz w:val="16"/>
        </w:rPr>
        <w:t xml:space="preserve">  ],</w:t>
        <w:br/>
      </w:r>
      <w:r>
        <w:rPr>
          <w:rFonts w:ascii="Consolas" w:hAnsi="Consolas"/>
          <w:sz w:val="16"/>
        </w:rPr>
        <w:t xml:space="preserve">  "time_horizon": "6-12 months",</w:t>
        <w:br/>
      </w:r>
      <w:r>
        <w:rPr>
          <w:rFonts w:ascii="Consolas" w:hAnsi="Consolas"/>
          <w:sz w:val="16"/>
        </w:rPr>
        <w:t xml:space="preserve">  "supporting_factors": [],</w:t>
        <w:br/>
      </w:r>
      <w:r>
        <w:rPr>
          <w:rFonts w:ascii="Consolas" w:hAnsi="Consolas"/>
          <w:sz w:val="16"/>
        </w:rPr>
        <w:t xml:space="preserve">  "risk_factors": [],</w:t>
        <w:br/>
      </w:r>
      <w:r>
        <w:rPr>
          <w:rFonts w:ascii="Consolas" w:hAnsi="Consolas"/>
          <w:sz w:val="16"/>
        </w:rPr>
        <w:t xml:space="preserve">  "invalidation_conditions": [],</w:t>
        <w:br/>
      </w:r>
      <w:r>
        <w:rPr>
          <w:rFonts w:ascii="Consolas" w:hAnsi="Consolas"/>
          <w:sz w:val="16"/>
        </w:rPr>
        <w:t xml:space="preserve">  "agent_consensus": "...",</w:t>
        <w:br/>
      </w:r>
      <w:r>
        <w:rPr>
          <w:rFonts w:ascii="Consolas" w:hAnsi="Consolas"/>
          <w:sz w:val="16"/>
        </w:rPr>
        <w:t xml:space="preserve">  "critic": "...",</w:t>
        <w:br/>
      </w:r>
      <w:r>
        <w:rPr>
          <w:rFonts w:ascii="Consolas" w:hAnsi="Consolas"/>
          <w:sz w:val="16"/>
        </w:rPr>
        <w:t xml:space="preserve">  "data_timestamp": "...",</w:t>
        <w:br/>
      </w:r>
      <w:r>
        <w:rPr>
          <w:rFonts w:ascii="Consolas" w:hAnsi="Consolas"/>
          <w:sz w:val="16"/>
        </w:rPr>
        <w:t xml:space="preserve">  "model_version": "decision-v1"</w:t>
        <w:br/>
      </w:r>
      <w:r>
        <w:rPr>
          <w:rFonts w:ascii="Consolas" w:hAnsi="Consolas"/>
          <w:sz w:val="16"/>
        </w:rPr>
        <w:t>}</w:t>
      </w:r>
    </w:p>
    <w:p>
      <w:pPr>
        <w:pStyle w:val="Heading1"/>
      </w:pPr>
      <w:r>
        <w:t>18. User Experience and Screen Architecture</w:t>
      </w:r>
    </w:p>
    <w:p>
      <w:pPr>
        <w:pStyle w:val="Heading2"/>
      </w:pPr>
      <w:r>
        <w:t>Example market overview:</w:t>
      </w:r>
    </w:p>
    <w:p>
      <w:pPr>
        <w:pStyle w:val="CodeBlock"/>
      </w:pPr>
      <w:r>
        <w:rPr>
          <w:rFonts w:ascii="Consolas" w:hAnsi="Consolas"/>
          <w:sz w:val="16"/>
        </w:rPr>
        <w:t>MARKET PULSE</w:t>
        <w:br/>
      </w:r>
      <w:r>
        <w:rPr>
          <w:rFonts w:ascii="Consolas" w:hAnsi="Consolas"/>
          <w:sz w:val="16"/>
        </w:rPr>
        <w:t>NIFTY 50     25,XXX   +0.72%</w:t>
        <w:br/>
      </w:r>
      <w:r>
        <w:rPr>
          <w:rFonts w:ascii="Consolas" w:hAnsi="Consolas"/>
          <w:sz w:val="16"/>
        </w:rPr>
        <w:t>Market Regime   NEUTRAL / BULL / BEAR (system-defined)</w:t>
        <w:br/>
      </w:r>
      <w:r>
        <w:rPr>
          <w:rFonts w:ascii="Consolas" w:hAnsi="Consolas"/>
          <w:sz w:val="16"/>
        </w:rPr>
        <w:t>Volatility      MODERATE</w:t>
        <w:br/>
      </w:r>
      <w:r>
        <w:rPr>
          <w:rFonts w:ascii="Consolas" w:hAnsi="Consolas"/>
          <w:sz w:val="16"/>
        </w:rPr>
        <w:br/>
      </w:r>
      <w:r>
        <w:rPr>
          <w:rFonts w:ascii="Consolas" w:hAnsi="Consolas"/>
          <w:sz w:val="16"/>
        </w:rPr>
        <w:t>TODAY'S OPPORTUNITIES</w:t>
        <w:br/>
      </w:r>
      <w:r>
        <w:rPr>
          <w:rFonts w:ascii="Consolas" w:hAnsi="Consolas"/>
          <w:sz w:val="16"/>
        </w:rPr>
        <w:br/>
      </w:r>
      <w:r>
        <w:rPr>
          <w:rFonts w:ascii="Consolas" w:hAnsi="Consolas"/>
          <w:sz w:val="16"/>
        </w:rPr>
        <w:t>RELIANCE  Rs 1,425</w:t>
        <w:br/>
      </w:r>
      <w:r>
        <w:rPr>
          <w:rFonts w:ascii="Consolas" w:hAnsi="Consolas"/>
          <w:sz w:val="16"/>
        </w:rPr>
        <w:t>Opportunity    Moderate</w:t>
        <w:br/>
      </w:r>
      <w:r>
        <w:rPr>
          <w:rFonts w:ascii="Consolas" w:hAnsi="Consolas"/>
          <w:sz w:val="16"/>
        </w:rPr>
        <w:t>Risk           Medium</w:t>
        <w:br/>
      </w:r>
      <w:r>
        <w:rPr>
          <w:rFonts w:ascii="Consolas" w:hAnsi="Consolas"/>
          <w:sz w:val="16"/>
        </w:rPr>
        <w:t>Confidence     71%</w:t>
        <w:br/>
      </w:r>
      <w:r>
        <w:rPr>
          <w:rFonts w:ascii="Consolas" w:hAnsi="Consolas"/>
          <w:sz w:val="16"/>
        </w:rPr>
        <w:br/>
      </w:r>
      <w:r>
        <w:rPr>
          <w:rFonts w:ascii="Consolas" w:hAnsi="Consolas"/>
          <w:sz w:val="16"/>
        </w:rPr>
        <w:t>Entry Zones</w:t>
        <w:br/>
      </w:r>
      <w:r>
        <w:rPr>
          <w:rFonts w:ascii="Consolas" w:hAnsi="Consolas"/>
          <w:sz w:val="16"/>
        </w:rPr>
        <w:t>Rs 1,390 - 1,410  Primary</w:t>
        <w:br/>
      </w:r>
      <w:r>
        <w:rPr>
          <w:rFonts w:ascii="Consolas" w:hAnsi="Consolas"/>
          <w:sz w:val="16"/>
        </w:rPr>
        <w:t>Rs 1,350 - 1,375  Secondary</w:t>
        <w:br/>
      </w:r>
      <w:r>
        <w:rPr>
          <w:rFonts w:ascii="Consolas" w:hAnsi="Consolas"/>
          <w:sz w:val="16"/>
        </w:rPr>
        <w:br/>
      </w:r>
      <w:r>
        <w:rPr>
          <w:rFonts w:ascii="Consolas" w:hAnsi="Consolas"/>
          <w:sz w:val="16"/>
        </w:rPr>
        <w:t>WHY?</w:t>
        <w:br/>
      </w:r>
      <w:r>
        <w:rPr>
          <w:rFonts w:ascii="Consolas" w:hAnsi="Consolas"/>
          <w:sz w:val="16"/>
        </w:rPr>
        <w:t>+ Valuation context</w:t>
        <w:br/>
      </w:r>
      <w:r>
        <w:rPr>
          <w:rFonts w:ascii="Consolas" w:hAnsi="Consolas"/>
          <w:sz w:val="16"/>
        </w:rPr>
        <w:t>+ Historical support</w:t>
        <w:br/>
      </w:r>
      <w:r>
        <w:rPr>
          <w:rFonts w:ascii="Consolas" w:hAnsi="Consolas"/>
          <w:sz w:val="16"/>
        </w:rPr>
        <w:t>+ Sector context</w:t>
        <w:br/>
      </w:r>
      <w:r>
        <w:rPr>
          <w:rFonts w:ascii="Consolas" w:hAnsi="Consolas"/>
          <w:sz w:val="16"/>
        </w:rPr>
        <w:t>- Weak momentum</w:t>
        <w:br/>
      </w:r>
      <w:r>
        <w:rPr>
          <w:rFonts w:ascii="Consolas" w:hAnsi="Consolas"/>
          <w:sz w:val="16"/>
        </w:rPr>
        <w:t>- Market volatility</w:t>
        <w:br/>
      </w:r>
      <w:r>
        <w:rPr>
          <w:rFonts w:ascii="Consolas" w:hAnsi="Consolas"/>
          <w:sz w:val="16"/>
        </w:rPr>
        <w:br/>
      </w:r>
      <w:r>
        <w:rPr>
          <w:rFonts w:ascii="Consolas" w:hAnsi="Consolas"/>
          <w:sz w:val="16"/>
        </w:rPr>
        <w:t>VIEW FULL ANALYSIS -&gt;</w:t>
      </w:r>
    </w:p>
    <w:p>
      <w:r>
        <w:t>The final UI should make the evidence visible. Users should be able to drill down from an opportunity card into the market, historical, technical, fundamental, entry, risk and critic evidence that produced the current state.</w:t>
      </w:r>
    </w:p>
    <w:p>
      <w:pPr>
        <w:pStyle w:val="Heading1"/>
      </w:pPr>
      <w:r>
        <w:t>19. Development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1F4E78"/>
          </w:tcPr>
          <w:p>
            <w:r/>
            <w:r>
              <w:rPr>
                <w:b/>
                <w:color w:val="FFFFFF"/>
                <w:sz w:val="17"/>
              </w:rPr>
              <w:t>Phase</w:t>
            </w:r>
          </w:p>
        </w:tc>
        <w:tc>
          <w:tcPr>
            <w:tcW w:type="dxa" w:w="2880"/>
            <w:vAlign w:val="center"/>
            <w:shd w:fill="1F4E78"/>
          </w:tcPr>
          <w:p>
            <w:r/>
            <w:r>
              <w:rPr>
                <w:b/>
                <w:color w:val="FFFFFF"/>
                <w:sz w:val="17"/>
              </w:rPr>
              <w:t>Goal</w:t>
            </w:r>
          </w:p>
        </w:tc>
        <w:tc>
          <w:tcPr>
            <w:tcW w:type="dxa" w:w="4896"/>
            <w:vAlign w:val="center"/>
            <w:shd w:fill="1F4E78"/>
          </w:tcPr>
          <w:p>
            <w:r/>
            <w:r>
              <w:rPr>
                <w:b/>
                <w:color w:val="FFFFFF"/>
                <w:sz w:val="17"/>
              </w:rPr>
              <w:t>Deliverables</w:t>
            </w:r>
          </w:p>
        </w:tc>
      </w:tr>
      <w:tr>
        <w:tc>
          <w:tcPr>
            <w:tcW w:type="dxa" w:w="1872"/>
            <w:vAlign w:val="center"/>
          </w:tcPr>
          <w:p>
            <w:r/>
            <w:r>
              <w:rPr>
                <w:b w:val="0"/>
                <w:sz w:val="17"/>
              </w:rPr>
              <w:t>V1 - Data + Analytics</w:t>
            </w:r>
          </w:p>
        </w:tc>
        <w:tc>
          <w:tcPr>
            <w:tcW w:type="dxa" w:w="2880"/>
            <w:vAlign w:val="center"/>
          </w:tcPr>
          <w:p>
            <w:r/>
            <w:r>
              <w:rPr>
                <w:b w:val="0"/>
                <w:sz w:val="17"/>
              </w:rPr>
              <w:t>Establish the trustworthy data foundation</w:t>
            </w:r>
          </w:p>
        </w:tc>
        <w:tc>
          <w:tcPr>
            <w:tcW w:type="dxa" w:w="4896"/>
            <w:vAlign w:val="center"/>
          </w:tcPr>
          <w:p>
            <w:r/>
            <w:r>
              <w:rPr>
                <w:b w:val="0"/>
                <w:sz w:val="17"/>
              </w:rPr>
              <w:t>NSE equities; historical data ingestion; normalized schema; indicators; fundamentals; stock dashboard; data-quality checks</w:t>
            </w:r>
          </w:p>
        </w:tc>
      </w:tr>
      <w:tr>
        <w:tc>
          <w:tcPr>
            <w:tcW w:type="dxa" w:w="1872"/>
            <w:vAlign w:val="center"/>
          </w:tcPr>
          <w:p>
            <w:r/>
            <w:r>
              <w:rPr>
                <w:b w:val="0"/>
                <w:sz w:val="17"/>
              </w:rPr>
              <w:t>V2 - AI Analysis</w:t>
            </w:r>
          </w:p>
        </w:tc>
        <w:tc>
          <w:tcPr>
            <w:tcW w:type="dxa" w:w="2880"/>
            <w:vAlign w:val="center"/>
          </w:tcPr>
          <w:p>
            <w:r/>
            <w:r>
              <w:rPr>
                <w:b w:val="0"/>
                <w:sz w:val="17"/>
              </w:rPr>
              <w:t>Add independent evidence interpretation</w:t>
            </w:r>
          </w:p>
        </w:tc>
        <w:tc>
          <w:tcPr>
            <w:tcW w:type="dxa" w:w="4896"/>
            <w:vAlign w:val="center"/>
          </w:tcPr>
          <w:p>
            <w:r/>
            <w:r>
              <w:rPr>
                <w:b w:val="0"/>
                <w:sz w:val="17"/>
              </w:rPr>
              <w:t>Market, historical, technical, fundamental and risk agents; structured outputs; critic; synthesis; audit snapshots</w:t>
            </w:r>
          </w:p>
        </w:tc>
      </w:tr>
      <w:tr>
        <w:tc>
          <w:tcPr>
            <w:tcW w:type="dxa" w:w="1872"/>
            <w:vAlign w:val="center"/>
          </w:tcPr>
          <w:p>
            <w:r/>
            <w:r>
              <w:rPr>
                <w:b w:val="0"/>
                <w:sz w:val="17"/>
              </w:rPr>
              <w:t>V3 - Opportunity Engine</w:t>
            </w:r>
          </w:p>
        </w:tc>
        <w:tc>
          <w:tcPr>
            <w:tcW w:type="dxa" w:w="2880"/>
            <w:vAlign w:val="center"/>
          </w:tcPr>
          <w:p>
            <w:r/>
            <w:r>
              <w:rPr>
                <w:b w:val="0"/>
                <w:sz w:val="17"/>
              </w:rPr>
              <w:t>Generate candidate opportunities from the full universe</w:t>
            </w:r>
          </w:p>
        </w:tc>
        <w:tc>
          <w:tcPr>
            <w:tcW w:type="dxa" w:w="4896"/>
            <w:vAlign w:val="center"/>
          </w:tcPr>
          <w:p>
            <w:r/>
            <w:r>
              <w:rPr>
                <w:b w:val="0"/>
                <w:sz w:val="17"/>
              </w:rPr>
              <w:t>Quantitative screening; multi-agent analysis; entry zones; risk validation; opportunity states; notifications</w:t>
            </w:r>
          </w:p>
        </w:tc>
      </w:tr>
      <w:tr>
        <w:tc>
          <w:tcPr>
            <w:tcW w:type="dxa" w:w="1872"/>
            <w:vAlign w:val="center"/>
          </w:tcPr>
          <w:p>
            <w:r/>
            <w:r>
              <w:rPr>
                <w:b w:val="0"/>
                <w:sz w:val="17"/>
              </w:rPr>
              <w:t>V4 - Personal Intelligence</w:t>
            </w:r>
          </w:p>
        </w:tc>
        <w:tc>
          <w:tcPr>
            <w:tcW w:type="dxa" w:w="2880"/>
            <w:vAlign w:val="center"/>
          </w:tcPr>
          <w:p>
            <w:r/>
            <w:r>
              <w:rPr>
                <w:b w:val="0"/>
                <w:sz w:val="17"/>
              </w:rPr>
              <w:t>Personalize the evidence to user context</w:t>
            </w:r>
          </w:p>
        </w:tc>
        <w:tc>
          <w:tcPr>
            <w:tcW w:type="dxa" w:w="4896"/>
            <w:vAlign w:val="center"/>
          </w:tcPr>
          <w:p>
            <w:r/>
            <w:r>
              <w:rPr>
                <w:b w:val="0"/>
                <w:sz w:val="17"/>
              </w:rPr>
              <w:t>Risk profile, horizon, portfolio context, sector exposure, watchlists, personalized alerts</w:t>
            </w:r>
          </w:p>
        </w:tc>
      </w:tr>
      <w:tr>
        <w:tc>
          <w:tcPr>
            <w:tcW w:type="dxa" w:w="1872"/>
            <w:vAlign w:val="center"/>
          </w:tcPr>
          <w:p>
            <w:r/>
            <w:r>
              <w:rPr>
                <w:b w:val="0"/>
                <w:sz w:val="17"/>
              </w:rPr>
              <w:t>V5 - F&amp;O</w:t>
            </w:r>
          </w:p>
        </w:tc>
        <w:tc>
          <w:tcPr>
            <w:tcW w:type="dxa" w:w="2880"/>
            <w:vAlign w:val="center"/>
          </w:tcPr>
          <w:p>
            <w:r/>
            <w:r>
              <w:rPr>
                <w:b w:val="0"/>
                <w:sz w:val="17"/>
              </w:rPr>
              <w:t>Expand to derivatives</w:t>
            </w:r>
          </w:p>
        </w:tc>
        <w:tc>
          <w:tcPr>
            <w:tcW w:type="dxa" w:w="4896"/>
            <w:vAlign w:val="center"/>
          </w:tcPr>
          <w:p>
            <w:r/>
            <w:r>
              <w:rPr>
                <w:b w:val="0"/>
                <w:sz w:val="17"/>
              </w:rPr>
              <w:t>Option chain, OI, IV, Greeks, futures basis, OI buildup/unwinding, expiry-aware logic</w:t>
            </w:r>
          </w:p>
        </w:tc>
      </w:tr>
    </w:tbl>
    <w:p/>
    <w:p>
      <w:r>
        <w:t>F&amp;O should not be added to V1. Options and futures introduce expiry, strike, CE/PE, OI, IV, Greeks, volatility-surface and term-structure complexity that multiplies the data and model surface area.</w:t>
      </w:r>
    </w:p>
    <w:p>
      <w:pPr>
        <w:pStyle w:val="Heading1"/>
      </w:pPr>
      <w:r>
        <w:t>20. Key Architectural Rules and Trade-offs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504"/>
            <w:vAlign w:val="center"/>
            <w:shd w:fill="1F4E78"/>
          </w:tcPr>
          <w:p>
            <w:r/>
            <w:r>
              <w:rPr>
                <w:b/>
                <w:color w:val="FFFFFF"/>
                <w:sz w:val="17"/>
              </w:rPr>
              <w:t>#</w:t>
            </w:r>
          </w:p>
        </w:tc>
        <w:tc>
          <w:tcPr>
            <w:tcW w:type="dxa" w:w="2880"/>
            <w:vAlign w:val="center"/>
            <w:shd w:fill="1F4E78"/>
          </w:tcPr>
          <w:p>
            <w:r/>
            <w:r>
              <w:rPr>
                <w:b/>
                <w:color w:val="FFFFFF"/>
                <w:sz w:val="17"/>
              </w:rPr>
              <w:t>Rule</w:t>
            </w:r>
          </w:p>
        </w:tc>
        <w:tc>
          <w:tcPr>
            <w:tcW w:type="dxa" w:w="5904"/>
            <w:vAlign w:val="center"/>
            <w:shd w:fill="1F4E78"/>
          </w:tcPr>
          <w:p>
            <w:r/>
            <w:r>
              <w:rPr>
                <w:b/>
                <w:color w:val="FFFFFF"/>
                <w:sz w:val="17"/>
              </w:rPr>
              <w:t>Why it matters</w:t>
            </w:r>
          </w:p>
        </w:tc>
      </w:tr>
      <w:tr>
        <w:tc>
          <w:tcPr>
            <w:tcW w:type="dxa" w:w="504"/>
            <w:vAlign w:val="center"/>
          </w:tcPr>
          <w:p>
            <w:r/>
            <w:r>
              <w:rPr>
                <w:b w:val="0"/>
                <w:sz w:val="17"/>
              </w:rPr>
              <w:t>1</w:t>
            </w:r>
          </w:p>
        </w:tc>
        <w:tc>
          <w:tcPr>
            <w:tcW w:type="dxa" w:w="2880"/>
            <w:vAlign w:val="center"/>
          </w:tcPr>
          <w:p>
            <w:r/>
            <w:r>
              <w:rPr>
                <w:b w:val="0"/>
                <w:sz w:val="17"/>
              </w:rPr>
              <w:t>AI is above the data foundation</w:t>
            </w:r>
          </w:p>
        </w:tc>
        <w:tc>
          <w:tcPr>
            <w:tcW w:type="dxa" w:w="5904"/>
            <w:vAlign w:val="center"/>
          </w:tcPr>
          <w:p>
            <w:r/>
            <w:r>
              <w:rPr>
                <w:b w:val="0"/>
                <w:sz w:val="17"/>
              </w:rPr>
              <w:t>LLMs interpret evidence; they do not define market truth.</w:t>
            </w:r>
          </w:p>
        </w:tc>
      </w:tr>
      <w:tr>
        <w:tc>
          <w:tcPr>
            <w:tcW w:type="dxa" w:w="504"/>
            <w:vAlign w:val="center"/>
          </w:tcPr>
          <w:p>
            <w:r/>
            <w:r>
              <w:rPr>
                <w:b w:val="0"/>
                <w:sz w:val="17"/>
              </w:rPr>
              <w:t>2</w:t>
            </w:r>
          </w:p>
        </w:tc>
        <w:tc>
          <w:tcPr>
            <w:tcW w:type="dxa" w:w="2880"/>
            <w:vAlign w:val="center"/>
          </w:tcPr>
          <w:p>
            <w:r/>
            <w:r>
              <w:rPr>
                <w:b w:val="0"/>
                <w:sz w:val="17"/>
              </w:rPr>
              <w:t>Quant first, LLM second</w:t>
            </w:r>
          </w:p>
        </w:tc>
        <w:tc>
          <w:tcPr>
            <w:tcW w:type="dxa" w:w="5904"/>
            <w:vAlign w:val="center"/>
          </w:tcPr>
          <w:p>
            <w:r/>
            <w:r>
              <w:rPr>
                <w:b w:val="0"/>
                <w:sz w:val="17"/>
              </w:rPr>
              <w:t>Filter thousands of securities with deterministic/ML signals before spending LLM compute.</w:t>
            </w:r>
          </w:p>
        </w:tc>
      </w:tr>
      <w:tr>
        <w:tc>
          <w:tcPr>
            <w:tcW w:type="dxa" w:w="504"/>
            <w:vAlign w:val="center"/>
          </w:tcPr>
          <w:p>
            <w:r/>
            <w:r>
              <w:rPr>
                <w:b w:val="0"/>
                <w:sz w:val="17"/>
              </w:rPr>
              <w:t>3</w:t>
            </w:r>
          </w:p>
        </w:tc>
        <w:tc>
          <w:tcPr>
            <w:tcW w:type="dxa" w:w="2880"/>
            <w:vAlign w:val="center"/>
          </w:tcPr>
          <w:p>
            <w:r/>
            <w:r>
              <w:rPr>
                <w:b w:val="0"/>
                <w:sz w:val="17"/>
              </w:rPr>
              <w:t>Independent agents must have different jobs</w:t>
            </w:r>
          </w:p>
        </w:tc>
        <w:tc>
          <w:tcPr>
            <w:tcW w:type="dxa" w:w="5904"/>
            <w:vAlign w:val="center"/>
          </w:tcPr>
          <w:p>
            <w:r/>
            <w:r>
              <w:rPr>
                <w:b w:val="0"/>
                <w:sz w:val="17"/>
              </w:rPr>
              <w:t>Do not create five agents that all repeat the same narrative.</w:t>
            </w:r>
          </w:p>
        </w:tc>
      </w:tr>
      <w:tr>
        <w:tc>
          <w:tcPr>
            <w:tcW w:type="dxa" w:w="504"/>
            <w:vAlign w:val="center"/>
          </w:tcPr>
          <w:p>
            <w:r/>
            <w:r>
              <w:rPr>
                <w:b w:val="0"/>
                <w:sz w:val="17"/>
              </w:rPr>
              <w:t>4</w:t>
            </w:r>
          </w:p>
        </w:tc>
        <w:tc>
          <w:tcPr>
            <w:tcW w:type="dxa" w:w="2880"/>
            <w:vAlign w:val="center"/>
          </w:tcPr>
          <w:p>
            <w:r/>
            <w:r>
              <w:rPr>
                <w:b w:val="0"/>
                <w:sz w:val="17"/>
              </w:rPr>
              <w:t>Use adversarial critique</w:t>
            </w:r>
          </w:p>
        </w:tc>
        <w:tc>
          <w:tcPr>
            <w:tcW w:type="dxa" w:w="5904"/>
            <w:vAlign w:val="center"/>
          </w:tcPr>
          <w:p>
            <w:r/>
            <w:r>
              <w:rPr>
                <w:b w:val="0"/>
                <w:sz w:val="17"/>
              </w:rPr>
              <w:t>A dedicated risk/bear path should search for evidence that breaks the thesis.</w:t>
            </w:r>
          </w:p>
        </w:tc>
      </w:tr>
      <w:tr>
        <w:tc>
          <w:tcPr>
            <w:tcW w:type="dxa" w:w="504"/>
            <w:vAlign w:val="center"/>
          </w:tcPr>
          <w:p>
            <w:r/>
            <w:r>
              <w:rPr>
                <w:b w:val="0"/>
                <w:sz w:val="17"/>
              </w:rPr>
              <w:t>5</w:t>
            </w:r>
          </w:p>
        </w:tc>
        <w:tc>
          <w:tcPr>
            <w:tcW w:type="dxa" w:w="2880"/>
            <w:vAlign w:val="center"/>
          </w:tcPr>
          <w:p>
            <w:r/>
            <w:r>
              <w:rPr>
                <w:b w:val="0"/>
                <w:sz w:val="17"/>
              </w:rPr>
              <w:t>Everything must be timestamped</w:t>
            </w:r>
          </w:p>
        </w:tc>
        <w:tc>
          <w:tcPr>
            <w:tcW w:type="dxa" w:w="5904"/>
            <w:vAlign w:val="center"/>
          </w:tcPr>
          <w:p>
            <w:r/>
            <w:r>
              <w:rPr>
                <w:b w:val="0"/>
                <w:sz w:val="17"/>
              </w:rPr>
              <w:t>Market data, features, model versions and agent outputs must be reproducible.</w:t>
            </w:r>
          </w:p>
        </w:tc>
      </w:tr>
      <w:tr>
        <w:tc>
          <w:tcPr>
            <w:tcW w:type="dxa" w:w="504"/>
            <w:vAlign w:val="center"/>
          </w:tcPr>
          <w:p>
            <w:r/>
            <w:r>
              <w:rPr>
                <w:b w:val="0"/>
                <w:sz w:val="17"/>
              </w:rPr>
              <w:t>6</w:t>
            </w:r>
          </w:p>
        </w:tc>
        <w:tc>
          <w:tcPr>
            <w:tcW w:type="dxa" w:w="2880"/>
            <w:vAlign w:val="center"/>
          </w:tcPr>
          <w:p>
            <w:r/>
            <w:r>
              <w:rPr>
                <w:b w:val="0"/>
                <w:sz w:val="17"/>
              </w:rPr>
              <w:t>Keep a full decision snapshot</w:t>
            </w:r>
          </w:p>
        </w:tc>
        <w:tc>
          <w:tcPr>
            <w:tcW w:type="dxa" w:w="5904"/>
            <w:vAlign w:val="center"/>
          </w:tcPr>
          <w:p>
            <w:r/>
            <w:r>
              <w:rPr>
                <w:b w:val="0"/>
                <w:sz w:val="17"/>
              </w:rPr>
              <w:t>This is required for auditability, debugging and later outcome analysis.</w:t>
            </w:r>
          </w:p>
        </w:tc>
      </w:tr>
      <w:tr>
        <w:tc>
          <w:tcPr>
            <w:tcW w:type="dxa" w:w="504"/>
            <w:vAlign w:val="center"/>
          </w:tcPr>
          <w:p>
            <w:r/>
            <w:r>
              <w:rPr>
                <w:b w:val="0"/>
                <w:sz w:val="17"/>
              </w:rPr>
              <w:t>7</w:t>
            </w:r>
          </w:p>
        </w:tc>
        <w:tc>
          <w:tcPr>
            <w:tcW w:type="dxa" w:w="2880"/>
            <w:vAlign w:val="center"/>
          </w:tcPr>
          <w:p>
            <w:r/>
            <w:r>
              <w:rPr>
                <w:b w:val="0"/>
                <w:sz w:val="17"/>
              </w:rPr>
              <w:t>Start modular monolith</w:t>
            </w:r>
          </w:p>
        </w:tc>
        <w:tc>
          <w:tcPr>
            <w:tcW w:type="dxa" w:w="5904"/>
            <w:vAlign w:val="center"/>
          </w:tcPr>
          <w:p>
            <w:r/>
            <w:r>
              <w:rPr>
                <w:b w:val="0"/>
                <w:sz w:val="17"/>
              </w:rPr>
              <w:t>Avoid premature microservices. Extract services after real scale or ownership boundaries emerge.</w:t>
            </w:r>
          </w:p>
        </w:tc>
      </w:tr>
      <w:tr>
        <w:tc>
          <w:tcPr>
            <w:tcW w:type="dxa" w:w="504"/>
            <w:vAlign w:val="center"/>
          </w:tcPr>
          <w:p>
            <w:r/>
            <w:r>
              <w:rPr>
                <w:b w:val="0"/>
                <w:sz w:val="17"/>
              </w:rPr>
              <w:t>8</w:t>
            </w:r>
          </w:p>
        </w:tc>
        <w:tc>
          <w:tcPr>
            <w:tcW w:type="dxa" w:w="2880"/>
            <w:vAlign w:val="center"/>
          </w:tcPr>
          <w:p>
            <w:r/>
            <w:r>
              <w:rPr>
                <w:b w:val="0"/>
                <w:sz w:val="17"/>
              </w:rPr>
              <w:t>Protect against look-ahead bias</w:t>
            </w:r>
          </w:p>
        </w:tc>
        <w:tc>
          <w:tcPr>
            <w:tcW w:type="dxa" w:w="5904"/>
            <w:vAlign w:val="center"/>
          </w:tcPr>
          <w:p>
            <w:r/>
            <w:r>
              <w:rPr>
                <w:b w:val="0"/>
                <w:sz w:val="17"/>
              </w:rPr>
              <w:t>All historical and fundamental joins must obey “what was known then.”</w:t>
            </w:r>
          </w:p>
        </w:tc>
      </w:tr>
      <w:tr>
        <w:tc>
          <w:tcPr>
            <w:tcW w:type="dxa" w:w="504"/>
            <w:vAlign w:val="center"/>
          </w:tcPr>
          <w:p>
            <w:r/>
            <w:r>
              <w:rPr>
                <w:b w:val="0"/>
                <w:sz w:val="17"/>
              </w:rPr>
              <w:t>9</w:t>
            </w:r>
          </w:p>
        </w:tc>
        <w:tc>
          <w:tcPr>
            <w:tcW w:type="dxa" w:w="2880"/>
            <w:vAlign w:val="center"/>
          </w:tcPr>
          <w:p>
            <w:r/>
            <w:r>
              <w:rPr>
                <w:b w:val="0"/>
                <w:sz w:val="17"/>
              </w:rPr>
              <w:t>Treat corporate actions as first-class data</w:t>
            </w:r>
          </w:p>
        </w:tc>
        <w:tc>
          <w:tcPr>
            <w:tcW w:type="dxa" w:w="5904"/>
            <w:vAlign w:val="center"/>
          </w:tcPr>
          <w:p>
            <w:r/>
            <w:r>
              <w:rPr>
                <w:b w:val="0"/>
                <w:sz w:val="17"/>
              </w:rPr>
              <w:t>Historical prices and returns depend on accurate adjustment logic.</w:t>
            </w:r>
          </w:p>
        </w:tc>
      </w:tr>
      <w:tr>
        <w:tc>
          <w:tcPr>
            <w:tcW w:type="dxa" w:w="504"/>
            <w:vAlign w:val="center"/>
          </w:tcPr>
          <w:p>
            <w:r/>
            <w:r>
              <w:rPr>
                <w:b w:val="0"/>
                <w:sz w:val="17"/>
              </w:rPr>
              <w:t>10</w:t>
            </w:r>
          </w:p>
        </w:tc>
        <w:tc>
          <w:tcPr>
            <w:tcW w:type="dxa" w:w="2880"/>
            <w:vAlign w:val="center"/>
          </w:tcPr>
          <w:p>
            <w:r/>
            <w:r>
              <w:rPr>
                <w:b w:val="0"/>
                <w:sz w:val="17"/>
              </w:rPr>
              <w:t>Do not expose “profit guaranteed” language</w:t>
            </w:r>
          </w:p>
        </w:tc>
        <w:tc>
          <w:tcPr>
            <w:tcW w:type="dxa" w:w="5904"/>
            <w:vAlign w:val="center"/>
          </w:tcPr>
          <w:p>
            <w:r/>
            <w:r>
              <w:rPr>
                <w:b w:val="0"/>
                <w:sz w:val="17"/>
              </w:rPr>
              <w:t>Use probabilistic, evidence-based opportunity states and risk/invalidation views.</w:t>
            </w:r>
          </w:p>
        </w:tc>
      </w:tr>
      <w:tr>
        <w:tc>
          <w:tcPr>
            <w:tcW w:type="dxa" w:w="504"/>
            <w:vAlign w:val="center"/>
          </w:tcPr>
          <w:p>
            <w:r/>
            <w:r>
              <w:rPr>
                <w:b w:val="0"/>
                <w:sz w:val="17"/>
              </w:rPr>
              <w:t>11</w:t>
            </w:r>
          </w:p>
        </w:tc>
        <w:tc>
          <w:tcPr>
            <w:tcW w:type="dxa" w:w="2880"/>
            <w:vAlign w:val="center"/>
          </w:tcPr>
          <w:p>
            <w:r/>
            <w:r>
              <w:rPr>
                <w:b w:val="0"/>
                <w:sz w:val="17"/>
              </w:rPr>
              <w:t>Provider abstraction is mandatory</w:t>
            </w:r>
          </w:p>
        </w:tc>
        <w:tc>
          <w:tcPr>
            <w:tcW w:type="dxa" w:w="5904"/>
            <w:vAlign w:val="center"/>
          </w:tcPr>
          <w:p>
            <w:r/>
            <w:r>
              <w:rPr>
                <w:b w:val="0"/>
                <w:sz w:val="17"/>
              </w:rPr>
              <w:t>Vendor changes should not require rewriting the analytics/agent layers.</w:t>
            </w:r>
          </w:p>
        </w:tc>
      </w:tr>
      <w:tr>
        <w:tc>
          <w:tcPr>
            <w:tcW w:type="dxa" w:w="504"/>
            <w:vAlign w:val="center"/>
          </w:tcPr>
          <w:p>
            <w:r/>
            <w:r>
              <w:rPr>
                <w:b w:val="0"/>
                <w:sz w:val="17"/>
              </w:rPr>
              <w:t>12</w:t>
            </w:r>
          </w:p>
        </w:tc>
        <w:tc>
          <w:tcPr>
            <w:tcW w:type="dxa" w:w="2880"/>
            <w:vAlign w:val="center"/>
          </w:tcPr>
          <w:p>
            <w:r/>
            <w:r>
              <w:rPr>
                <w:b w:val="0"/>
                <w:sz w:val="17"/>
              </w:rPr>
              <w:t>Design for extensibility</w:t>
            </w:r>
          </w:p>
        </w:tc>
        <w:tc>
          <w:tcPr>
            <w:tcW w:type="dxa" w:w="5904"/>
            <w:vAlign w:val="center"/>
          </w:tcPr>
          <w:p>
            <w:r/>
            <w:r>
              <w:rPr>
                <w:b w:val="0"/>
                <w:sz w:val="17"/>
              </w:rPr>
              <w:t>The same architecture should later support F&amp;O, commodities and other datasets without rewriting the client shell.</w:t>
            </w:r>
          </w:p>
        </w:tc>
      </w:tr>
    </w:tbl>
    <w:p/>
    <w:p>
      <w:pPr>
        <w:pStyle w:val="Heading1"/>
      </w:pPr>
      <w:r>
        <w:t>21. V1 Implementation Checklist</w:t>
      </w:r>
    </w:p>
    <w:p>
      <w:pPr>
        <w:pStyle w:val="ListBullet"/>
        <w:spacing w:after="40"/>
      </w:pPr>
      <w:r>
        <w:t>Create repository structure for backend, frontend-web, mobile, infrastructure and shared contracts.</w:t>
      </w:r>
    </w:p>
    <w:p>
      <w:pPr>
        <w:pStyle w:val="ListBullet"/>
        <w:spacing w:after="40"/>
      </w:pPr>
      <w:r>
        <w:t>Implement instrument master ingestion and symbol normalization.</w:t>
      </w:r>
    </w:p>
    <w:p>
      <w:pPr>
        <w:pStyle w:val="ListBullet"/>
        <w:spacing w:after="40"/>
      </w:pPr>
      <w:r>
        <w:t>Implement one market-data provider adapter first; add a second provider adapter before production.</w:t>
      </w:r>
    </w:p>
    <w:p>
      <w:pPr>
        <w:pStyle w:val="ListBullet"/>
        <w:spacing w:after="40"/>
      </w:pPr>
      <w:r>
        <w:t>Build raw -&gt; normalized -&gt; derived data pipeline.</w:t>
      </w:r>
    </w:p>
    <w:p>
      <w:pPr>
        <w:pStyle w:val="ListBullet"/>
        <w:spacing w:after="40"/>
      </w:pPr>
      <w:r>
        <w:t>Set up PostgreSQL + TimescaleDB and Redis.</w:t>
      </w:r>
    </w:p>
    <w:p>
      <w:pPr>
        <w:pStyle w:val="ListBullet"/>
        <w:spacing w:after="40"/>
      </w:pPr>
      <w:r>
        <w:t>Create market-candle schema and corporate-action handling.</w:t>
      </w:r>
    </w:p>
    <w:p>
      <w:pPr>
        <w:pStyle w:val="ListBullet"/>
        <w:spacing w:after="40"/>
      </w:pPr>
      <w:r>
        <w:t>Build technical-indicator pipeline.</w:t>
      </w:r>
    </w:p>
    <w:p>
      <w:pPr>
        <w:pStyle w:val="ListBullet"/>
        <w:spacing w:after="40"/>
      </w:pPr>
      <w:r>
        <w:t>Build fundamentals ingestion and normalization.</w:t>
      </w:r>
    </w:p>
    <w:p>
      <w:pPr>
        <w:pStyle w:val="ListBullet"/>
        <w:spacing w:after="40"/>
      </w:pPr>
      <w:r>
        <w:t>Build market-regime calculation for NIFTY/sector/breadth/volatility.</w:t>
      </w:r>
    </w:p>
    <w:p>
      <w:pPr>
        <w:pStyle w:val="ListBullet"/>
        <w:spacing w:after="40"/>
      </w:pPr>
      <w:r>
        <w:t>Build stock detail APIs and responsive web UI.</w:t>
      </w:r>
    </w:p>
    <w:p>
      <w:pPr>
        <w:pStyle w:val="ListBullet"/>
        <w:spacing w:after="40"/>
      </w:pPr>
      <w:r>
        <w:t>Build market pulse and opportunity-card UX shell.</w:t>
      </w:r>
    </w:p>
    <w:p>
      <w:pPr>
        <w:pStyle w:val="ListBullet"/>
        <w:spacing w:after="40"/>
      </w:pPr>
      <w:r>
        <w:t>Implement structured agent interfaces, starting with analysis-only mode.</w:t>
      </w:r>
    </w:p>
    <w:p>
      <w:pPr>
        <w:pStyle w:val="ListBullet"/>
        <w:spacing w:after="40"/>
      </w:pPr>
      <w:r>
        <w:t>Implement critic/risk validator.</w:t>
      </w:r>
    </w:p>
    <w:p>
      <w:pPr>
        <w:pStyle w:val="ListBullet"/>
        <w:spacing w:after="40"/>
      </w:pPr>
      <w:r>
        <w:t>Implement recommendation snapshots and audit logs.</w:t>
      </w:r>
    </w:p>
    <w:p>
      <w:pPr>
        <w:pStyle w:val="ListBullet"/>
        <w:spacing w:after="40"/>
      </w:pPr>
      <w:r>
        <w:t>Create walk-forward/backtest harness before enabling any production opportunity feed.</w:t>
      </w:r>
    </w:p>
    <w:p>
      <w:pPr>
        <w:pStyle w:val="ListBullet"/>
        <w:spacing w:after="40"/>
      </w:pPr>
      <w:r>
        <w:t>Add monitoring for data freshness, API failures, queue latency and agent failures.</w:t>
      </w:r>
    </w:p>
    <w:p>
      <w:pPr>
        <w:pStyle w:val="ListBullet"/>
        <w:spacing w:after="40"/>
      </w:pPr>
      <w:r>
        <w:t>Create provider failover/health status and data-quality checks.</w:t>
      </w:r>
    </w:p>
    <w:p>
      <w:pPr>
        <w:pStyle w:val="Heading1"/>
      </w:pPr>
      <w:r>
        <w:t>22. Future F&amp;O Architecture</w:t>
      </w:r>
    </w:p>
    <w:p>
      <w:r>
        <w:t>Once the equity platform is stable, extend the normalized data model and decision engine rather than creating a separate product. F&amp;O introduces new dimensions:</w:t>
      </w:r>
    </w:p>
    <w:p>
      <w:pPr>
        <w:pStyle w:val="ListBullet"/>
        <w:spacing w:after="40"/>
      </w:pPr>
      <w:r>
        <w:t>Expiry calendars</w:t>
      </w:r>
    </w:p>
    <w:p>
      <w:pPr>
        <w:pStyle w:val="ListBullet"/>
        <w:spacing w:after="40"/>
      </w:pPr>
      <w:r>
        <w:t>Strike ladders</w:t>
      </w:r>
    </w:p>
    <w:p>
      <w:pPr>
        <w:pStyle w:val="ListBullet"/>
        <w:spacing w:after="40"/>
      </w:pPr>
      <w:r>
        <w:t>Call/Put structure</w:t>
      </w:r>
    </w:p>
    <w:p>
      <w:pPr>
        <w:pStyle w:val="ListBullet"/>
        <w:spacing w:after="40"/>
      </w:pPr>
      <w:r>
        <w:t>Open interest and change in OI</w:t>
      </w:r>
    </w:p>
    <w:p>
      <w:pPr>
        <w:pStyle w:val="ListBullet"/>
        <w:spacing w:after="40"/>
      </w:pPr>
      <w:r>
        <w:t>Implied volatility</w:t>
      </w:r>
    </w:p>
    <w:p>
      <w:pPr>
        <w:pStyle w:val="ListBullet"/>
        <w:spacing w:after="40"/>
      </w:pPr>
      <w:r>
        <w:t>Greeks</w:t>
      </w:r>
    </w:p>
    <w:p>
      <w:pPr>
        <w:pStyle w:val="ListBullet"/>
        <w:spacing w:after="40"/>
      </w:pPr>
      <w:r>
        <w:t>Futures basis</w:t>
      </w:r>
    </w:p>
    <w:p>
      <w:pPr>
        <w:pStyle w:val="ListBullet"/>
        <w:spacing w:after="40"/>
      </w:pPr>
      <w:r>
        <w:t>OI buildup / unwinding</w:t>
      </w:r>
    </w:p>
    <w:p>
      <w:pPr>
        <w:pStyle w:val="ListBullet"/>
        <w:spacing w:after="40"/>
      </w:pPr>
      <w:r>
        <w:t>Volatility term structure</w:t>
      </w:r>
    </w:p>
    <w:p>
      <w:pPr>
        <w:pStyle w:val="ListBullet"/>
        <w:spacing w:after="40"/>
      </w:pPr>
      <w:r>
        <w:t>Volatility surface</w:t>
      </w:r>
    </w:p>
    <w:p>
      <w:pPr>
        <w:pStyle w:val="ListBullet"/>
        <w:spacing w:after="40"/>
      </w:pPr>
      <w:r>
        <w:t>Liquidity and spread</w:t>
      </w:r>
    </w:p>
    <w:p>
      <w:pPr>
        <w:pStyle w:val="ListBullet"/>
        <w:spacing w:after="40"/>
      </w:pPr>
      <w:r>
        <w:t>Contract rollovers</w:t>
      </w:r>
    </w:p>
    <w:p>
      <w:pPr>
        <w:pStyle w:val="CodeBlock"/>
      </w:pPr>
      <w:r>
        <w:rPr>
          <w:rFonts w:ascii="Consolas" w:hAnsi="Consolas"/>
          <w:sz w:val="16"/>
        </w:rPr>
        <w:t>Equity Intelligence Engine</w:t>
        <w:br/>
      </w:r>
      <w:r>
        <w:rPr>
          <w:rFonts w:ascii="Consolas" w:hAnsi="Consolas"/>
          <w:sz w:val="16"/>
        </w:rPr>
        <w:t xml:space="preserve">        +</w:t>
        <w:br/>
      </w:r>
      <w:r>
        <w:rPr>
          <w:rFonts w:ascii="Consolas" w:hAnsi="Consolas"/>
          <w:sz w:val="16"/>
        </w:rPr>
        <w:t>Futures Intelligence Engine</w:t>
        <w:br/>
      </w:r>
      <w:r>
        <w:rPr>
          <w:rFonts w:ascii="Consolas" w:hAnsi="Consolas"/>
          <w:sz w:val="16"/>
        </w:rPr>
        <w:t xml:space="preserve">        +</w:t>
        <w:br/>
      </w:r>
      <w:r>
        <w:rPr>
          <w:rFonts w:ascii="Consolas" w:hAnsi="Consolas"/>
          <w:sz w:val="16"/>
        </w:rPr>
        <w:t>Options Intelligence Engine</w:t>
        <w:br/>
      </w:r>
      <w:r>
        <w:rPr>
          <w:rFonts w:ascii="Consolas" w:hAnsi="Consolas"/>
          <w:sz w:val="16"/>
        </w:rPr>
        <w:t xml:space="preserve">        +</w:t>
        <w:br/>
      </w:r>
      <w:r>
        <w:rPr>
          <w:rFonts w:ascii="Consolas" w:hAnsi="Consolas"/>
          <w:sz w:val="16"/>
        </w:rPr>
        <w:t>Volatility Engine</w:t>
        <w:br/>
      </w:r>
      <w:r>
        <w:rPr>
          <w:rFonts w:ascii="Consolas" w:hAnsi="Consolas"/>
          <w:sz w:val="16"/>
        </w:rPr>
        <w:t xml:space="preserve">        |</w:t>
        <w:br/>
      </w:r>
      <w:r>
        <w:rPr>
          <w:rFonts w:ascii="Consolas" w:hAnsi="Consolas"/>
          <w:sz w:val="16"/>
        </w:rPr>
        <w:t xml:space="preserve">        v</w:t>
        <w:br/>
      </w:r>
      <w:r>
        <w:rPr>
          <w:rFonts w:ascii="Consolas" w:hAnsi="Consolas"/>
          <w:sz w:val="16"/>
        </w:rPr>
        <w:t>Derivatives Opportunity / Risk Layer</w:t>
      </w:r>
    </w:p>
    <w:p>
      <w:pPr>
        <w:pStyle w:val="Heading1"/>
      </w:pPr>
      <w:r>
        <w:t>23. Product / Financial-Data Considerations</w:t>
      </w:r>
    </w:p>
    <w:p>
      <w:pPr>
        <w:pStyle w:val="ListBullet"/>
        <w:spacing w:after="40"/>
      </w:pPr>
      <w:r>
        <w:t>Market-data licensing, redistribution rights and commercial usage terms must be checked before exposing provider data to end users.</w:t>
      </w:r>
    </w:p>
    <w:p>
      <w:pPr>
        <w:pStyle w:val="ListBullet"/>
        <w:spacing w:after="40"/>
      </w:pPr>
      <w:r>
        <w:t>Broker API quotas, websocket limits, historical retention and segment permissions vary by provider and can change.</w:t>
      </w:r>
    </w:p>
    <w:p>
      <w:pPr>
        <w:pStyle w:val="ListBullet"/>
        <w:spacing w:after="40"/>
      </w:pPr>
      <w:r>
        <w:t>“Current price” and “historical price” are different data-quality problems; store source and timestamp for both.</w:t>
      </w:r>
    </w:p>
    <w:p>
      <w:pPr>
        <w:pStyle w:val="ListBullet"/>
        <w:spacing w:after="40"/>
      </w:pPr>
      <w:r>
        <w:t>A provider API that exposes quotes is not automatically a replacement for licensed exchange-grade full-depth or order-level data.</w:t>
      </w:r>
    </w:p>
    <w:p>
      <w:pPr>
        <w:pStyle w:val="ListBullet"/>
        <w:spacing w:after="40"/>
      </w:pPr>
      <w:r>
        <w:t>Expired options and deep historical derivatives datasets are frequently subject to different availability and licensing constraints than current-market quotes.</w:t>
      </w:r>
    </w:p>
    <w:p>
      <w:pPr>
        <w:pStyle w:val="ListBullet"/>
        <w:spacing w:after="40"/>
      </w:pPr>
      <w:r>
        <w:t>All data-provider assumptions in this document should be treated as architecture candidates to validate against current provider documentation before production deployment.</w:t>
      </w:r>
    </w:p>
    <w:p>
      <w:pPr>
        <w:pStyle w:val="Heading2"/>
      </w:pPr>
      <w:r>
        <w:t>Reference note</w:t>
      </w:r>
    </w:p>
    <w:p>
      <w:r>
        <w:t>This document consolidates the architecture and implementation concepts discussed in the conversation. It intentionally turns the earlier conversational recommendations into a neutral technical specification. Provider pricing, API access and exchange-data terms are time-sensitive; the implementation team should re-check the current official provider documentation and exchange licensing requirements before committing to a vendor.</w:t>
      </w:r>
    </w:p>
    <w:p>
      <w:pPr>
        <w:pStyle w:val="Heading1"/>
      </w:pPr>
      <w:r>
        <w:t>Appendix A - Target Repository Structure</w:t>
      </w:r>
    </w:p>
    <w:p>
      <w:pPr>
        <w:pStyle w:val="CodeBlock"/>
      </w:pPr>
      <w:r>
        <w:rPr>
          <w:rFonts w:ascii="Consolas" w:hAnsi="Consolas"/>
          <w:sz w:val="16"/>
        </w:rPr>
        <w:t>repo/</w:t>
        <w:br/>
      </w:r>
      <w:r>
        <w:rPr>
          <w:rFonts w:ascii="Consolas" w:hAnsi="Consolas"/>
          <w:sz w:val="16"/>
        </w:rPr>
        <w:t xml:space="preserve">  apps/</w:t>
        <w:br/>
      </w:r>
      <w:r>
        <w:rPr>
          <w:rFonts w:ascii="Consolas" w:hAnsi="Consolas"/>
          <w:sz w:val="16"/>
        </w:rPr>
        <w:t xml:space="preserve">    web/</w:t>
        <w:br/>
      </w:r>
      <w:r>
        <w:rPr>
          <w:rFonts w:ascii="Consolas" w:hAnsi="Consolas"/>
          <w:sz w:val="16"/>
        </w:rPr>
        <w:t xml:space="preserve">    mobile/</w:t>
        <w:br/>
      </w:r>
      <w:r>
        <w:rPr>
          <w:rFonts w:ascii="Consolas" w:hAnsi="Consolas"/>
          <w:sz w:val="16"/>
        </w:rPr>
        <w:t xml:space="preserve">  services/</w:t>
        <w:br/>
      </w:r>
      <w:r>
        <w:rPr>
          <w:rFonts w:ascii="Consolas" w:hAnsi="Consolas"/>
          <w:sz w:val="16"/>
        </w:rPr>
        <w:t xml:space="preserve">    api/</w:t>
        <w:br/>
      </w:r>
      <w:r>
        <w:rPr>
          <w:rFonts w:ascii="Consolas" w:hAnsi="Consolas"/>
          <w:sz w:val="16"/>
        </w:rPr>
        <w:t xml:space="preserve">    market_data/</w:t>
        <w:br/>
      </w:r>
      <w:r>
        <w:rPr>
          <w:rFonts w:ascii="Consolas" w:hAnsi="Consolas"/>
          <w:sz w:val="16"/>
        </w:rPr>
        <w:t xml:space="preserve">    feature_engine/</w:t>
        <w:br/>
      </w:r>
      <w:r>
        <w:rPr>
          <w:rFonts w:ascii="Consolas" w:hAnsi="Consolas"/>
          <w:sz w:val="16"/>
        </w:rPr>
        <w:t xml:space="preserve">    agents/</w:t>
        <w:br/>
      </w:r>
      <w:r>
        <w:rPr>
          <w:rFonts w:ascii="Consolas" w:hAnsi="Consolas"/>
          <w:sz w:val="16"/>
        </w:rPr>
        <w:t xml:space="preserve">    recommendations/</w:t>
        <w:br/>
      </w:r>
      <w:r>
        <w:rPr>
          <w:rFonts w:ascii="Consolas" w:hAnsi="Consolas"/>
          <w:sz w:val="16"/>
        </w:rPr>
        <w:t xml:space="preserve">    notifications/</w:t>
        <w:br/>
      </w:r>
      <w:r>
        <w:rPr>
          <w:rFonts w:ascii="Consolas" w:hAnsi="Consolas"/>
          <w:sz w:val="16"/>
        </w:rPr>
        <w:t xml:space="preserve">  packages/</w:t>
        <w:br/>
      </w:r>
      <w:r>
        <w:rPr>
          <w:rFonts w:ascii="Consolas" w:hAnsi="Consolas"/>
          <w:sz w:val="16"/>
        </w:rPr>
        <w:t xml:space="preserve">    shared_types/</w:t>
        <w:br/>
      </w:r>
      <w:r>
        <w:rPr>
          <w:rFonts w:ascii="Consolas" w:hAnsi="Consolas"/>
          <w:sz w:val="16"/>
        </w:rPr>
        <w:t xml:space="preserve">    market_models/</w:t>
        <w:br/>
      </w:r>
      <w:r>
        <w:rPr>
          <w:rFonts w:ascii="Consolas" w:hAnsi="Consolas"/>
          <w:sz w:val="16"/>
        </w:rPr>
        <w:t xml:space="preserve">    ui/</w:t>
        <w:br/>
      </w:r>
      <w:r>
        <w:rPr>
          <w:rFonts w:ascii="Consolas" w:hAnsi="Consolas"/>
          <w:sz w:val="16"/>
        </w:rPr>
        <w:t xml:space="preserve">  data/</w:t>
        <w:br/>
      </w:r>
      <w:r>
        <w:rPr>
          <w:rFonts w:ascii="Consolas" w:hAnsi="Consolas"/>
          <w:sz w:val="16"/>
        </w:rPr>
        <w:t xml:space="preserve">    migrations/</w:t>
        <w:br/>
      </w:r>
      <w:r>
        <w:rPr>
          <w:rFonts w:ascii="Consolas" w:hAnsi="Consolas"/>
          <w:sz w:val="16"/>
        </w:rPr>
        <w:t xml:space="preserve">    seeds/</w:t>
        <w:br/>
      </w:r>
      <w:r>
        <w:rPr>
          <w:rFonts w:ascii="Consolas" w:hAnsi="Consolas"/>
          <w:sz w:val="16"/>
        </w:rPr>
        <w:t xml:space="preserve">  infra/</w:t>
        <w:br/>
      </w:r>
      <w:r>
        <w:rPr>
          <w:rFonts w:ascii="Consolas" w:hAnsi="Consolas"/>
          <w:sz w:val="16"/>
        </w:rPr>
        <w:t xml:space="preserve">    docker/</w:t>
        <w:br/>
      </w:r>
      <w:r>
        <w:rPr>
          <w:rFonts w:ascii="Consolas" w:hAnsi="Consolas"/>
          <w:sz w:val="16"/>
        </w:rPr>
        <w:t xml:space="preserve">    terraform/</w:t>
        <w:br/>
      </w:r>
      <w:r>
        <w:rPr>
          <w:rFonts w:ascii="Consolas" w:hAnsi="Consolas"/>
          <w:sz w:val="16"/>
        </w:rPr>
        <w:t xml:space="preserve">  ml/</w:t>
        <w:br/>
      </w:r>
      <w:r>
        <w:rPr>
          <w:rFonts w:ascii="Consolas" w:hAnsi="Consolas"/>
          <w:sz w:val="16"/>
        </w:rPr>
        <w:t xml:space="preserve">    training/</w:t>
        <w:br/>
      </w:r>
      <w:r>
        <w:rPr>
          <w:rFonts w:ascii="Consolas" w:hAnsi="Consolas"/>
          <w:sz w:val="16"/>
        </w:rPr>
        <w:t xml:space="preserve">    backtests/</w:t>
        <w:br/>
      </w:r>
      <w:r>
        <w:rPr>
          <w:rFonts w:ascii="Consolas" w:hAnsi="Consolas"/>
          <w:sz w:val="16"/>
        </w:rPr>
        <w:t xml:space="preserve">    evaluation/</w:t>
        <w:br/>
      </w:r>
      <w:r>
        <w:rPr>
          <w:rFonts w:ascii="Consolas" w:hAnsi="Consolas"/>
          <w:sz w:val="16"/>
        </w:rPr>
        <w:t xml:space="preserve">  docs/</w:t>
        <w:br/>
      </w:r>
      <w:r>
        <w:rPr>
          <w:rFonts w:ascii="Consolas" w:hAnsi="Consolas"/>
          <w:sz w:val="16"/>
        </w:rPr>
        <w:t xml:space="preserve">    architecture/</w:t>
        <w:br/>
      </w:r>
      <w:r>
        <w:rPr>
          <w:rFonts w:ascii="Consolas" w:hAnsi="Consolas"/>
          <w:sz w:val="16"/>
        </w:rPr>
        <w:t xml:space="preserve">    api/</w:t>
      </w:r>
    </w:p>
    <w:p>
      <w:pPr>
        <w:pStyle w:val="Heading1"/>
      </w:pPr>
      <w:r>
        <w:t>Appendix B - Example Agent Graph</w:t>
      </w:r>
    </w:p>
    <w:p>
      <w:pPr>
        <w:pStyle w:val="CodeBlock"/>
      </w:pPr>
      <w:r>
        <w:rPr>
          <w:rFonts w:ascii="Consolas" w:hAnsi="Consolas"/>
          <w:sz w:val="16"/>
        </w:rPr>
        <w:t>START</w:t>
        <w:br/>
      </w:r>
      <w:r>
        <w:rPr>
          <w:rFonts w:ascii="Consolas" w:hAnsi="Consolas"/>
          <w:sz w:val="16"/>
        </w:rPr>
        <w:t xml:space="preserve">  |</w:t>
        <w:br/>
      </w:r>
      <w:r>
        <w:rPr>
          <w:rFonts w:ascii="Consolas" w:hAnsi="Consolas"/>
          <w:sz w:val="16"/>
        </w:rPr>
        <w:t xml:space="preserve">  +--&gt; Load symbol + as-of market data</w:t>
        <w:br/>
      </w:r>
      <w:r>
        <w:rPr>
          <w:rFonts w:ascii="Consolas" w:hAnsi="Consolas"/>
          <w:sz w:val="16"/>
        </w:rPr>
        <w:t xml:space="preserve">  |</w:t>
        <w:br/>
      </w:r>
      <w:r>
        <w:rPr>
          <w:rFonts w:ascii="Consolas" w:hAnsi="Consolas"/>
          <w:sz w:val="16"/>
        </w:rPr>
        <w:t xml:space="preserve">  +--&gt; Market Regime -----------+</w:t>
        <w:br/>
      </w:r>
      <w:r>
        <w:rPr>
          <w:rFonts w:ascii="Consolas" w:hAnsi="Consolas"/>
          <w:sz w:val="16"/>
        </w:rPr>
        <w:t xml:space="preserve">  |                             |</w:t>
        <w:br/>
      </w:r>
      <w:r>
        <w:rPr>
          <w:rFonts w:ascii="Consolas" w:hAnsi="Consolas"/>
          <w:sz w:val="16"/>
        </w:rPr>
        <w:t xml:space="preserve">  +--&gt; Historical Stock --------+</w:t>
        <w:br/>
      </w:r>
      <w:r>
        <w:rPr>
          <w:rFonts w:ascii="Consolas" w:hAnsi="Consolas"/>
          <w:sz w:val="16"/>
        </w:rPr>
        <w:t xml:space="preserve">  |                             |</w:t>
        <w:br/>
      </w:r>
      <w:r>
        <w:rPr>
          <w:rFonts w:ascii="Consolas" w:hAnsi="Consolas"/>
          <w:sz w:val="16"/>
        </w:rPr>
        <w:t xml:space="preserve">  +--&gt; Technical ---------------+----&gt; Evidence Aggregator</w:t>
        <w:br/>
      </w:r>
      <w:r>
        <w:rPr>
          <w:rFonts w:ascii="Consolas" w:hAnsi="Consolas"/>
          <w:sz w:val="16"/>
        </w:rPr>
        <w:t xml:space="preserve">  |                             |</w:t>
        <w:br/>
      </w:r>
      <w:r>
        <w:rPr>
          <w:rFonts w:ascii="Consolas" w:hAnsi="Consolas"/>
          <w:sz w:val="16"/>
        </w:rPr>
        <w:t xml:space="preserve">  +--&gt; Fundamental/Valuation ---+</w:t>
        <w:br/>
      </w:r>
      <w:r>
        <w:rPr>
          <w:rFonts w:ascii="Consolas" w:hAnsi="Consolas"/>
          <w:sz w:val="16"/>
        </w:rPr>
        <w:t xml:space="preserve">  |                             |</w:t>
        <w:br/>
      </w:r>
      <w:r>
        <w:rPr>
          <w:rFonts w:ascii="Consolas" w:hAnsi="Consolas"/>
          <w:sz w:val="16"/>
        </w:rPr>
        <w:t xml:space="preserve">  +--&gt; Entry/Price -------------+</w:t>
        <w:br/>
      </w:r>
      <w:r>
        <w:rPr>
          <w:rFonts w:ascii="Consolas" w:hAnsi="Consolas"/>
          <w:sz w:val="16"/>
        </w:rPr>
        <w:t xml:space="preserve">  |                             |</w:t>
        <w:br/>
      </w:r>
      <w:r>
        <w:rPr>
          <w:rFonts w:ascii="Consolas" w:hAnsi="Consolas"/>
          <w:sz w:val="16"/>
        </w:rPr>
        <w:t xml:space="preserve">  +--&gt; Risk/Bear ---------------+</w:t>
        <w:br/>
      </w:r>
      <w:r>
        <w:rPr>
          <w:rFonts w:ascii="Consolas" w:hAnsi="Consolas"/>
          <w:sz w:val="16"/>
        </w:rPr>
        <w:t xml:space="preserve">                                |</w:t>
        <w:br/>
      </w:r>
      <w:r>
        <w:rPr>
          <w:rFonts w:ascii="Consolas" w:hAnsi="Consolas"/>
          <w:sz w:val="16"/>
        </w:rPr>
        <w:t xml:space="preserve">                                v</w:t>
        <w:br/>
      </w:r>
      <w:r>
        <w:rPr>
          <w:rFonts w:ascii="Consolas" w:hAnsi="Consolas"/>
          <w:sz w:val="16"/>
        </w:rPr>
        <w:t xml:space="preserve">                        Critic / Validator</w:t>
        <w:br/>
      </w:r>
      <w:r>
        <w:rPr>
          <w:rFonts w:ascii="Consolas" w:hAnsi="Consolas"/>
          <w:sz w:val="16"/>
        </w:rPr>
        <w:t xml:space="preserve">                                |</w:t>
        <w:br/>
      </w:r>
      <w:r>
        <w:rPr>
          <w:rFonts w:ascii="Consolas" w:hAnsi="Consolas"/>
          <w:sz w:val="16"/>
        </w:rPr>
        <w:t xml:space="preserve">                                v</w:t>
        <w:br/>
      </w:r>
      <w:r>
        <w:rPr>
          <w:rFonts w:ascii="Consolas" w:hAnsi="Consolas"/>
          <w:sz w:val="16"/>
        </w:rPr>
        <w:t xml:space="preserve">                       Decision Synthesizer</w:t>
        <w:br/>
      </w:r>
      <w:r>
        <w:rPr>
          <w:rFonts w:ascii="Consolas" w:hAnsi="Consolas"/>
          <w:sz w:val="16"/>
        </w:rPr>
        <w:t xml:space="preserve">                                |</w:t>
        <w:br/>
      </w:r>
      <w:r>
        <w:rPr>
          <w:rFonts w:ascii="Consolas" w:hAnsi="Consolas"/>
          <w:sz w:val="16"/>
        </w:rPr>
        <w:t xml:space="preserve">                                v</w:t>
        <w:br/>
      </w:r>
      <w:r>
        <w:rPr>
          <w:rFonts w:ascii="Consolas" w:hAnsi="Consolas"/>
          <w:sz w:val="16"/>
        </w:rPr>
        <w:t xml:space="preserve">                   Opportunity + Evidence + Risk</w:t>
        <w:br/>
      </w:r>
      <w:r>
        <w:rPr>
          <w:rFonts w:ascii="Consolas" w:hAnsi="Consolas"/>
          <w:sz w:val="16"/>
        </w:rPr>
        <w:t xml:space="preserve">                                |</w:t>
        <w:br/>
      </w:r>
      <w:r>
        <w:rPr>
          <w:rFonts w:ascii="Consolas" w:hAnsi="Consolas"/>
          <w:sz w:val="16"/>
        </w:rPr>
        <w:t xml:space="preserve">                                v</w:t>
        <w:br/>
      </w:r>
      <w:r>
        <w:rPr>
          <w:rFonts w:ascii="Consolas" w:hAnsi="Consolas"/>
          <w:sz w:val="16"/>
        </w:rPr>
        <w:t xml:space="preserve">                         API / UI / Alert</w:t>
      </w:r>
    </w:p>
    <w:p>
      <w:pPr>
        <w:jc w:val="center"/>
      </w:pPr>
      <w:r>
        <w:rPr>
          <w:i/>
          <w:color w:val="646464"/>
          <w:sz w:val="18"/>
        </w:rPr>
        <w:t>End of system-design handoff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Architecture handoff document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Indian Equity Intelligence Platform | System Design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