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8C95"/>
        </w:rPr>
        <w:t>A*STAR IME PORTFOLIO PROTOTYPE</w:t>
      </w:r>
    </w:p>
    <w:p>
      <w:pPr>
        <w:pStyle w:val="Title"/>
      </w:pPr>
      <w:r>
        <w:t>LithoTwin</w:t>
      </w:r>
    </w:p>
    <w:p>
      <w:pPr>
        <w:pStyle w:val="Subtitle"/>
      </w:pPr>
      <w:r>
        <w:t>Conditional neural surrogate for computational lithography and resist-contour prediction</w:t>
      </w:r>
    </w:p>
    <w:p>
      <w:pPr>
        <w:pStyle w:val="Heading2"/>
      </w:pPr>
      <w:r>
        <w:t>HARSH SAAND</w:t>
      </w:r>
    </w:p>
    <w:p>
      <w:r>
        <w:t>Technical report  |  6 August 2026  |  Locally measured on Apple M3 Pro CPU</w:t>
      </w:r>
    </w:p>
    <w:p>
      <w:pPr>
        <w:jc w:val="center"/>
      </w:pPr>
      <w:r>
        <w:drawing>
          <wp:inline xmlns:a="http://schemas.openxmlformats.org/drawingml/2006/main" xmlns:pic="http://schemas.openxmlformats.org/drawingml/2006/picture">
            <wp:extent cx="3931920" cy="4071791"/>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3931920" cy="4071791"/>
                    </a:xfrm>
                    <a:prstGeom prst="rect"/>
                  </pic:spPr>
                </pic:pic>
              </a:graphicData>
            </a:graphic>
          </wp:inline>
        </w:drawing>
      </w:r>
    </w:p>
    <w:p>
      <w:pPr>
        <w:spacing w:before="80" w:after="80"/>
        <w:jc w:val="center"/>
      </w:pPr>
      <w:r>
        <w:rPr>
          <w:i/>
          <w:color w:val="536777"/>
          <w:sz w:val="17"/>
        </w:rPr>
        <w:t>Implemented mask-to-contour workflow.</w:t>
      </w:r>
    </w:p>
    <w:tbl>
      <w:tblPr>
        <w:tblW w:type="auto" w:w="0"/>
        <w:tblLook w:firstColumn="1" w:firstRow="1" w:lastColumn="0" w:lastRow="0" w:noHBand="0" w:noVBand="1" w:val="04A0"/>
        <w:tblW w:type="dxa" w:w="9360"/>
        <w:tblInd w:type="dxa" w:w="120"/>
      </w:tblPr>
      <w:tblGrid>
        <w:gridCol w:w="9360"/>
      </w:tblGrid>
      <w:tr>
        <w:tc>
          <w:tcPr>
            <w:tcW w:type="dxa" w:w="9360"/>
            <w:shd w:fill="EAF4F4"/>
            <w:tcW w:type="dxa" w:w="9360"/>
            <w:tcMar>
              <w:top w:w="80" w:type="dxa"/>
              <w:bottom w:w="80" w:type="dxa"/>
              <w:start w:w="120" w:type="dxa"/>
              <w:end w:w="120" w:type="dxa"/>
            </w:tcMar>
          </w:tcPr>
          <w:p>
            <w:r>
              <w:rPr>
                <w:b/>
                <w:color w:val="008C95"/>
              </w:rPr>
              <w:t xml:space="preserve">Evidence boundary  </w:t>
            </w:r>
            <w:r>
              <w:t>All quantitative results measure fidelity to the declared nine-source scalar optics and threshold-resist simulator. This is not production lithography, OPC, resist chemistry, or fab validation.</w:t>
            </w:r>
          </w:p>
        </w:tc>
      </w:tr>
    </w:tbl>
    <w:p>
      <w:pPr>
        <w:spacing w:after="40"/>
      </w:pPr>
    </w:p>
    <w:p>
      <w:r>
        <w:br w:type="page"/>
      </w:r>
    </w:p>
    <w:p>
      <w:pPr>
        <w:pStyle w:val="Heading1"/>
      </w:pPr>
      <w:r>
        <w:t>Executive summary</w:t>
      </w:r>
    </w:p>
    <w:p>
      <w:r>
        <w:t>LithoTwin implements a complete AI-for-process-modeling workflow: procedural semiconductor mask geometries, nine-source scalar Abbe imaging, dose/focus/NA/threshold variation, geometry-grouped partitioning, a Gaussian imaging baseline, a conditional U-Net contour surrogate, engineering metrics, uncertainty stress tests, and an interactive process-window workbench. On 252 held-out cases from unseen base geometries, the U-Net achieved mean IoU 0.902, Dice 0.928, and symmetric edge distance 1.66 pixels.</w:t>
      </w:r>
    </w:p>
    <w:tbl>
      <w:tblPr>
        <w:tblW w:type="auto" w:w="0"/>
        <w:tblLook w:firstColumn="1" w:firstRow="1" w:lastColumn="0" w:lastRow="0" w:noHBand="0" w:noVBand="1" w:val="04A0"/>
        <w:tblW w:type="dxa" w:w="9360"/>
        <w:tblInd w:type="dxa" w:w="120"/>
      </w:tblPr>
      <w:tblGrid>
        <w:gridCol w:w="9360"/>
      </w:tblGrid>
      <w:tr>
        <w:tc>
          <w:tcPr>
            <w:tcW w:type="dxa" w:w="9360"/>
            <w:shd w:fill="EAF4F4"/>
            <w:tcW w:type="dxa" w:w="9360"/>
            <w:tcMar>
              <w:top w:w="80" w:type="dxa"/>
              <w:bottom w:w="80" w:type="dxa"/>
              <w:start w:w="120" w:type="dxa"/>
              <w:end w:w="120" w:type="dxa"/>
            </w:tcMar>
          </w:tcPr>
          <w:p>
            <w:r>
              <w:rPr>
                <w:b/>
                <w:color w:val="008C95"/>
              </w:rPr>
              <w:t xml:space="preserve">Measured contribution  </w:t>
            </w:r>
            <w:r>
              <w:t>The neural model improved held-out IoU from 0.731 to 0.902 and Dice from 0.823 to 0.928. Separate process-range and unseen-contact-family OOD tests failed sharply, establishing a clear need to defer outside the validated domain.</w:t>
            </w:r>
          </w:p>
        </w:tc>
      </w:tr>
    </w:tbl>
    <w:p>
      <w:pPr>
        <w:spacing w:after="40"/>
      </w:pPr>
    </w:p>
    <w:p>
      <w:pPr>
        <w:pStyle w:val="Heading1"/>
      </w:pPr>
      <w:r>
        <w:t>Computational lithography problem</w:t>
      </w:r>
    </w:p>
    <w:p>
      <w:r>
        <w:t>Lithography transfers a mask layout through an optical system and resist process into a printed contour. Small changes in dose, focus, numerical aperture, pitch, and threshold can change critical dimensions, merge neighbouring features, shorten line ends, or eliminate contacts. A conditional surrogate must therefore predict spatial contours while preserving process sensitivity and declaring where its training domain ends.</w:t>
      </w:r>
    </w:p>
    <w:p>
      <w:pPr>
        <w:jc w:val="center"/>
      </w:pPr>
      <w:r>
        <w:drawing>
          <wp:inline xmlns:a="http://schemas.openxmlformats.org/drawingml/2006/main" xmlns:pic="http://schemas.openxmlformats.org/drawingml/2006/picture">
            <wp:extent cx="4206240" cy="4355869"/>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4206240" cy="4355869"/>
                    </a:xfrm>
                    <a:prstGeom prst="rect"/>
                  </pic:spPr>
                </pic:pic>
              </a:graphicData>
            </a:graphic>
          </wp:inline>
        </w:drawing>
      </w:r>
    </w:p>
    <w:p>
      <w:pPr>
        <w:spacing w:before="80" w:after="80"/>
        <w:jc w:val="center"/>
      </w:pPr>
      <w:r>
        <w:rPr>
          <w:i/>
          <w:color w:val="536777"/>
          <w:sz w:val="17"/>
        </w:rPr>
        <w:t>Figure 1. Implemented LithoTwin system flow.</w:t>
      </w:r>
    </w:p>
    <w:p>
      <w:r>
        <w:br w:type="page"/>
      </w:r>
    </w:p>
    <w:p>
      <w:pPr>
        <w:pStyle w:val="Heading1"/>
      </w:pPr>
      <w:r>
        <w:t>Reduced-order lithography physics</w:t>
      </w:r>
    </w:p>
    <w:p>
      <w:pPr>
        <w:pStyle w:val="Heading2"/>
      </w:pPr>
      <w:r>
        <w:t>Mask families</w:t>
      </w:r>
    </w:p>
    <w:p>
      <w:r>
        <w:t>The deterministic generator creates 48 x 48 binary clips representing isolated lines, line ends, spaces, elbows, dense line arrays, two-line gaps, and circular contacts. Each base geometry receives multiple process conditions. Complete base IDs remain in a single partition, preventing near-identical recipe variants of one mask from leaking across train and test.</w:t>
      </w:r>
    </w:p>
    <w:p>
      <w:pPr>
        <w:pStyle w:val="Heading2"/>
      </w:pPr>
      <w:r>
        <w:t>Nine-source scalar Abbe approximation</w:t>
      </w:r>
    </w:p>
    <w:p>
      <w:r>
        <w:t>For each source position, the mask spectrum is filtered by a shifted circular pupil. A quadratic phase term represents defocus. Source intensities are averaged, multiplied by relative exposure dose, and thresholded into a binary developed-resist region. The model is more process-aware than ordinary image blur, while remaining lightweight and auditable.</w:t>
      </w:r>
    </w:p>
    <w:tbl>
      <w:tblPr>
        <w:tblStyle w:val="TableGrid"/>
        <w:tblW w:type="auto" w:w="0"/>
        <w:jc w:val="left"/>
        <w:tblLayout w:type="fixed"/>
        <w:tblLook w:firstColumn="1" w:firstRow="1" w:lastColumn="0" w:lastRow="0" w:noHBand="0" w:noVBand="1" w:val="04A0"/>
        <w:tblW w:type="dxa" w:w="9360"/>
        <w:tblInd w:type="dxa" w:w="120"/>
      </w:tblPr>
      <w:tblGrid>
        <w:gridCol w:w="1872"/>
        <w:gridCol w:w="2592"/>
        <w:gridCol w:w="2160"/>
        <w:gridCol w:w="2736"/>
      </w:tblGrid>
      <w:tr>
        <w:tc>
          <w:tcPr>
            <w:tcW w:type="dxa" w:w="2340"/>
            <w:shd w:fill="082B4C"/>
            <w:vAlign w:val="center"/>
            <w:tcW w:type="dxa" w:w="1872"/>
            <w:tcMar>
              <w:top w:w="80" w:type="dxa"/>
              <w:bottom w:w="80" w:type="dxa"/>
              <w:start w:w="120" w:type="dxa"/>
              <w:end w:w="120" w:type="dxa"/>
            </w:tcMar>
          </w:tcPr>
          <w:p>
            <w:r>
              <w:rPr>
                <w:b/>
                <w:color w:val="FFFFFF"/>
                <w:sz w:val="17"/>
              </w:rPr>
              <w:t>Stage</w:t>
            </w:r>
          </w:p>
        </w:tc>
        <w:tc>
          <w:tcPr>
            <w:tcW w:type="dxa" w:w="2340"/>
            <w:shd w:fill="082B4C"/>
            <w:vAlign w:val="center"/>
            <w:tcW w:type="dxa" w:w="2592"/>
            <w:tcMar>
              <w:top w:w="80" w:type="dxa"/>
              <w:bottom w:w="80" w:type="dxa"/>
              <w:start w:w="120" w:type="dxa"/>
              <w:end w:w="120" w:type="dxa"/>
            </w:tcMar>
          </w:tcPr>
          <w:p>
            <w:r>
              <w:rPr>
                <w:b/>
                <w:color w:val="FFFFFF"/>
                <w:sz w:val="17"/>
              </w:rPr>
              <w:t>Inputs</w:t>
            </w:r>
          </w:p>
        </w:tc>
        <w:tc>
          <w:tcPr>
            <w:tcW w:type="dxa" w:w="2340"/>
            <w:shd w:fill="082B4C"/>
            <w:vAlign w:val="center"/>
            <w:tcW w:type="dxa" w:w="2160"/>
            <w:tcMar>
              <w:top w:w="80" w:type="dxa"/>
              <w:bottom w:w="80" w:type="dxa"/>
              <w:start w:w="120" w:type="dxa"/>
              <w:end w:w="120" w:type="dxa"/>
            </w:tcMar>
          </w:tcPr>
          <w:p>
            <w:r>
              <w:rPr>
                <w:b/>
                <w:color w:val="FFFFFF"/>
                <w:sz w:val="17"/>
              </w:rPr>
              <w:t>Output</w:t>
            </w:r>
          </w:p>
        </w:tc>
        <w:tc>
          <w:tcPr>
            <w:tcW w:type="dxa" w:w="2340"/>
            <w:shd w:fill="082B4C"/>
            <w:vAlign w:val="center"/>
            <w:tcW w:type="dxa" w:w="2736"/>
            <w:tcMar>
              <w:top w:w="80" w:type="dxa"/>
              <w:bottom w:w="80" w:type="dxa"/>
              <w:start w:w="120" w:type="dxa"/>
              <w:end w:w="120" w:type="dxa"/>
            </w:tcMar>
          </w:tcPr>
          <w:p>
            <w:r>
              <w:rPr>
                <w:b/>
                <w:color w:val="FFFFFF"/>
                <w:sz w:val="17"/>
              </w:rPr>
              <w:t>Declared simplification</w:t>
            </w:r>
          </w:p>
        </w:tc>
      </w:tr>
      <w:tr>
        <w:tc>
          <w:tcPr>
            <w:tcW w:type="dxa" w:w="2340"/>
            <w:vAlign w:val="center"/>
            <w:tcW w:type="dxa" w:w="1872"/>
            <w:tcMar>
              <w:top w:w="80" w:type="dxa"/>
              <w:bottom w:w="80" w:type="dxa"/>
              <w:start w:w="120" w:type="dxa"/>
              <w:end w:w="120" w:type="dxa"/>
            </w:tcMar>
          </w:tcPr>
          <w:p>
            <w:r>
              <w:rPr>
                <w:sz w:val="17"/>
              </w:rPr>
              <w:t>Mask rasterization</w:t>
            </w:r>
          </w:p>
        </w:tc>
        <w:tc>
          <w:tcPr>
            <w:tcW w:type="dxa" w:w="2340"/>
            <w:vAlign w:val="center"/>
            <w:tcW w:type="dxa" w:w="2592"/>
            <w:tcMar>
              <w:top w:w="80" w:type="dxa"/>
              <w:bottom w:w="80" w:type="dxa"/>
              <w:start w:w="120" w:type="dxa"/>
              <w:end w:w="120" w:type="dxa"/>
            </w:tcMar>
          </w:tcPr>
          <w:p>
            <w:r>
              <w:rPr>
                <w:sz w:val="17"/>
              </w:rPr>
              <w:t>Family, width, pitch, location</w:t>
            </w:r>
          </w:p>
        </w:tc>
        <w:tc>
          <w:tcPr>
            <w:tcW w:type="dxa" w:w="2340"/>
            <w:vAlign w:val="center"/>
            <w:tcW w:type="dxa" w:w="2160"/>
            <w:tcMar>
              <w:top w:w="80" w:type="dxa"/>
              <w:bottom w:w="80" w:type="dxa"/>
              <w:start w:w="120" w:type="dxa"/>
              <w:end w:w="120" w:type="dxa"/>
            </w:tcMar>
          </w:tcPr>
          <w:p>
            <w:r>
              <w:rPr>
                <w:sz w:val="17"/>
              </w:rPr>
              <w:t>Binary transmission mask</w:t>
            </w:r>
          </w:p>
        </w:tc>
        <w:tc>
          <w:tcPr>
            <w:tcW w:type="dxa" w:w="2340"/>
            <w:vAlign w:val="center"/>
            <w:tcW w:type="dxa" w:w="2736"/>
            <w:tcMar>
              <w:top w:w="80" w:type="dxa"/>
              <w:bottom w:w="80" w:type="dxa"/>
              <w:start w:w="120" w:type="dxa"/>
              <w:end w:w="120" w:type="dxa"/>
            </w:tcMar>
          </w:tcPr>
          <w:p>
            <w:r>
              <w:rPr>
                <w:sz w:val="17"/>
              </w:rPr>
              <w:t>Procedural Manhattan clips</w:t>
            </w:r>
          </w:p>
        </w:tc>
      </w:tr>
      <w:tr>
        <w:tc>
          <w:tcPr>
            <w:tcW w:type="dxa" w:w="2340"/>
            <w:vAlign w:val="center"/>
            <w:shd w:fill="F2F4F7"/>
            <w:tcW w:type="dxa" w:w="1872"/>
            <w:tcMar>
              <w:top w:w="80" w:type="dxa"/>
              <w:bottom w:w="80" w:type="dxa"/>
              <w:start w:w="120" w:type="dxa"/>
              <w:end w:w="120" w:type="dxa"/>
            </w:tcMar>
          </w:tcPr>
          <w:p>
            <w:r>
              <w:rPr>
                <w:sz w:val="17"/>
              </w:rPr>
              <w:t>Optical imaging</w:t>
            </w:r>
          </w:p>
        </w:tc>
        <w:tc>
          <w:tcPr>
            <w:tcW w:type="dxa" w:w="2340"/>
            <w:vAlign w:val="center"/>
            <w:shd w:fill="F2F4F7"/>
            <w:tcW w:type="dxa" w:w="2592"/>
            <w:tcMar>
              <w:top w:w="80" w:type="dxa"/>
              <w:bottom w:w="80" w:type="dxa"/>
              <w:start w:w="120" w:type="dxa"/>
              <w:end w:w="120" w:type="dxa"/>
            </w:tcMar>
          </w:tcPr>
          <w:p>
            <w:r>
              <w:rPr>
                <w:sz w:val="17"/>
              </w:rPr>
              <w:t>Mask, NA, source positions, defocus, dose</w:t>
            </w:r>
          </w:p>
        </w:tc>
        <w:tc>
          <w:tcPr>
            <w:tcW w:type="dxa" w:w="2340"/>
            <w:vAlign w:val="center"/>
            <w:shd w:fill="F2F4F7"/>
            <w:tcW w:type="dxa" w:w="2160"/>
            <w:tcMar>
              <w:top w:w="80" w:type="dxa"/>
              <w:bottom w:w="80" w:type="dxa"/>
              <w:start w:w="120" w:type="dxa"/>
              <w:end w:w="120" w:type="dxa"/>
            </w:tcMar>
          </w:tcPr>
          <w:p>
            <w:r>
              <w:rPr>
                <w:sz w:val="17"/>
              </w:rPr>
              <w:t>Aerial intensity</w:t>
            </w:r>
          </w:p>
        </w:tc>
        <w:tc>
          <w:tcPr>
            <w:tcW w:type="dxa" w:w="2340"/>
            <w:vAlign w:val="center"/>
            <w:shd w:fill="F2F4F7"/>
            <w:tcW w:type="dxa" w:w="2736"/>
            <w:tcMar>
              <w:top w:w="80" w:type="dxa"/>
              <w:bottom w:w="80" w:type="dxa"/>
              <w:start w:w="120" w:type="dxa"/>
              <w:end w:w="120" w:type="dxa"/>
            </w:tcMar>
          </w:tcPr>
          <w:p>
            <w:r>
              <w:rPr>
                <w:sz w:val="17"/>
              </w:rPr>
              <w:t>Scalar model; nine source points</w:t>
            </w:r>
          </w:p>
        </w:tc>
      </w:tr>
      <w:tr>
        <w:tc>
          <w:tcPr>
            <w:tcW w:type="dxa" w:w="2340"/>
            <w:vAlign w:val="center"/>
            <w:tcW w:type="dxa" w:w="1872"/>
            <w:tcMar>
              <w:top w:w="80" w:type="dxa"/>
              <w:bottom w:w="80" w:type="dxa"/>
              <w:start w:w="120" w:type="dxa"/>
              <w:end w:w="120" w:type="dxa"/>
            </w:tcMar>
          </w:tcPr>
          <w:p>
            <w:r>
              <w:rPr>
                <w:sz w:val="17"/>
              </w:rPr>
              <w:t>Resist development</w:t>
            </w:r>
          </w:p>
        </w:tc>
        <w:tc>
          <w:tcPr>
            <w:tcW w:type="dxa" w:w="2340"/>
            <w:vAlign w:val="center"/>
            <w:tcW w:type="dxa" w:w="2592"/>
            <w:tcMar>
              <w:top w:w="80" w:type="dxa"/>
              <w:bottom w:w="80" w:type="dxa"/>
              <w:start w:w="120" w:type="dxa"/>
              <w:end w:w="120" w:type="dxa"/>
            </w:tcMar>
          </w:tcPr>
          <w:p>
            <w:r>
              <w:rPr>
                <w:sz w:val="17"/>
              </w:rPr>
              <w:t>Aerial image, threshold</w:t>
            </w:r>
          </w:p>
        </w:tc>
        <w:tc>
          <w:tcPr>
            <w:tcW w:type="dxa" w:w="2340"/>
            <w:vAlign w:val="center"/>
            <w:tcW w:type="dxa" w:w="2160"/>
            <w:tcMar>
              <w:top w:w="80" w:type="dxa"/>
              <w:bottom w:w="80" w:type="dxa"/>
              <w:start w:w="120" w:type="dxa"/>
              <w:end w:w="120" w:type="dxa"/>
            </w:tcMar>
          </w:tcPr>
          <w:p>
            <w:r>
              <w:rPr>
                <w:sz w:val="17"/>
              </w:rPr>
              <w:t>Binary resist contour</w:t>
            </w:r>
          </w:p>
        </w:tc>
        <w:tc>
          <w:tcPr>
            <w:tcW w:type="dxa" w:w="2340"/>
            <w:vAlign w:val="center"/>
            <w:tcW w:type="dxa" w:w="2736"/>
            <w:tcMar>
              <w:top w:w="80" w:type="dxa"/>
              <w:bottom w:w="80" w:type="dxa"/>
              <w:start w:w="120" w:type="dxa"/>
              <w:end w:w="120" w:type="dxa"/>
            </w:tcMar>
          </w:tcPr>
          <w:p>
            <w:r>
              <w:rPr>
                <w:sz w:val="17"/>
              </w:rPr>
              <w:t>No chemical diffusion or kinetics</w:t>
            </w:r>
          </w:p>
        </w:tc>
      </w:tr>
    </w:tbl>
    <w:p>
      <w:pPr>
        <w:spacing w:before="80" w:after="80"/>
      </w:pPr>
    </w:p>
    <w:p>
      <w:pPr>
        <w:jc w:val="center"/>
      </w:pPr>
      <w:r>
        <w:drawing>
          <wp:inline xmlns:a="http://schemas.openxmlformats.org/drawingml/2006/main" xmlns:pic="http://schemas.openxmlformats.org/drawingml/2006/picture">
            <wp:extent cx="5852160" cy="1316736"/>
            <wp:docPr id="3" name="Picture 3"/>
            <wp:cNvGraphicFramePr>
              <a:graphicFrameLocks noChangeAspect="1"/>
            </wp:cNvGraphicFramePr>
            <a:graphic>
              <a:graphicData uri="http://schemas.openxmlformats.org/drawingml/2006/picture">
                <pic:pic>
                  <pic:nvPicPr>
                    <pic:cNvPr id="0" name="prediction_panel.png"/>
                    <pic:cNvPicPr/>
                  </pic:nvPicPr>
                  <pic:blipFill>
                    <a:blip r:embed="rId12"/>
                    <a:stretch>
                      <a:fillRect/>
                    </a:stretch>
                  </pic:blipFill>
                  <pic:spPr>
                    <a:xfrm>
                      <a:off x="0" y="0"/>
                      <a:ext cx="5852160" cy="1316736"/>
                    </a:xfrm>
                    <a:prstGeom prst="rect"/>
                  </pic:spPr>
                </pic:pic>
              </a:graphicData>
            </a:graphic>
          </wp:inline>
        </w:drawing>
      </w:r>
    </w:p>
    <w:p>
      <w:pPr>
        <w:spacing w:before="80" w:after="80"/>
        <w:jc w:val="center"/>
      </w:pPr>
      <w:r>
        <w:rPr>
          <w:i/>
          <w:color w:val="536777"/>
          <w:sz w:val="17"/>
        </w:rPr>
        <w:t>Figure 2. Representative geometry-grouped test case from mask to signed contour error.</w:t>
      </w:r>
    </w:p>
    <w:p>
      <w:r>
        <w:br w:type="page"/>
      </w:r>
    </w:p>
    <w:p>
      <w:pPr>
        <w:pStyle w:val="Heading1"/>
      </w:pPr>
      <w:r>
        <w:t>Dataset and leakage-safe evaluation</w:t>
      </w:r>
    </w:p>
    <w:p>
      <w:r>
        <w:t>The seed-42 dataset contains 3,360 simulated mask/process cases. The primary process domain uses relative dose 0.78-1.22, defocus -1.15 to 1.15, NA 0.58-0.72, and threshold 0.25-0.48. Every tenth base geometry is held out for test and the next for validation. One extreme condition per non-contact base forms the process OOD set. The entire contact family is excluded from training and reserved as geometry OOD.</w:t>
      </w:r>
    </w:p>
    <w:tbl>
      <w:tblPr>
        <w:tblStyle w:val="TableGrid"/>
        <w:tblW w:type="auto" w:w="0"/>
        <w:jc w:val="left"/>
        <w:tblLayout w:type="fixed"/>
        <w:tblLook w:firstColumn="1" w:firstRow="1" w:lastColumn="0" w:lastRow="0" w:noHBand="0" w:noVBand="1" w:val="04A0"/>
        <w:tblW w:type="dxa" w:w="9360"/>
        <w:tblInd w:type="dxa" w:w="120"/>
      </w:tblPr>
      <w:tblGrid>
        <w:gridCol w:w="2088"/>
        <w:gridCol w:w="1224"/>
        <w:gridCol w:w="6048"/>
      </w:tblGrid>
      <w:tr>
        <w:tc>
          <w:tcPr>
            <w:tcW w:type="dxa" w:w="3120"/>
            <w:shd w:fill="082B4C"/>
            <w:vAlign w:val="center"/>
            <w:tcW w:type="dxa" w:w="2088"/>
            <w:tcMar>
              <w:top w:w="80" w:type="dxa"/>
              <w:bottom w:w="80" w:type="dxa"/>
              <w:start w:w="120" w:type="dxa"/>
              <w:end w:w="120" w:type="dxa"/>
            </w:tcMar>
          </w:tcPr>
          <w:p>
            <w:r>
              <w:rPr>
                <w:b/>
                <w:color w:val="FFFFFF"/>
                <w:sz w:val="17"/>
              </w:rPr>
              <w:t>Partition</w:t>
            </w:r>
          </w:p>
        </w:tc>
        <w:tc>
          <w:tcPr>
            <w:tcW w:type="dxa" w:w="3120"/>
            <w:shd w:fill="082B4C"/>
            <w:vAlign w:val="center"/>
            <w:tcW w:type="dxa" w:w="1224"/>
            <w:tcMar>
              <w:top w:w="80" w:type="dxa"/>
              <w:bottom w:w="80" w:type="dxa"/>
              <w:start w:w="120" w:type="dxa"/>
              <w:end w:w="120" w:type="dxa"/>
            </w:tcMar>
          </w:tcPr>
          <w:p>
            <w:r>
              <w:rPr>
                <w:b/>
                <w:color w:val="FFFFFF"/>
                <w:sz w:val="17"/>
              </w:rPr>
              <w:t>Cases</w:t>
            </w:r>
          </w:p>
        </w:tc>
        <w:tc>
          <w:tcPr>
            <w:tcW w:type="dxa" w:w="3120"/>
            <w:shd w:fill="082B4C"/>
            <w:vAlign w:val="center"/>
            <w:tcW w:type="dxa" w:w="6048"/>
            <w:tcMar>
              <w:top w:w="80" w:type="dxa"/>
              <w:bottom w:w="80" w:type="dxa"/>
              <w:start w:w="120" w:type="dxa"/>
              <w:end w:w="120" w:type="dxa"/>
            </w:tcMar>
          </w:tcPr>
          <w:p>
            <w:r>
              <w:rPr>
                <w:b/>
                <w:color w:val="FFFFFF"/>
                <w:sz w:val="17"/>
              </w:rPr>
              <w:t>Purpose</w:t>
            </w:r>
          </w:p>
        </w:tc>
      </w:tr>
      <w:tr>
        <w:tc>
          <w:tcPr>
            <w:tcW w:type="dxa" w:w="3120"/>
            <w:vAlign w:val="center"/>
            <w:tcW w:type="dxa" w:w="2088"/>
            <w:tcMar>
              <w:top w:w="80" w:type="dxa"/>
              <w:bottom w:w="80" w:type="dxa"/>
              <w:start w:w="120" w:type="dxa"/>
              <w:end w:w="120" w:type="dxa"/>
            </w:tcMar>
          </w:tcPr>
          <w:p>
            <w:r>
              <w:rPr>
                <w:sz w:val="17"/>
              </w:rPr>
              <w:t>Train</w:t>
            </w:r>
          </w:p>
        </w:tc>
        <w:tc>
          <w:tcPr>
            <w:tcW w:type="dxa" w:w="3120"/>
            <w:vAlign w:val="center"/>
            <w:tcW w:type="dxa" w:w="1224"/>
            <w:tcMar>
              <w:top w:w="80" w:type="dxa"/>
              <w:bottom w:w="80" w:type="dxa"/>
              <w:start w:w="120" w:type="dxa"/>
              <w:end w:w="120" w:type="dxa"/>
            </w:tcMar>
          </w:tcPr>
          <w:p>
            <w:r>
              <w:rPr>
                <w:sz w:val="17"/>
              </w:rPr>
              <w:t>2,016</w:t>
            </w:r>
          </w:p>
        </w:tc>
        <w:tc>
          <w:tcPr>
            <w:tcW w:type="dxa" w:w="3120"/>
            <w:vAlign w:val="center"/>
            <w:tcW w:type="dxa" w:w="6048"/>
            <w:tcMar>
              <w:top w:w="80" w:type="dxa"/>
              <w:bottom w:w="80" w:type="dxa"/>
              <w:start w:w="120" w:type="dxa"/>
              <w:end w:w="120" w:type="dxa"/>
            </w:tcMar>
          </w:tcPr>
          <w:p>
            <w:r>
              <w:rPr>
                <w:sz w:val="17"/>
              </w:rPr>
              <w:t>Fit conditional contour model</w:t>
            </w:r>
          </w:p>
        </w:tc>
      </w:tr>
      <w:tr>
        <w:tc>
          <w:tcPr>
            <w:tcW w:type="dxa" w:w="3120"/>
            <w:vAlign w:val="center"/>
            <w:shd w:fill="F2F4F7"/>
            <w:tcW w:type="dxa" w:w="2088"/>
            <w:tcMar>
              <w:top w:w="80" w:type="dxa"/>
              <w:bottom w:w="80" w:type="dxa"/>
              <w:start w:w="120" w:type="dxa"/>
              <w:end w:w="120" w:type="dxa"/>
            </w:tcMar>
          </w:tcPr>
          <w:p>
            <w:r>
              <w:rPr>
                <w:sz w:val="17"/>
              </w:rPr>
              <w:t>Validation</w:t>
            </w:r>
          </w:p>
        </w:tc>
        <w:tc>
          <w:tcPr>
            <w:tcW w:type="dxa" w:w="3120"/>
            <w:vAlign w:val="center"/>
            <w:shd w:fill="F2F4F7"/>
            <w:tcW w:type="dxa" w:w="1224"/>
            <w:tcMar>
              <w:top w:w="80" w:type="dxa"/>
              <w:bottom w:w="80" w:type="dxa"/>
              <w:start w:w="120" w:type="dxa"/>
              <w:end w:w="120" w:type="dxa"/>
            </w:tcMar>
          </w:tcPr>
          <w:p>
            <w:r>
              <w:rPr>
                <w:sz w:val="17"/>
              </w:rPr>
              <w:t>252</w:t>
            </w:r>
          </w:p>
        </w:tc>
        <w:tc>
          <w:tcPr>
            <w:tcW w:type="dxa" w:w="3120"/>
            <w:vAlign w:val="center"/>
            <w:shd w:fill="F2F4F7"/>
            <w:tcW w:type="dxa" w:w="6048"/>
            <w:tcMar>
              <w:top w:w="80" w:type="dxa"/>
              <w:bottom w:w="80" w:type="dxa"/>
              <w:start w:w="120" w:type="dxa"/>
              <w:end w:w="120" w:type="dxa"/>
            </w:tcMar>
          </w:tcPr>
          <w:p>
            <w:r>
              <w:rPr>
                <w:sz w:val="17"/>
              </w:rPr>
              <w:t>Checkpoint selection</w:t>
            </w:r>
          </w:p>
        </w:tc>
      </w:tr>
      <w:tr>
        <w:tc>
          <w:tcPr>
            <w:tcW w:type="dxa" w:w="3120"/>
            <w:vAlign w:val="center"/>
            <w:tcW w:type="dxa" w:w="2088"/>
            <w:tcMar>
              <w:top w:w="80" w:type="dxa"/>
              <w:bottom w:w="80" w:type="dxa"/>
              <w:start w:w="120" w:type="dxa"/>
              <w:end w:w="120" w:type="dxa"/>
            </w:tcMar>
          </w:tcPr>
          <w:p>
            <w:r>
              <w:rPr>
                <w:sz w:val="17"/>
              </w:rPr>
              <w:t>Held-out test</w:t>
            </w:r>
          </w:p>
        </w:tc>
        <w:tc>
          <w:tcPr>
            <w:tcW w:type="dxa" w:w="3120"/>
            <w:vAlign w:val="center"/>
            <w:tcW w:type="dxa" w:w="1224"/>
            <w:tcMar>
              <w:top w:w="80" w:type="dxa"/>
              <w:bottom w:w="80" w:type="dxa"/>
              <w:start w:w="120" w:type="dxa"/>
              <w:end w:w="120" w:type="dxa"/>
            </w:tcMar>
          </w:tcPr>
          <w:p>
            <w:r>
              <w:rPr>
                <w:sz w:val="17"/>
              </w:rPr>
              <w:t>252</w:t>
            </w:r>
          </w:p>
        </w:tc>
        <w:tc>
          <w:tcPr>
            <w:tcW w:type="dxa" w:w="3120"/>
            <w:vAlign w:val="center"/>
            <w:tcW w:type="dxa" w:w="6048"/>
            <w:tcMar>
              <w:top w:w="80" w:type="dxa"/>
              <w:bottom w:w="80" w:type="dxa"/>
              <w:start w:w="120" w:type="dxa"/>
              <w:end w:w="120" w:type="dxa"/>
            </w:tcMar>
          </w:tcPr>
          <w:p>
            <w:r>
              <w:rPr>
                <w:sz w:val="17"/>
              </w:rPr>
              <w:t>Unseen base geometries in primary process domain</w:t>
            </w:r>
          </w:p>
        </w:tc>
      </w:tr>
      <w:tr>
        <w:tc>
          <w:tcPr>
            <w:tcW w:type="dxa" w:w="3120"/>
            <w:vAlign w:val="center"/>
            <w:shd w:fill="F2F4F7"/>
            <w:tcW w:type="dxa" w:w="2088"/>
            <w:tcMar>
              <w:top w:w="80" w:type="dxa"/>
              <w:bottom w:w="80" w:type="dxa"/>
              <w:start w:w="120" w:type="dxa"/>
              <w:end w:w="120" w:type="dxa"/>
            </w:tcMar>
          </w:tcPr>
          <w:p>
            <w:r>
              <w:rPr>
                <w:sz w:val="17"/>
              </w:rPr>
              <w:t>Process OOD</w:t>
            </w:r>
          </w:p>
        </w:tc>
        <w:tc>
          <w:tcPr>
            <w:tcW w:type="dxa" w:w="3120"/>
            <w:vAlign w:val="center"/>
            <w:shd w:fill="F2F4F7"/>
            <w:tcW w:type="dxa" w:w="1224"/>
            <w:tcMar>
              <w:top w:w="80" w:type="dxa"/>
              <w:bottom w:w="80" w:type="dxa"/>
              <w:start w:w="120" w:type="dxa"/>
              <w:end w:w="120" w:type="dxa"/>
            </w:tcMar>
          </w:tcPr>
          <w:p>
            <w:r>
              <w:rPr>
                <w:sz w:val="17"/>
              </w:rPr>
              <w:t>360</w:t>
            </w:r>
          </w:p>
        </w:tc>
        <w:tc>
          <w:tcPr>
            <w:tcW w:type="dxa" w:w="3120"/>
            <w:vAlign w:val="center"/>
            <w:shd w:fill="F2F4F7"/>
            <w:tcW w:type="dxa" w:w="6048"/>
            <w:tcMar>
              <w:top w:w="80" w:type="dxa"/>
              <w:bottom w:w="80" w:type="dxa"/>
              <w:start w:w="120" w:type="dxa"/>
              <w:end w:w="120" w:type="dxa"/>
            </w:tcMar>
          </w:tcPr>
          <w:p>
            <w:r>
              <w:rPr>
                <w:sz w:val="17"/>
              </w:rPr>
              <w:t>Extreme dose and defocus</w:t>
            </w:r>
          </w:p>
        </w:tc>
      </w:tr>
      <w:tr>
        <w:tc>
          <w:tcPr>
            <w:tcW w:type="dxa" w:w="3120"/>
            <w:vAlign w:val="center"/>
            <w:tcW w:type="dxa" w:w="2088"/>
            <w:tcMar>
              <w:top w:w="80" w:type="dxa"/>
              <w:bottom w:w="80" w:type="dxa"/>
              <w:start w:w="120" w:type="dxa"/>
              <w:end w:w="120" w:type="dxa"/>
            </w:tcMar>
          </w:tcPr>
          <w:p>
            <w:r>
              <w:rPr>
                <w:sz w:val="17"/>
              </w:rPr>
              <w:t>Geometry OOD</w:t>
            </w:r>
          </w:p>
        </w:tc>
        <w:tc>
          <w:tcPr>
            <w:tcW w:type="dxa" w:w="3120"/>
            <w:vAlign w:val="center"/>
            <w:tcW w:type="dxa" w:w="1224"/>
            <w:tcMar>
              <w:top w:w="80" w:type="dxa"/>
              <w:bottom w:w="80" w:type="dxa"/>
              <w:start w:w="120" w:type="dxa"/>
              <w:end w:w="120" w:type="dxa"/>
            </w:tcMar>
          </w:tcPr>
          <w:p>
            <w:r>
              <w:rPr>
                <w:sz w:val="17"/>
              </w:rPr>
              <w:t>480</w:t>
            </w:r>
          </w:p>
        </w:tc>
        <w:tc>
          <w:tcPr>
            <w:tcW w:type="dxa" w:w="3120"/>
            <w:vAlign w:val="center"/>
            <w:tcW w:type="dxa" w:w="6048"/>
            <w:tcMar>
              <w:top w:w="80" w:type="dxa"/>
              <w:bottom w:w="80" w:type="dxa"/>
              <w:start w:w="120" w:type="dxa"/>
              <w:end w:w="120" w:type="dxa"/>
            </w:tcMar>
          </w:tcPr>
          <w:p>
            <w:r>
              <w:rPr>
                <w:sz w:val="17"/>
              </w:rPr>
              <w:t>Entire unseen contact family</w:t>
            </w:r>
          </w:p>
        </w:tc>
      </w:tr>
    </w:tbl>
    <w:p>
      <w:pPr>
        <w:spacing w:before="80" w:after="80"/>
      </w:pPr>
    </w:p>
    <w:p>
      <w:pPr>
        <w:pStyle w:val="Heading2"/>
      </w:pPr>
      <w:r>
        <w:t>Metrics</w:t>
      </w:r>
    </w:p>
    <w:tbl>
      <w:tblPr>
        <w:tblStyle w:val="TableGrid"/>
        <w:tblW w:type="auto" w:w="0"/>
        <w:jc w:val="left"/>
        <w:tblLayout w:type="fixed"/>
        <w:tblLook w:firstColumn="1" w:firstRow="1" w:lastColumn="0" w:lastRow="0" w:noHBand="0" w:noVBand="1" w:val="04A0"/>
        <w:tblW w:type="dxa" w:w="9360"/>
        <w:tblInd w:type="dxa" w:w="120"/>
      </w:tblPr>
      <w:tblGrid>
        <w:gridCol w:w="3024"/>
        <w:gridCol w:w="6336"/>
      </w:tblGrid>
      <w:tr>
        <w:tc>
          <w:tcPr>
            <w:tcW w:type="dxa" w:w="4680"/>
            <w:shd w:fill="082B4C"/>
            <w:vAlign w:val="center"/>
            <w:tcW w:type="dxa" w:w="3024"/>
            <w:tcMar>
              <w:top w:w="80" w:type="dxa"/>
              <w:bottom w:w="80" w:type="dxa"/>
              <w:start w:w="120" w:type="dxa"/>
              <w:end w:w="120" w:type="dxa"/>
            </w:tcMar>
          </w:tcPr>
          <w:p>
            <w:r>
              <w:rPr>
                <w:b/>
                <w:color w:val="FFFFFF"/>
                <w:sz w:val="17"/>
              </w:rPr>
              <w:t>Metric</w:t>
            </w:r>
          </w:p>
        </w:tc>
        <w:tc>
          <w:tcPr>
            <w:tcW w:type="dxa" w:w="4680"/>
            <w:shd w:fill="082B4C"/>
            <w:vAlign w:val="center"/>
            <w:tcW w:type="dxa" w:w="6336"/>
            <w:tcMar>
              <w:top w:w="80" w:type="dxa"/>
              <w:bottom w:w="80" w:type="dxa"/>
              <w:start w:w="120" w:type="dxa"/>
              <w:end w:w="120" w:type="dxa"/>
            </w:tcMar>
          </w:tcPr>
          <w:p>
            <w:r>
              <w:rPr>
                <w:b/>
                <w:color w:val="FFFFFF"/>
                <w:sz w:val="17"/>
              </w:rPr>
              <w:t>Engineering meaning</w:t>
            </w:r>
          </w:p>
        </w:tc>
      </w:tr>
      <w:tr>
        <w:tc>
          <w:tcPr>
            <w:tcW w:type="dxa" w:w="4680"/>
            <w:vAlign w:val="center"/>
            <w:tcW w:type="dxa" w:w="3024"/>
            <w:tcMar>
              <w:top w:w="80" w:type="dxa"/>
              <w:bottom w:w="80" w:type="dxa"/>
              <w:start w:w="120" w:type="dxa"/>
              <w:end w:w="120" w:type="dxa"/>
            </w:tcMar>
          </w:tcPr>
          <w:p>
            <w:r>
              <w:rPr>
                <w:sz w:val="17"/>
              </w:rPr>
              <w:t>IoU / Dice</w:t>
            </w:r>
          </w:p>
        </w:tc>
        <w:tc>
          <w:tcPr>
            <w:tcW w:type="dxa" w:w="4680"/>
            <w:vAlign w:val="center"/>
            <w:tcW w:type="dxa" w:w="6336"/>
            <w:tcMar>
              <w:top w:w="80" w:type="dxa"/>
              <w:bottom w:w="80" w:type="dxa"/>
              <w:start w:w="120" w:type="dxa"/>
              <w:end w:w="120" w:type="dxa"/>
            </w:tcMar>
          </w:tcPr>
          <w:p>
            <w:r>
              <w:rPr>
                <w:sz w:val="17"/>
              </w:rPr>
              <w:t>Overlap of predicted and simulated developed resist</w:t>
            </w:r>
          </w:p>
        </w:tc>
      </w:tr>
      <w:tr>
        <w:tc>
          <w:tcPr>
            <w:tcW w:type="dxa" w:w="4680"/>
            <w:vAlign w:val="center"/>
            <w:shd w:fill="F2F4F7"/>
            <w:tcW w:type="dxa" w:w="3024"/>
            <w:tcMar>
              <w:top w:w="80" w:type="dxa"/>
              <w:bottom w:w="80" w:type="dxa"/>
              <w:start w:w="120" w:type="dxa"/>
              <w:end w:w="120" w:type="dxa"/>
            </w:tcMar>
          </w:tcPr>
          <w:p>
            <w:r>
              <w:rPr>
                <w:sz w:val="17"/>
              </w:rPr>
              <w:t>Symmetric edge distance</w:t>
            </w:r>
          </w:p>
        </w:tc>
        <w:tc>
          <w:tcPr>
            <w:tcW w:type="dxa" w:w="4680"/>
            <w:vAlign w:val="center"/>
            <w:shd w:fill="F2F4F7"/>
            <w:tcW w:type="dxa" w:w="6336"/>
            <w:tcMar>
              <w:top w:w="80" w:type="dxa"/>
              <w:bottom w:w="80" w:type="dxa"/>
              <w:start w:w="120" w:type="dxa"/>
              <w:end w:w="120" w:type="dxa"/>
            </w:tcMar>
          </w:tcPr>
          <w:p>
            <w:r>
              <w:rPr>
                <w:sz w:val="17"/>
              </w:rPr>
              <w:t>Average bidirectional contour displacement in pixels</w:t>
            </w:r>
          </w:p>
        </w:tc>
      </w:tr>
      <w:tr>
        <w:tc>
          <w:tcPr>
            <w:tcW w:type="dxa" w:w="4680"/>
            <w:vAlign w:val="center"/>
            <w:tcW w:type="dxa" w:w="3024"/>
            <w:tcMar>
              <w:top w:w="80" w:type="dxa"/>
              <w:bottom w:w="80" w:type="dxa"/>
              <w:start w:w="120" w:type="dxa"/>
              <w:end w:w="120" w:type="dxa"/>
            </w:tcMar>
          </w:tcPr>
          <w:p>
            <w:r>
              <w:rPr>
                <w:sz w:val="17"/>
              </w:rPr>
              <w:t>Area error</w:t>
            </w:r>
          </w:p>
        </w:tc>
        <w:tc>
          <w:tcPr>
            <w:tcW w:type="dxa" w:w="4680"/>
            <w:vAlign w:val="center"/>
            <w:tcW w:type="dxa" w:w="6336"/>
            <w:tcMar>
              <w:top w:w="80" w:type="dxa"/>
              <w:bottom w:w="80" w:type="dxa"/>
              <w:start w:w="120" w:type="dxa"/>
              <w:end w:w="120" w:type="dxa"/>
            </w:tcMar>
          </w:tcPr>
          <w:p>
            <w:r>
              <w:rPr>
                <w:sz w:val="17"/>
              </w:rPr>
              <w:t>Relative printed-area discrepancy; unstable for near-empty references</w:t>
            </w:r>
          </w:p>
        </w:tc>
      </w:tr>
      <w:tr>
        <w:tc>
          <w:tcPr>
            <w:tcW w:type="dxa" w:w="4680"/>
            <w:vAlign w:val="center"/>
            <w:shd w:fill="F2F4F7"/>
            <w:tcW w:type="dxa" w:w="3024"/>
            <w:tcMar>
              <w:top w:w="80" w:type="dxa"/>
              <w:bottom w:w="80" w:type="dxa"/>
              <w:start w:w="120" w:type="dxa"/>
              <w:end w:w="120" w:type="dxa"/>
            </w:tcMar>
          </w:tcPr>
          <w:p>
            <w:r>
              <w:rPr>
                <w:sz w:val="17"/>
              </w:rPr>
              <w:t>Brier score</w:t>
            </w:r>
          </w:p>
        </w:tc>
        <w:tc>
          <w:tcPr>
            <w:tcW w:type="dxa" w:w="4680"/>
            <w:vAlign w:val="center"/>
            <w:shd w:fill="F2F4F7"/>
            <w:tcW w:type="dxa" w:w="6336"/>
            <w:tcMar>
              <w:top w:w="80" w:type="dxa"/>
              <w:bottom w:w="80" w:type="dxa"/>
              <w:start w:w="120" w:type="dxa"/>
              <w:end w:w="120" w:type="dxa"/>
            </w:tcMar>
          </w:tcPr>
          <w:p>
            <w:r>
              <w:rPr>
                <w:sz w:val="17"/>
              </w:rPr>
              <w:t>Pixel-level probability error</w:t>
            </w:r>
          </w:p>
        </w:tc>
      </w:tr>
      <w:tr>
        <w:tc>
          <w:tcPr>
            <w:tcW w:type="dxa" w:w="4680"/>
            <w:vAlign w:val="center"/>
            <w:tcW w:type="dxa" w:w="3024"/>
            <w:tcMar>
              <w:top w:w="80" w:type="dxa"/>
              <w:bottom w:w="80" w:type="dxa"/>
              <w:start w:w="120" w:type="dxa"/>
              <w:end w:w="120" w:type="dxa"/>
            </w:tcMar>
          </w:tcPr>
          <w:p>
            <w:r>
              <w:rPr>
                <w:sz w:val="17"/>
              </w:rPr>
              <w:t>Uncertainty-error correlation</w:t>
            </w:r>
          </w:p>
        </w:tc>
        <w:tc>
          <w:tcPr>
            <w:tcW w:type="dxa" w:w="4680"/>
            <w:vAlign w:val="center"/>
            <w:tcW w:type="dxa" w:w="6336"/>
            <w:tcMar>
              <w:top w:w="80" w:type="dxa"/>
              <w:bottom w:w="80" w:type="dxa"/>
              <w:start w:w="120" w:type="dxa"/>
              <w:end w:w="120" w:type="dxa"/>
            </w:tcMar>
          </w:tcPr>
          <w:p>
            <w:r>
              <w:rPr>
                <w:sz w:val="17"/>
              </w:rPr>
              <w:t>Whether MC-dropout disagreement rises with contour error</w:t>
            </w:r>
          </w:p>
        </w:tc>
      </w:tr>
      <w:tr>
        <w:tc>
          <w:tcPr>
            <w:tcW w:type="dxa" w:w="4680"/>
            <w:vAlign w:val="center"/>
            <w:shd w:fill="F2F4F7"/>
            <w:tcW w:type="dxa" w:w="3024"/>
            <w:tcMar>
              <w:top w:w="80" w:type="dxa"/>
              <w:bottom w:w="80" w:type="dxa"/>
              <w:start w:w="120" w:type="dxa"/>
              <w:end w:w="120" w:type="dxa"/>
            </w:tcMar>
          </w:tcPr>
          <w:p>
            <w:r>
              <w:rPr>
                <w:sz w:val="17"/>
              </w:rPr>
              <w:t>Latency</w:t>
            </w:r>
          </w:p>
        </w:tc>
        <w:tc>
          <w:tcPr>
            <w:tcW w:type="dxa" w:w="4680"/>
            <w:vAlign w:val="center"/>
            <w:shd w:fill="F2F4F7"/>
            <w:tcW w:type="dxa" w:w="6336"/>
            <w:tcMar>
              <w:top w:w="80" w:type="dxa"/>
              <w:bottom w:w="80" w:type="dxa"/>
              <w:start w:w="120" w:type="dxa"/>
              <w:end w:w="120" w:type="dxa"/>
            </w:tcMar>
          </w:tcPr>
          <w:p>
            <w:r>
              <w:rPr>
                <w:sz w:val="17"/>
              </w:rPr>
              <w:t>Measured batched neural and reference-simulator CPU time</w:t>
            </w:r>
          </w:p>
        </w:tc>
      </w:tr>
    </w:tbl>
    <w:p>
      <w:pPr>
        <w:spacing w:before="80" w:after="80"/>
      </w:pPr>
    </w:p>
    <w:p>
      <w:r>
        <w:t>Area percentage error becomes extremely large when the reference has only a few printed pixels. It is retained for transparency but is not treated as the primary metric; IoU, Dice, and edge distance are more stable for this dataset.</w:t>
      </w:r>
    </w:p>
    <w:p>
      <w:r>
        <w:br w:type="page"/>
      </w:r>
    </w:p>
    <w:p>
      <w:pPr>
        <w:pStyle w:val="Heading1"/>
      </w:pPr>
      <w:r>
        <w:t>AI methodology</w:t>
      </w:r>
    </w:p>
    <w:p>
      <w:pPr>
        <w:pStyle w:val="Heading2"/>
      </w:pPr>
      <w:r>
        <w:t>Gaussian baseline</w:t>
      </w:r>
    </w:p>
    <w:p>
      <w:r>
        <w:t>The baseline applies a defocus-dependent Gaussian blur, multiplies by dose, and thresholds the result. It provides a meaningful low-cost approximation that lacks the shifted-pupil interference structure of the reference simulator.</w:t>
      </w:r>
    </w:p>
    <w:p>
      <w:pPr>
        <w:pStyle w:val="Heading2"/>
      </w:pPr>
      <w:r>
        <w:t>Conditional U-Net</w:t>
      </w:r>
    </w:p>
    <w:p>
      <w:r>
        <w:t>The neural model receives five 48 x 48 channels: binary mask, relative dose, defocus, numerical aperture, and resist threshold. A compact encoder-decoder with skip connections predicts a continuous resist probability field. Training minimizes binary cross-entropy plus Dice loss with AdamW for 12 epochs; the lowest validation loss checkpoint is retained. Fixed seed 42 and CPU execution support reproducibility.</w:t>
      </w:r>
    </w:p>
    <w:tbl>
      <w:tblPr>
        <w:tblStyle w:val="TableGrid"/>
        <w:tblW w:type="auto" w:w="0"/>
        <w:jc w:val="left"/>
        <w:tblLayout w:type="fixed"/>
        <w:tblLook w:firstColumn="1" w:firstRow="1" w:lastColumn="0" w:lastRow="0" w:noHBand="0" w:noVBand="1" w:val="04A0"/>
        <w:tblW w:type="dxa" w:w="9360"/>
        <w:tblInd w:type="dxa" w:w="120"/>
      </w:tblPr>
      <w:tblGrid>
        <w:gridCol w:w="1728"/>
        <w:gridCol w:w="3600"/>
        <w:gridCol w:w="4031"/>
      </w:tblGrid>
      <w:tr>
        <w:tc>
          <w:tcPr>
            <w:tcW w:type="dxa" w:w="3120"/>
            <w:shd w:fill="082B4C"/>
            <w:vAlign w:val="center"/>
            <w:tcW w:type="dxa" w:w="1728"/>
            <w:tcMar>
              <w:top w:w="80" w:type="dxa"/>
              <w:bottom w:w="80" w:type="dxa"/>
              <w:start w:w="120" w:type="dxa"/>
              <w:end w:w="120" w:type="dxa"/>
            </w:tcMar>
          </w:tcPr>
          <w:p>
            <w:r>
              <w:rPr>
                <w:b/>
                <w:color w:val="FFFFFF"/>
                <w:sz w:val="17"/>
              </w:rPr>
              <w:t>Component</w:t>
            </w:r>
          </w:p>
        </w:tc>
        <w:tc>
          <w:tcPr>
            <w:tcW w:type="dxa" w:w="3120"/>
            <w:shd w:fill="082B4C"/>
            <w:vAlign w:val="center"/>
            <w:tcW w:type="dxa" w:w="3600"/>
            <w:tcMar>
              <w:top w:w="80" w:type="dxa"/>
              <w:bottom w:w="80" w:type="dxa"/>
              <w:start w:w="120" w:type="dxa"/>
              <w:end w:w="120" w:type="dxa"/>
            </w:tcMar>
          </w:tcPr>
          <w:p>
            <w:r>
              <w:rPr>
                <w:b/>
                <w:color w:val="FFFFFF"/>
                <w:sz w:val="17"/>
              </w:rPr>
              <w:t>Implementation</w:t>
            </w:r>
          </w:p>
        </w:tc>
        <w:tc>
          <w:tcPr>
            <w:tcW w:type="dxa" w:w="3120"/>
            <w:shd w:fill="082B4C"/>
            <w:vAlign w:val="center"/>
            <w:tcW w:type="dxa" w:w="4031"/>
            <w:tcMar>
              <w:top w:w="80" w:type="dxa"/>
              <w:bottom w:w="80" w:type="dxa"/>
              <w:start w:w="120" w:type="dxa"/>
              <w:end w:w="120" w:type="dxa"/>
            </w:tcMar>
          </w:tcPr>
          <w:p>
            <w:r>
              <w:rPr>
                <w:b/>
                <w:color w:val="FFFFFF"/>
                <w:sz w:val="17"/>
              </w:rPr>
              <w:t>Purpose</w:t>
            </w:r>
          </w:p>
        </w:tc>
      </w:tr>
      <w:tr>
        <w:tc>
          <w:tcPr>
            <w:tcW w:type="dxa" w:w="3120"/>
            <w:vAlign w:val="center"/>
            <w:tcW w:type="dxa" w:w="1728"/>
            <w:tcMar>
              <w:top w:w="80" w:type="dxa"/>
              <w:bottom w:w="80" w:type="dxa"/>
              <w:start w:w="120" w:type="dxa"/>
              <w:end w:w="120" w:type="dxa"/>
            </w:tcMar>
          </w:tcPr>
          <w:p>
            <w:r>
              <w:rPr>
                <w:sz w:val="17"/>
              </w:rPr>
              <w:t>Input</w:t>
            </w:r>
          </w:p>
        </w:tc>
        <w:tc>
          <w:tcPr>
            <w:tcW w:type="dxa" w:w="3120"/>
            <w:vAlign w:val="center"/>
            <w:tcW w:type="dxa" w:w="3600"/>
            <w:tcMar>
              <w:top w:w="80" w:type="dxa"/>
              <w:bottom w:w="80" w:type="dxa"/>
              <w:start w:w="120" w:type="dxa"/>
              <w:end w:w="120" w:type="dxa"/>
            </w:tcMar>
          </w:tcPr>
          <w:p>
            <w:r>
              <w:rPr>
                <w:sz w:val="17"/>
              </w:rPr>
              <w:t>Mask + four broadcast process channels</w:t>
            </w:r>
          </w:p>
        </w:tc>
        <w:tc>
          <w:tcPr>
            <w:tcW w:type="dxa" w:w="3120"/>
            <w:vAlign w:val="center"/>
            <w:tcW w:type="dxa" w:w="4031"/>
            <w:tcMar>
              <w:top w:w="80" w:type="dxa"/>
              <w:bottom w:w="80" w:type="dxa"/>
              <w:start w:w="120" w:type="dxa"/>
              <w:end w:w="120" w:type="dxa"/>
            </w:tcMar>
          </w:tcPr>
          <w:p>
            <w:r>
              <w:rPr>
                <w:sz w:val="17"/>
              </w:rPr>
              <w:t>Condition spatial prediction on recipe</w:t>
            </w:r>
          </w:p>
        </w:tc>
      </w:tr>
      <w:tr>
        <w:tc>
          <w:tcPr>
            <w:tcW w:type="dxa" w:w="3120"/>
            <w:vAlign w:val="center"/>
            <w:shd w:fill="F2F4F7"/>
            <w:tcW w:type="dxa" w:w="1728"/>
            <w:tcMar>
              <w:top w:w="80" w:type="dxa"/>
              <w:bottom w:w="80" w:type="dxa"/>
              <w:start w:w="120" w:type="dxa"/>
              <w:end w:w="120" w:type="dxa"/>
            </w:tcMar>
          </w:tcPr>
          <w:p>
            <w:r>
              <w:rPr>
                <w:sz w:val="17"/>
              </w:rPr>
              <w:t>Encoder</w:t>
            </w:r>
          </w:p>
        </w:tc>
        <w:tc>
          <w:tcPr>
            <w:tcW w:type="dxa" w:w="3120"/>
            <w:vAlign w:val="center"/>
            <w:shd w:fill="F2F4F7"/>
            <w:tcW w:type="dxa" w:w="3600"/>
            <w:tcMar>
              <w:top w:w="80" w:type="dxa"/>
              <w:bottom w:w="80" w:type="dxa"/>
              <w:start w:w="120" w:type="dxa"/>
              <w:end w:w="120" w:type="dxa"/>
            </w:tcMar>
          </w:tcPr>
          <w:p>
            <w:r>
              <w:rPr>
                <w:sz w:val="17"/>
              </w:rPr>
              <w:t>Two convolution blocks with max pooling</w:t>
            </w:r>
          </w:p>
        </w:tc>
        <w:tc>
          <w:tcPr>
            <w:tcW w:type="dxa" w:w="3120"/>
            <w:vAlign w:val="center"/>
            <w:shd w:fill="F2F4F7"/>
            <w:tcW w:type="dxa" w:w="4031"/>
            <w:tcMar>
              <w:top w:w="80" w:type="dxa"/>
              <w:bottom w:w="80" w:type="dxa"/>
              <w:start w:w="120" w:type="dxa"/>
              <w:end w:w="120" w:type="dxa"/>
            </w:tcMar>
          </w:tcPr>
          <w:p>
            <w:r>
              <w:rPr>
                <w:sz w:val="17"/>
              </w:rPr>
              <w:t>Capture local and multi-scale geometry</w:t>
            </w:r>
          </w:p>
        </w:tc>
      </w:tr>
      <w:tr>
        <w:tc>
          <w:tcPr>
            <w:tcW w:type="dxa" w:w="3120"/>
            <w:vAlign w:val="center"/>
            <w:tcW w:type="dxa" w:w="1728"/>
            <w:tcMar>
              <w:top w:w="80" w:type="dxa"/>
              <w:bottom w:w="80" w:type="dxa"/>
              <w:start w:w="120" w:type="dxa"/>
              <w:end w:w="120" w:type="dxa"/>
            </w:tcMar>
          </w:tcPr>
          <w:p>
            <w:r>
              <w:rPr>
                <w:sz w:val="17"/>
              </w:rPr>
              <w:t>Bottleneck</w:t>
            </w:r>
          </w:p>
        </w:tc>
        <w:tc>
          <w:tcPr>
            <w:tcW w:type="dxa" w:w="3120"/>
            <w:vAlign w:val="center"/>
            <w:tcW w:type="dxa" w:w="3600"/>
            <w:tcMar>
              <w:top w:w="80" w:type="dxa"/>
              <w:bottom w:w="80" w:type="dxa"/>
              <w:start w:w="120" w:type="dxa"/>
              <w:end w:w="120" w:type="dxa"/>
            </w:tcMar>
          </w:tcPr>
          <w:p>
            <w:r>
              <w:rPr>
                <w:sz w:val="17"/>
              </w:rPr>
              <w:t>64-channel block with spatial dropout</w:t>
            </w:r>
          </w:p>
        </w:tc>
        <w:tc>
          <w:tcPr>
            <w:tcW w:type="dxa" w:w="3120"/>
            <w:vAlign w:val="center"/>
            <w:tcW w:type="dxa" w:w="4031"/>
            <w:tcMar>
              <w:top w:w="80" w:type="dxa"/>
              <w:bottom w:w="80" w:type="dxa"/>
              <w:start w:w="120" w:type="dxa"/>
              <w:end w:w="120" w:type="dxa"/>
            </w:tcMar>
          </w:tcPr>
          <w:p>
            <w:r>
              <w:rPr>
                <w:sz w:val="17"/>
              </w:rPr>
              <w:t>Regularized latent representation</w:t>
            </w:r>
          </w:p>
        </w:tc>
      </w:tr>
      <w:tr>
        <w:tc>
          <w:tcPr>
            <w:tcW w:type="dxa" w:w="3120"/>
            <w:vAlign w:val="center"/>
            <w:shd w:fill="F2F4F7"/>
            <w:tcW w:type="dxa" w:w="1728"/>
            <w:tcMar>
              <w:top w:w="80" w:type="dxa"/>
              <w:bottom w:w="80" w:type="dxa"/>
              <w:start w:w="120" w:type="dxa"/>
              <w:end w:w="120" w:type="dxa"/>
            </w:tcMar>
          </w:tcPr>
          <w:p>
            <w:r>
              <w:rPr>
                <w:sz w:val="17"/>
              </w:rPr>
              <w:t>Decoder</w:t>
            </w:r>
          </w:p>
        </w:tc>
        <w:tc>
          <w:tcPr>
            <w:tcW w:type="dxa" w:w="3120"/>
            <w:vAlign w:val="center"/>
            <w:shd w:fill="F2F4F7"/>
            <w:tcW w:type="dxa" w:w="3600"/>
            <w:tcMar>
              <w:top w:w="80" w:type="dxa"/>
              <w:bottom w:w="80" w:type="dxa"/>
              <w:start w:w="120" w:type="dxa"/>
              <w:end w:w="120" w:type="dxa"/>
            </w:tcMar>
          </w:tcPr>
          <w:p>
            <w:r>
              <w:rPr>
                <w:sz w:val="17"/>
              </w:rPr>
              <w:t>Bilinear upsampling and skip connections</w:t>
            </w:r>
          </w:p>
        </w:tc>
        <w:tc>
          <w:tcPr>
            <w:tcW w:type="dxa" w:w="3120"/>
            <w:vAlign w:val="center"/>
            <w:shd w:fill="F2F4F7"/>
            <w:tcW w:type="dxa" w:w="4031"/>
            <w:tcMar>
              <w:top w:w="80" w:type="dxa"/>
              <w:bottom w:w="80" w:type="dxa"/>
              <w:start w:w="120" w:type="dxa"/>
              <w:end w:w="120" w:type="dxa"/>
            </w:tcMar>
          </w:tcPr>
          <w:p>
            <w:r>
              <w:rPr>
                <w:sz w:val="17"/>
              </w:rPr>
              <w:t>Recover contour localization</w:t>
            </w:r>
          </w:p>
        </w:tc>
      </w:tr>
      <w:tr>
        <w:tc>
          <w:tcPr>
            <w:tcW w:type="dxa" w:w="3120"/>
            <w:vAlign w:val="center"/>
            <w:tcW w:type="dxa" w:w="1728"/>
            <w:tcMar>
              <w:top w:w="80" w:type="dxa"/>
              <w:bottom w:w="80" w:type="dxa"/>
              <w:start w:w="120" w:type="dxa"/>
              <w:end w:w="120" w:type="dxa"/>
            </w:tcMar>
          </w:tcPr>
          <w:p>
            <w:r>
              <w:rPr>
                <w:sz w:val="17"/>
              </w:rPr>
              <w:t>Output</w:t>
            </w:r>
          </w:p>
        </w:tc>
        <w:tc>
          <w:tcPr>
            <w:tcW w:type="dxa" w:w="3120"/>
            <w:vAlign w:val="center"/>
            <w:tcW w:type="dxa" w:w="3600"/>
            <w:tcMar>
              <w:top w:w="80" w:type="dxa"/>
              <w:bottom w:w="80" w:type="dxa"/>
              <w:start w:w="120" w:type="dxa"/>
              <w:end w:w="120" w:type="dxa"/>
            </w:tcMar>
          </w:tcPr>
          <w:p>
            <w:r>
              <w:rPr>
                <w:sz w:val="17"/>
              </w:rPr>
              <w:t>One-channel logits</w:t>
            </w:r>
          </w:p>
        </w:tc>
        <w:tc>
          <w:tcPr>
            <w:tcW w:type="dxa" w:w="3120"/>
            <w:vAlign w:val="center"/>
            <w:tcW w:type="dxa" w:w="4031"/>
            <w:tcMar>
              <w:top w:w="80" w:type="dxa"/>
              <w:bottom w:w="80" w:type="dxa"/>
              <w:start w:w="120" w:type="dxa"/>
              <w:end w:w="120" w:type="dxa"/>
            </w:tcMar>
          </w:tcPr>
          <w:p>
            <w:r>
              <w:rPr>
                <w:sz w:val="17"/>
              </w:rPr>
              <w:t>Resist probability at every pixel</w:t>
            </w:r>
          </w:p>
        </w:tc>
      </w:tr>
    </w:tbl>
    <w:p>
      <w:pPr>
        <w:spacing w:before="80" w:after="80"/>
      </w:pPr>
    </w:p>
    <w:p>
      <w:pPr>
        <w:jc w:val="center"/>
      </w:pPr>
      <w:r>
        <w:drawing>
          <wp:inline xmlns:a="http://schemas.openxmlformats.org/drawingml/2006/main" xmlns:pic="http://schemas.openxmlformats.org/drawingml/2006/picture">
            <wp:extent cx="5760720" cy="1885327"/>
            <wp:docPr id="4" name="Picture 4"/>
            <wp:cNvGraphicFramePr>
              <a:graphicFrameLocks noChangeAspect="1"/>
            </wp:cNvGraphicFramePr>
            <a:graphic>
              <a:graphicData uri="http://schemas.openxmlformats.org/drawingml/2006/picture">
                <pic:pic>
                  <pic:nvPicPr>
                    <pic:cNvPr id="0" name="process_window.png"/>
                    <pic:cNvPicPr/>
                  </pic:nvPicPr>
                  <pic:blipFill>
                    <a:blip r:embed="rId13"/>
                    <a:stretch>
                      <a:fillRect/>
                    </a:stretch>
                  </pic:blipFill>
                  <pic:spPr>
                    <a:xfrm>
                      <a:off x="0" y="0"/>
                      <a:ext cx="5760720" cy="1885327"/>
                    </a:xfrm>
                    <a:prstGeom prst="rect"/>
                  </pic:spPr>
                </pic:pic>
              </a:graphicData>
            </a:graphic>
          </wp:inline>
        </w:drawing>
      </w:r>
    </w:p>
    <w:p>
      <w:pPr>
        <w:spacing w:before="80" w:after="80"/>
        <w:jc w:val="center"/>
      </w:pPr>
      <w:r>
        <w:rPr>
          <w:i/>
          <w:color w:val="536777"/>
          <w:sz w:val="17"/>
        </w:rPr>
        <w:t>Figure 3. Physics and neural dose-focus process windows for a held-out geometry.</w:t>
      </w:r>
    </w:p>
    <w:p>
      <w:r>
        <w:br w:type="page"/>
      </w:r>
    </w:p>
    <w:p>
      <w:pPr>
        <w:pStyle w:val="Heading1"/>
      </w:pPr>
      <w:r>
        <w:t>Locally measured results</w:t>
      </w:r>
    </w:p>
    <w:tbl>
      <w:tblPr>
        <w:tblStyle w:val="TableGrid"/>
        <w:tblW w:type="auto" w:w="0"/>
        <w:jc w:val="left"/>
        <w:tblLayout w:type="fixed"/>
        <w:tblLook w:firstColumn="1" w:firstRow="1" w:lastColumn="0" w:lastRow="0" w:noHBand="0" w:noVBand="1" w:val="04A0"/>
        <w:tblW w:type="dxa" w:w="9360"/>
        <w:tblInd w:type="dxa" w:w="120"/>
      </w:tblPr>
      <w:tblGrid>
        <w:gridCol w:w="3311"/>
        <w:gridCol w:w="2880"/>
        <w:gridCol w:w="3168"/>
      </w:tblGrid>
      <w:tr>
        <w:tc>
          <w:tcPr>
            <w:tcW w:type="dxa" w:w="3120"/>
            <w:shd w:fill="082B4C"/>
            <w:vAlign w:val="center"/>
            <w:tcW w:type="dxa" w:w="3311"/>
            <w:tcMar>
              <w:top w:w="80" w:type="dxa"/>
              <w:bottom w:w="80" w:type="dxa"/>
              <w:start w:w="120" w:type="dxa"/>
              <w:end w:w="120" w:type="dxa"/>
            </w:tcMar>
          </w:tcPr>
          <w:p>
            <w:r>
              <w:rPr>
                <w:b/>
                <w:color w:val="FFFFFF"/>
                <w:sz w:val="17"/>
              </w:rPr>
              <w:t>Metric</w:t>
            </w:r>
          </w:p>
        </w:tc>
        <w:tc>
          <w:tcPr>
            <w:tcW w:type="dxa" w:w="3120"/>
            <w:shd w:fill="082B4C"/>
            <w:vAlign w:val="center"/>
            <w:tcW w:type="dxa" w:w="2880"/>
            <w:tcMar>
              <w:top w:w="80" w:type="dxa"/>
              <w:bottom w:w="80" w:type="dxa"/>
              <w:start w:w="120" w:type="dxa"/>
              <w:end w:w="120" w:type="dxa"/>
            </w:tcMar>
          </w:tcPr>
          <w:p>
            <w:r>
              <w:rPr>
                <w:b/>
                <w:color w:val="FFFFFF"/>
                <w:sz w:val="17"/>
              </w:rPr>
              <w:t>Gaussian baseline</w:t>
            </w:r>
          </w:p>
        </w:tc>
        <w:tc>
          <w:tcPr>
            <w:tcW w:type="dxa" w:w="3120"/>
            <w:shd w:fill="082B4C"/>
            <w:vAlign w:val="center"/>
            <w:tcW w:type="dxa" w:w="3168"/>
            <w:tcMar>
              <w:top w:w="80" w:type="dxa"/>
              <w:bottom w:w="80" w:type="dxa"/>
              <w:start w:w="120" w:type="dxa"/>
              <w:end w:w="120" w:type="dxa"/>
            </w:tcMar>
          </w:tcPr>
          <w:p>
            <w:r>
              <w:rPr>
                <w:b/>
                <w:color w:val="FFFFFF"/>
                <w:sz w:val="17"/>
              </w:rPr>
              <w:t>Conditional U-Net</w:t>
            </w:r>
          </w:p>
        </w:tc>
      </w:tr>
      <w:tr>
        <w:tc>
          <w:tcPr>
            <w:tcW w:type="dxa" w:w="3120"/>
            <w:vAlign w:val="center"/>
            <w:tcW w:type="dxa" w:w="3311"/>
            <w:tcMar>
              <w:top w:w="80" w:type="dxa"/>
              <w:bottom w:w="80" w:type="dxa"/>
              <w:start w:w="120" w:type="dxa"/>
              <w:end w:w="120" w:type="dxa"/>
            </w:tcMar>
          </w:tcPr>
          <w:p>
            <w:r>
              <w:rPr>
                <w:sz w:val="17"/>
              </w:rPr>
              <w:t>Mean IoU</w:t>
            </w:r>
          </w:p>
        </w:tc>
        <w:tc>
          <w:tcPr>
            <w:tcW w:type="dxa" w:w="3120"/>
            <w:vAlign w:val="center"/>
            <w:tcW w:type="dxa" w:w="2880"/>
            <w:tcMar>
              <w:top w:w="80" w:type="dxa"/>
              <w:bottom w:w="80" w:type="dxa"/>
              <w:start w:w="120" w:type="dxa"/>
              <w:end w:w="120" w:type="dxa"/>
            </w:tcMar>
          </w:tcPr>
          <w:p>
            <w:r>
              <w:rPr>
                <w:sz w:val="17"/>
              </w:rPr>
              <w:t>0.731</w:t>
            </w:r>
          </w:p>
        </w:tc>
        <w:tc>
          <w:tcPr>
            <w:tcW w:type="dxa" w:w="3120"/>
            <w:vAlign w:val="center"/>
            <w:tcW w:type="dxa" w:w="3168"/>
            <w:tcMar>
              <w:top w:w="80" w:type="dxa"/>
              <w:bottom w:w="80" w:type="dxa"/>
              <w:start w:w="120" w:type="dxa"/>
              <w:end w:w="120" w:type="dxa"/>
            </w:tcMar>
          </w:tcPr>
          <w:p>
            <w:r>
              <w:rPr>
                <w:sz w:val="17"/>
              </w:rPr>
              <w:t>0.902</w:t>
            </w:r>
          </w:p>
        </w:tc>
      </w:tr>
      <w:tr>
        <w:tc>
          <w:tcPr>
            <w:tcW w:type="dxa" w:w="3120"/>
            <w:vAlign w:val="center"/>
            <w:shd w:fill="F2F4F7"/>
            <w:tcW w:type="dxa" w:w="3311"/>
            <w:tcMar>
              <w:top w:w="80" w:type="dxa"/>
              <w:bottom w:w="80" w:type="dxa"/>
              <w:start w:w="120" w:type="dxa"/>
              <w:end w:w="120" w:type="dxa"/>
            </w:tcMar>
          </w:tcPr>
          <w:p>
            <w:r>
              <w:rPr>
                <w:sz w:val="17"/>
              </w:rPr>
              <w:t>Mean Dice</w:t>
            </w:r>
          </w:p>
        </w:tc>
        <w:tc>
          <w:tcPr>
            <w:tcW w:type="dxa" w:w="3120"/>
            <w:vAlign w:val="center"/>
            <w:shd w:fill="F2F4F7"/>
            <w:tcW w:type="dxa" w:w="2880"/>
            <w:tcMar>
              <w:top w:w="80" w:type="dxa"/>
              <w:bottom w:w="80" w:type="dxa"/>
              <w:start w:w="120" w:type="dxa"/>
              <w:end w:w="120" w:type="dxa"/>
            </w:tcMar>
          </w:tcPr>
          <w:p>
            <w:r>
              <w:rPr>
                <w:sz w:val="17"/>
              </w:rPr>
              <w:t>0.823</w:t>
            </w:r>
          </w:p>
        </w:tc>
        <w:tc>
          <w:tcPr>
            <w:tcW w:type="dxa" w:w="3120"/>
            <w:vAlign w:val="center"/>
            <w:shd w:fill="F2F4F7"/>
            <w:tcW w:type="dxa" w:w="3168"/>
            <w:tcMar>
              <w:top w:w="80" w:type="dxa"/>
              <w:bottom w:w="80" w:type="dxa"/>
              <w:start w:w="120" w:type="dxa"/>
              <w:end w:w="120" w:type="dxa"/>
            </w:tcMar>
          </w:tcPr>
          <w:p>
            <w:r>
              <w:rPr>
                <w:sz w:val="17"/>
              </w:rPr>
              <w:t>0.928</w:t>
            </w:r>
          </w:p>
        </w:tc>
      </w:tr>
      <w:tr>
        <w:tc>
          <w:tcPr>
            <w:tcW w:type="dxa" w:w="3120"/>
            <w:vAlign w:val="center"/>
            <w:tcW w:type="dxa" w:w="3311"/>
            <w:tcMar>
              <w:top w:w="80" w:type="dxa"/>
              <w:bottom w:w="80" w:type="dxa"/>
              <w:start w:w="120" w:type="dxa"/>
              <w:end w:w="120" w:type="dxa"/>
            </w:tcMar>
          </w:tcPr>
          <w:p>
            <w:r>
              <w:rPr>
                <w:sz w:val="17"/>
              </w:rPr>
              <w:t>Edge distance</w:t>
            </w:r>
          </w:p>
        </w:tc>
        <w:tc>
          <w:tcPr>
            <w:tcW w:type="dxa" w:w="3120"/>
            <w:vAlign w:val="center"/>
            <w:tcW w:type="dxa" w:w="2880"/>
            <w:tcMar>
              <w:top w:w="80" w:type="dxa"/>
              <w:bottom w:w="80" w:type="dxa"/>
              <w:start w:w="120" w:type="dxa"/>
              <w:end w:w="120" w:type="dxa"/>
            </w:tcMar>
          </w:tcPr>
          <w:p>
            <w:r>
              <w:rPr>
                <w:sz w:val="17"/>
              </w:rPr>
              <w:t>2.27 px</w:t>
            </w:r>
          </w:p>
        </w:tc>
        <w:tc>
          <w:tcPr>
            <w:tcW w:type="dxa" w:w="3120"/>
            <w:vAlign w:val="center"/>
            <w:tcW w:type="dxa" w:w="3168"/>
            <w:tcMar>
              <w:top w:w="80" w:type="dxa"/>
              <w:bottom w:w="80" w:type="dxa"/>
              <w:start w:w="120" w:type="dxa"/>
              <w:end w:w="120" w:type="dxa"/>
            </w:tcMar>
          </w:tcPr>
          <w:p>
            <w:r>
              <w:rPr>
                <w:sz w:val="17"/>
              </w:rPr>
              <w:t>1.66 px</w:t>
            </w:r>
          </w:p>
        </w:tc>
      </w:tr>
      <w:tr>
        <w:tc>
          <w:tcPr>
            <w:tcW w:type="dxa" w:w="3120"/>
            <w:vAlign w:val="center"/>
            <w:shd w:fill="F2F4F7"/>
            <w:tcW w:type="dxa" w:w="3311"/>
            <w:tcMar>
              <w:top w:w="80" w:type="dxa"/>
              <w:bottom w:w="80" w:type="dxa"/>
              <w:start w:w="120" w:type="dxa"/>
              <w:end w:w="120" w:type="dxa"/>
            </w:tcMar>
          </w:tcPr>
          <w:p>
            <w:r>
              <w:rPr>
                <w:sz w:val="17"/>
              </w:rPr>
              <w:t>Pixel Brier score</w:t>
            </w:r>
          </w:p>
        </w:tc>
        <w:tc>
          <w:tcPr>
            <w:tcW w:type="dxa" w:w="3120"/>
            <w:vAlign w:val="center"/>
            <w:shd w:fill="F2F4F7"/>
            <w:tcW w:type="dxa" w:w="2880"/>
            <w:tcMar>
              <w:top w:w="80" w:type="dxa"/>
              <w:bottom w:w="80" w:type="dxa"/>
              <w:start w:w="120" w:type="dxa"/>
              <w:end w:w="120" w:type="dxa"/>
            </w:tcMar>
          </w:tcPr>
          <w:p>
            <w:r>
              <w:rPr>
                <w:sz w:val="17"/>
              </w:rPr>
              <w:t>Not probabilistic</w:t>
            </w:r>
          </w:p>
        </w:tc>
        <w:tc>
          <w:tcPr>
            <w:tcW w:type="dxa" w:w="3120"/>
            <w:vAlign w:val="center"/>
            <w:shd w:fill="F2F4F7"/>
            <w:tcW w:type="dxa" w:w="3168"/>
            <w:tcMar>
              <w:top w:w="80" w:type="dxa"/>
              <w:bottom w:w="80" w:type="dxa"/>
              <w:start w:w="120" w:type="dxa"/>
              <w:end w:w="120" w:type="dxa"/>
            </w:tcMar>
          </w:tcPr>
          <w:p>
            <w:r>
              <w:rPr>
                <w:sz w:val="17"/>
              </w:rPr>
              <w:t>0.0144</w:t>
            </w:r>
          </w:p>
        </w:tc>
      </w:tr>
      <w:tr>
        <w:tc>
          <w:tcPr>
            <w:tcW w:type="dxa" w:w="3120"/>
            <w:vAlign w:val="center"/>
            <w:tcW w:type="dxa" w:w="3311"/>
            <w:tcMar>
              <w:top w:w="80" w:type="dxa"/>
              <w:bottom w:w="80" w:type="dxa"/>
              <w:start w:w="120" w:type="dxa"/>
              <w:end w:w="120" w:type="dxa"/>
            </w:tcMar>
          </w:tcPr>
          <w:p>
            <w:r>
              <w:rPr>
                <w:sz w:val="17"/>
              </w:rPr>
              <w:t>Uncertainty-error correlation</w:t>
            </w:r>
          </w:p>
        </w:tc>
        <w:tc>
          <w:tcPr>
            <w:tcW w:type="dxa" w:w="3120"/>
            <w:vAlign w:val="center"/>
            <w:tcW w:type="dxa" w:w="2880"/>
            <w:tcMar>
              <w:top w:w="80" w:type="dxa"/>
              <w:bottom w:w="80" w:type="dxa"/>
              <w:start w:w="120" w:type="dxa"/>
              <w:end w:w="120" w:type="dxa"/>
            </w:tcMar>
          </w:tcPr>
          <w:p>
            <w:r>
              <w:rPr>
                <w:sz w:val="17"/>
              </w:rPr>
              <w:t>Not available</w:t>
            </w:r>
          </w:p>
        </w:tc>
        <w:tc>
          <w:tcPr>
            <w:tcW w:type="dxa" w:w="3120"/>
            <w:vAlign w:val="center"/>
            <w:tcW w:type="dxa" w:w="3168"/>
            <w:tcMar>
              <w:top w:w="80" w:type="dxa"/>
              <w:bottom w:w="80" w:type="dxa"/>
              <w:start w:w="120" w:type="dxa"/>
              <w:end w:w="120" w:type="dxa"/>
            </w:tcMar>
          </w:tcPr>
          <w:p>
            <w:r>
              <w:rPr>
                <w:sz w:val="17"/>
              </w:rPr>
              <w:t>0.272</w:t>
            </w:r>
          </w:p>
        </w:tc>
      </w:tr>
    </w:tbl>
    <w:p>
      <w:pPr>
        <w:spacing w:before="80" w:after="80"/>
      </w:pP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iou_comparison.png"/>
                    <pic:cNvPicPr/>
                  </pic:nvPicPr>
                  <pic:blipFill>
                    <a:blip r:embed="rId14"/>
                    <a:stretch>
                      <a:fillRect/>
                    </a:stretch>
                  </pic:blipFill>
                  <pic:spPr>
                    <a:xfrm>
                      <a:off x="0" y="0"/>
                      <a:ext cx="5303520" cy="3409406"/>
                    </a:xfrm>
                    <a:prstGeom prst="rect"/>
                  </pic:spPr>
                </pic:pic>
              </a:graphicData>
            </a:graphic>
          </wp:inline>
        </w:drawing>
      </w:r>
    </w:p>
    <w:p>
      <w:pPr>
        <w:spacing w:before="80" w:after="80"/>
        <w:jc w:val="center"/>
      </w:pPr>
      <w:r>
        <w:rPr>
          <w:i/>
          <w:color w:val="536777"/>
          <w:sz w:val="17"/>
        </w:rPr>
        <w:t>Figure 4. Mean contour IoU across interpolation and OOD regimes.</w:t>
      </w:r>
    </w:p>
    <w:p>
      <w:pPr>
        <w:jc w:val="center"/>
      </w:pPr>
      <w:r>
        <w:drawing>
          <wp:inline xmlns:a="http://schemas.openxmlformats.org/drawingml/2006/main" xmlns:pic="http://schemas.openxmlformats.org/drawingml/2006/picture">
            <wp:extent cx="5577840" cy="2119579"/>
            <wp:docPr id="6" name="Picture 6"/>
            <wp:cNvGraphicFramePr>
              <a:graphicFrameLocks noChangeAspect="1"/>
            </wp:cNvGraphicFramePr>
            <a:graphic>
              <a:graphicData uri="http://schemas.openxmlformats.org/drawingml/2006/picture">
                <pic:pic>
                  <pic:nvPicPr>
                    <pic:cNvPr id="0" name="engineering_metrics.png"/>
                    <pic:cNvPicPr/>
                  </pic:nvPicPr>
                  <pic:blipFill>
                    <a:blip r:embed="rId15"/>
                    <a:stretch>
                      <a:fillRect/>
                    </a:stretch>
                  </pic:blipFill>
                  <pic:spPr>
                    <a:xfrm>
                      <a:off x="0" y="0"/>
                      <a:ext cx="5577840" cy="2119579"/>
                    </a:xfrm>
                    <a:prstGeom prst="rect"/>
                  </pic:spPr>
                </pic:pic>
              </a:graphicData>
            </a:graphic>
          </wp:inline>
        </w:drawing>
      </w:r>
    </w:p>
    <w:p>
      <w:pPr>
        <w:spacing w:before="80" w:after="80"/>
        <w:jc w:val="center"/>
      </w:pPr>
      <w:r>
        <w:rPr>
          <w:i/>
          <w:color w:val="536777"/>
          <w:sz w:val="17"/>
        </w:rPr>
        <w:t>Figure 5. Held-out contour errors and measured CPU latency.</w:t>
      </w:r>
    </w:p>
    <w:p>
      <w:r>
        <w:t>The U-Net substantially improves contour overlap in the validated regime. Batched neural inference measured 773 us per clip, while the already-lightweight reference simulator measured 644 us per clip. The neural model is therefore not faster in this implementation, and no acceleration claim is made. The value demonstrated is conditional contour learning, process-window fidelity, and explicit domain testing.</w:t>
      </w:r>
    </w:p>
    <w:p>
      <w:r>
        <w:br w:type="page"/>
      </w:r>
    </w:p>
    <w:p>
      <w:pPr>
        <w:pStyle w:val="Heading1"/>
      </w:pPr>
      <w:r>
        <w:t>OOD and uncertainty findings</w:t>
      </w:r>
    </w:p>
    <w:tbl>
      <w:tblPr>
        <w:tblStyle w:val="TableGrid"/>
        <w:tblW w:type="auto" w:w="0"/>
        <w:jc w:val="left"/>
        <w:tblLayout w:type="fixed"/>
        <w:tblLook w:firstColumn="1" w:firstRow="1" w:lastColumn="0" w:lastRow="0" w:noHBand="0" w:noVBand="1" w:val="04A0"/>
        <w:tblW w:type="dxa" w:w="9360"/>
        <w:tblInd w:type="dxa" w:w="120"/>
      </w:tblPr>
      <w:tblGrid>
        <w:gridCol w:w="3168"/>
        <w:gridCol w:w="1007"/>
        <w:gridCol w:w="1440"/>
        <w:gridCol w:w="1728"/>
        <w:gridCol w:w="2015"/>
      </w:tblGrid>
      <w:tr>
        <w:tc>
          <w:tcPr>
            <w:tcW w:type="dxa" w:w="1872"/>
            <w:shd w:fill="082B4C"/>
            <w:vAlign w:val="center"/>
            <w:tcW w:type="dxa" w:w="3168"/>
            <w:tcMar>
              <w:top w:w="80" w:type="dxa"/>
              <w:bottom w:w="80" w:type="dxa"/>
              <w:start w:w="120" w:type="dxa"/>
              <w:end w:w="120" w:type="dxa"/>
            </w:tcMar>
          </w:tcPr>
          <w:p>
            <w:r>
              <w:rPr>
                <w:b/>
                <w:color w:val="FFFFFF"/>
                <w:sz w:val="17"/>
              </w:rPr>
              <w:t>Evaluation regime</w:t>
            </w:r>
          </w:p>
        </w:tc>
        <w:tc>
          <w:tcPr>
            <w:tcW w:type="dxa" w:w="1872"/>
            <w:shd w:fill="082B4C"/>
            <w:vAlign w:val="center"/>
            <w:tcW w:type="dxa" w:w="1007"/>
            <w:tcMar>
              <w:top w:w="80" w:type="dxa"/>
              <w:bottom w:w="80" w:type="dxa"/>
              <w:start w:w="120" w:type="dxa"/>
              <w:end w:w="120" w:type="dxa"/>
            </w:tcMar>
          </w:tcPr>
          <w:p>
            <w:r>
              <w:rPr>
                <w:b/>
                <w:color w:val="FFFFFF"/>
                <w:sz w:val="17"/>
              </w:rPr>
              <w:t>Cases</w:t>
            </w:r>
          </w:p>
        </w:tc>
        <w:tc>
          <w:tcPr>
            <w:tcW w:type="dxa" w:w="1872"/>
            <w:shd w:fill="082B4C"/>
            <w:vAlign w:val="center"/>
            <w:tcW w:type="dxa" w:w="1440"/>
            <w:tcMar>
              <w:top w:w="80" w:type="dxa"/>
              <w:bottom w:w="80" w:type="dxa"/>
              <w:start w:w="120" w:type="dxa"/>
              <w:end w:w="120" w:type="dxa"/>
            </w:tcMar>
          </w:tcPr>
          <w:p>
            <w:r>
              <w:rPr>
                <w:b/>
                <w:color w:val="FFFFFF"/>
                <w:sz w:val="17"/>
              </w:rPr>
              <w:t>AI IoU</w:t>
            </w:r>
          </w:p>
        </w:tc>
        <w:tc>
          <w:tcPr>
            <w:tcW w:type="dxa" w:w="1872"/>
            <w:shd w:fill="082B4C"/>
            <w:vAlign w:val="center"/>
            <w:tcW w:type="dxa" w:w="1728"/>
            <w:tcMar>
              <w:top w:w="80" w:type="dxa"/>
              <w:bottom w:w="80" w:type="dxa"/>
              <w:start w:w="120" w:type="dxa"/>
              <w:end w:w="120" w:type="dxa"/>
            </w:tcMar>
          </w:tcPr>
          <w:p>
            <w:r>
              <w:rPr>
                <w:b/>
                <w:color w:val="FFFFFF"/>
                <w:sz w:val="17"/>
              </w:rPr>
              <w:t>Baseline IoU</w:t>
            </w:r>
          </w:p>
        </w:tc>
        <w:tc>
          <w:tcPr>
            <w:tcW w:type="dxa" w:w="1872"/>
            <w:shd w:fill="082B4C"/>
            <w:vAlign w:val="center"/>
            <w:tcW w:type="dxa" w:w="2015"/>
            <w:tcMar>
              <w:top w:w="80" w:type="dxa"/>
              <w:bottom w:w="80" w:type="dxa"/>
              <w:start w:w="120" w:type="dxa"/>
              <w:end w:w="120" w:type="dxa"/>
            </w:tcMar>
          </w:tcPr>
          <w:p>
            <w:r>
              <w:rPr>
                <w:b/>
                <w:color w:val="FFFFFF"/>
                <w:sz w:val="17"/>
              </w:rPr>
              <w:t>AI edge distance</w:t>
            </w:r>
          </w:p>
        </w:tc>
      </w:tr>
      <w:tr>
        <w:tc>
          <w:tcPr>
            <w:tcW w:type="dxa" w:w="1872"/>
            <w:vAlign w:val="center"/>
            <w:tcW w:type="dxa" w:w="3168"/>
            <w:tcMar>
              <w:top w:w="80" w:type="dxa"/>
              <w:bottom w:w="80" w:type="dxa"/>
              <w:start w:w="120" w:type="dxa"/>
              <w:end w:w="120" w:type="dxa"/>
            </w:tcMar>
          </w:tcPr>
          <w:p>
            <w:r>
              <w:rPr>
                <w:sz w:val="17"/>
              </w:rPr>
              <w:t>Held-out primary domain</w:t>
            </w:r>
          </w:p>
        </w:tc>
        <w:tc>
          <w:tcPr>
            <w:tcW w:type="dxa" w:w="1872"/>
            <w:vAlign w:val="center"/>
            <w:tcW w:type="dxa" w:w="1007"/>
            <w:tcMar>
              <w:top w:w="80" w:type="dxa"/>
              <w:bottom w:w="80" w:type="dxa"/>
              <w:start w:w="120" w:type="dxa"/>
              <w:end w:w="120" w:type="dxa"/>
            </w:tcMar>
          </w:tcPr>
          <w:p>
            <w:r>
              <w:rPr>
                <w:sz w:val="17"/>
              </w:rPr>
              <w:t>252</w:t>
            </w:r>
          </w:p>
        </w:tc>
        <w:tc>
          <w:tcPr>
            <w:tcW w:type="dxa" w:w="1872"/>
            <w:vAlign w:val="center"/>
            <w:tcW w:type="dxa" w:w="1440"/>
            <w:tcMar>
              <w:top w:w="80" w:type="dxa"/>
              <w:bottom w:w="80" w:type="dxa"/>
              <w:start w:w="120" w:type="dxa"/>
              <w:end w:w="120" w:type="dxa"/>
            </w:tcMar>
          </w:tcPr>
          <w:p>
            <w:r>
              <w:rPr>
                <w:sz w:val="17"/>
              </w:rPr>
              <w:t>0.902</w:t>
            </w:r>
          </w:p>
        </w:tc>
        <w:tc>
          <w:tcPr>
            <w:tcW w:type="dxa" w:w="1872"/>
            <w:vAlign w:val="center"/>
            <w:tcW w:type="dxa" w:w="1728"/>
            <w:tcMar>
              <w:top w:w="80" w:type="dxa"/>
              <w:bottom w:w="80" w:type="dxa"/>
              <w:start w:w="120" w:type="dxa"/>
              <w:end w:w="120" w:type="dxa"/>
            </w:tcMar>
          </w:tcPr>
          <w:p>
            <w:r>
              <w:rPr>
                <w:sz w:val="17"/>
              </w:rPr>
              <w:t>0.731</w:t>
            </w:r>
          </w:p>
        </w:tc>
        <w:tc>
          <w:tcPr>
            <w:tcW w:type="dxa" w:w="1872"/>
            <w:vAlign w:val="center"/>
            <w:tcW w:type="dxa" w:w="2015"/>
            <w:tcMar>
              <w:top w:w="80" w:type="dxa"/>
              <w:bottom w:w="80" w:type="dxa"/>
              <w:start w:w="120" w:type="dxa"/>
              <w:end w:w="120" w:type="dxa"/>
            </w:tcMar>
          </w:tcPr>
          <w:p>
            <w:r>
              <w:rPr>
                <w:sz w:val="17"/>
              </w:rPr>
              <w:t>1.66 px</w:t>
            </w:r>
          </w:p>
        </w:tc>
      </w:tr>
      <w:tr>
        <w:tc>
          <w:tcPr>
            <w:tcW w:type="dxa" w:w="1872"/>
            <w:vAlign w:val="center"/>
            <w:shd w:fill="F2F4F7"/>
            <w:tcW w:type="dxa" w:w="3168"/>
            <w:tcMar>
              <w:top w:w="80" w:type="dxa"/>
              <w:bottom w:w="80" w:type="dxa"/>
              <w:start w:w="120" w:type="dxa"/>
              <w:end w:w="120" w:type="dxa"/>
            </w:tcMar>
          </w:tcPr>
          <w:p>
            <w:r>
              <w:rPr>
                <w:sz w:val="17"/>
              </w:rPr>
              <w:t>Extreme process conditions</w:t>
            </w:r>
          </w:p>
        </w:tc>
        <w:tc>
          <w:tcPr>
            <w:tcW w:type="dxa" w:w="1872"/>
            <w:vAlign w:val="center"/>
            <w:shd w:fill="F2F4F7"/>
            <w:tcW w:type="dxa" w:w="1007"/>
            <w:tcMar>
              <w:top w:w="80" w:type="dxa"/>
              <w:bottom w:w="80" w:type="dxa"/>
              <w:start w:w="120" w:type="dxa"/>
              <w:end w:w="120" w:type="dxa"/>
            </w:tcMar>
          </w:tcPr>
          <w:p>
            <w:r>
              <w:rPr>
                <w:sz w:val="17"/>
              </w:rPr>
              <w:t>360</w:t>
            </w:r>
          </w:p>
        </w:tc>
        <w:tc>
          <w:tcPr>
            <w:tcW w:type="dxa" w:w="1872"/>
            <w:vAlign w:val="center"/>
            <w:shd w:fill="F2F4F7"/>
            <w:tcW w:type="dxa" w:w="1440"/>
            <w:tcMar>
              <w:top w:w="80" w:type="dxa"/>
              <w:bottom w:w="80" w:type="dxa"/>
              <w:start w:w="120" w:type="dxa"/>
              <w:end w:w="120" w:type="dxa"/>
            </w:tcMar>
          </w:tcPr>
          <w:p>
            <w:r>
              <w:rPr>
                <w:sz w:val="17"/>
              </w:rPr>
              <w:t>0.351</w:t>
            </w:r>
          </w:p>
        </w:tc>
        <w:tc>
          <w:tcPr>
            <w:tcW w:type="dxa" w:w="1872"/>
            <w:vAlign w:val="center"/>
            <w:shd w:fill="F2F4F7"/>
            <w:tcW w:type="dxa" w:w="1728"/>
            <w:tcMar>
              <w:top w:w="80" w:type="dxa"/>
              <w:bottom w:w="80" w:type="dxa"/>
              <w:start w:w="120" w:type="dxa"/>
              <w:end w:w="120" w:type="dxa"/>
            </w:tcMar>
          </w:tcPr>
          <w:p>
            <w:r>
              <w:rPr>
                <w:sz w:val="17"/>
              </w:rPr>
              <w:t>0.429</w:t>
            </w:r>
          </w:p>
        </w:tc>
        <w:tc>
          <w:tcPr>
            <w:tcW w:type="dxa" w:w="1872"/>
            <w:vAlign w:val="center"/>
            <w:shd w:fill="F2F4F7"/>
            <w:tcW w:type="dxa" w:w="2015"/>
            <w:tcMar>
              <w:top w:w="80" w:type="dxa"/>
              <w:bottom w:w="80" w:type="dxa"/>
              <w:start w:w="120" w:type="dxa"/>
              <w:end w:w="120" w:type="dxa"/>
            </w:tcMar>
          </w:tcPr>
          <w:p>
            <w:r>
              <w:rPr>
                <w:sz w:val="17"/>
              </w:rPr>
              <w:t>18.85 px</w:t>
            </w:r>
          </w:p>
        </w:tc>
      </w:tr>
      <w:tr>
        <w:tc>
          <w:tcPr>
            <w:tcW w:type="dxa" w:w="1872"/>
            <w:vAlign w:val="center"/>
            <w:tcW w:type="dxa" w:w="3168"/>
            <w:tcMar>
              <w:top w:w="80" w:type="dxa"/>
              <w:bottom w:w="80" w:type="dxa"/>
              <w:start w:w="120" w:type="dxa"/>
              <w:end w:w="120" w:type="dxa"/>
            </w:tcMar>
          </w:tcPr>
          <w:p>
            <w:r>
              <w:rPr>
                <w:sz w:val="17"/>
              </w:rPr>
              <w:t>Unseen contact family</w:t>
            </w:r>
          </w:p>
        </w:tc>
        <w:tc>
          <w:tcPr>
            <w:tcW w:type="dxa" w:w="1872"/>
            <w:vAlign w:val="center"/>
            <w:tcW w:type="dxa" w:w="1007"/>
            <w:tcMar>
              <w:top w:w="80" w:type="dxa"/>
              <w:bottom w:w="80" w:type="dxa"/>
              <w:start w:w="120" w:type="dxa"/>
              <w:end w:w="120" w:type="dxa"/>
            </w:tcMar>
          </w:tcPr>
          <w:p>
            <w:r>
              <w:rPr>
                <w:sz w:val="17"/>
              </w:rPr>
              <w:t>480</w:t>
            </w:r>
          </w:p>
        </w:tc>
        <w:tc>
          <w:tcPr>
            <w:tcW w:type="dxa" w:w="1872"/>
            <w:vAlign w:val="center"/>
            <w:tcW w:type="dxa" w:w="1440"/>
            <w:tcMar>
              <w:top w:w="80" w:type="dxa"/>
              <w:bottom w:w="80" w:type="dxa"/>
              <w:start w:w="120" w:type="dxa"/>
              <w:end w:w="120" w:type="dxa"/>
            </w:tcMar>
          </w:tcPr>
          <w:p>
            <w:r>
              <w:rPr>
                <w:sz w:val="17"/>
              </w:rPr>
              <w:t>0.373</w:t>
            </w:r>
          </w:p>
        </w:tc>
        <w:tc>
          <w:tcPr>
            <w:tcW w:type="dxa" w:w="1872"/>
            <w:vAlign w:val="center"/>
            <w:tcW w:type="dxa" w:w="1728"/>
            <w:tcMar>
              <w:top w:w="80" w:type="dxa"/>
              <w:bottom w:w="80" w:type="dxa"/>
              <w:start w:w="120" w:type="dxa"/>
              <w:end w:w="120" w:type="dxa"/>
            </w:tcMar>
          </w:tcPr>
          <w:p>
            <w:r>
              <w:rPr>
                <w:sz w:val="17"/>
              </w:rPr>
              <w:t>0.652</w:t>
            </w:r>
          </w:p>
        </w:tc>
        <w:tc>
          <w:tcPr>
            <w:tcW w:type="dxa" w:w="1872"/>
            <w:vAlign w:val="center"/>
            <w:tcW w:type="dxa" w:w="2015"/>
            <w:tcMar>
              <w:top w:w="80" w:type="dxa"/>
              <w:bottom w:w="80" w:type="dxa"/>
              <w:start w:w="120" w:type="dxa"/>
              <w:end w:w="120" w:type="dxa"/>
            </w:tcMar>
          </w:tcPr>
          <w:p>
            <w:r>
              <w:rPr>
                <w:sz w:val="17"/>
              </w:rPr>
              <w:t>5.91 px</w:t>
            </w:r>
          </w:p>
        </w:tc>
      </w:tr>
    </w:tbl>
    <w:p>
      <w:pPr>
        <w:spacing w:before="80" w:after="80"/>
      </w:pPr>
    </w:p>
    <w:p>
      <w:r>
        <w:t>Process-range OOD IoU falls to 0.351; unseen-contact IoU falls to 0.373. The Gaussian baseline is stronger than the U-Net on unseen contacts, showing that generic optical smoothing can generalize better than learned morphology in this regime. MC-dropout uncertainty correlates with error at 0.545 for unseen contacts but only -0.270 for process OOD, so it is not a reliable universal detector.</w:t>
      </w:r>
    </w:p>
    <w:tbl>
      <w:tblPr>
        <w:tblW w:type="auto" w:w="0"/>
        <w:tblLook w:firstColumn="1" w:firstRow="1" w:lastColumn="0" w:lastRow="0" w:noHBand="0" w:noVBand="1" w:val="04A0"/>
        <w:tblW w:type="dxa" w:w="9360"/>
        <w:tblInd w:type="dxa" w:w="120"/>
      </w:tblPr>
      <w:tblGrid>
        <w:gridCol w:w="9360"/>
      </w:tblGrid>
      <w:tr>
        <w:tc>
          <w:tcPr>
            <w:tcW w:type="dxa" w:w="9360"/>
            <w:shd w:fill="EAF4F4"/>
            <w:tcW w:type="dxa" w:w="9360"/>
            <w:tcMar>
              <w:top w:w="80" w:type="dxa"/>
              <w:bottom w:w="80" w:type="dxa"/>
              <w:start w:w="120" w:type="dxa"/>
              <w:end w:w="120" w:type="dxa"/>
            </w:tcMar>
          </w:tcPr>
          <w:p>
            <w:r>
              <w:rPr>
                <w:b/>
                <w:color w:val="008C95"/>
              </w:rPr>
              <w:t xml:space="preserve">Operational interpretation  </w:t>
            </w:r>
            <w:r>
              <w:t>Inputs outside the dose/focus range or from an unseen geometry family must be routed to the reference simulator. The Streamlit interface displays this warning directly.</w:t>
            </w:r>
          </w:p>
        </w:tc>
      </w:tr>
    </w:tbl>
    <w:p>
      <w:pPr>
        <w:spacing w:after="40"/>
      </w:pPr>
    </w:p>
    <w:p>
      <w:pPr>
        <w:pStyle w:val="Heading1"/>
      </w:pPr>
      <w:r>
        <w:t>Engineer-facing interpretation</w:t>
      </w:r>
    </w:p>
    <w:p>
      <w:r>
        <w:t>Contour overlays localize edge movement and missing or extra resist. Dose-focus maps show whether the learned response follows the reference process window. Signed error panels distinguish over-print from under-print. The held-out and OOD tables quantify applicability instead of relying on visually attractive examples alone.</w:t>
      </w:r>
    </w:p>
    <w:p>
      <w:r>
        <w:br w:type="page"/>
      </w:r>
    </w:p>
    <w:p>
      <w:pPr>
        <w:pStyle w:val="Heading1"/>
      </w:pPr>
      <w:r>
        <w:t>Limitations and validity threats</w:t>
      </w:r>
    </w:p>
    <w:tbl>
      <w:tblPr>
        <w:tblStyle w:val="TableGrid"/>
        <w:tblW w:type="auto" w:w="0"/>
        <w:jc w:val="left"/>
        <w:tblLayout w:type="fixed"/>
        <w:tblLook w:firstColumn="1" w:firstRow="1" w:lastColumn="0" w:lastRow="0" w:noHBand="0" w:noVBand="1" w:val="04A0"/>
        <w:tblW w:type="dxa" w:w="9360"/>
        <w:tblInd w:type="dxa" w:w="120"/>
      </w:tblPr>
      <w:tblGrid>
        <w:gridCol w:w="3024"/>
        <w:gridCol w:w="6336"/>
      </w:tblGrid>
      <w:tr>
        <w:tc>
          <w:tcPr>
            <w:tcW w:type="dxa" w:w="4680"/>
            <w:shd w:fill="082B4C"/>
            <w:vAlign w:val="center"/>
            <w:tcW w:type="dxa" w:w="3024"/>
            <w:tcMar>
              <w:top w:w="80" w:type="dxa"/>
              <w:bottom w:w="80" w:type="dxa"/>
              <w:start w:w="120" w:type="dxa"/>
              <w:end w:w="120" w:type="dxa"/>
            </w:tcMar>
          </w:tcPr>
          <w:p>
            <w:r>
              <w:rPr>
                <w:b/>
                <w:color w:val="FFFFFF"/>
                <w:sz w:val="17"/>
              </w:rPr>
              <w:t>Limitation</w:t>
            </w:r>
          </w:p>
        </w:tc>
        <w:tc>
          <w:tcPr>
            <w:tcW w:type="dxa" w:w="4680"/>
            <w:shd w:fill="082B4C"/>
            <w:vAlign w:val="center"/>
            <w:tcW w:type="dxa" w:w="6336"/>
            <w:tcMar>
              <w:top w:w="80" w:type="dxa"/>
              <w:bottom w:w="80" w:type="dxa"/>
              <w:start w:w="120" w:type="dxa"/>
              <w:end w:w="120" w:type="dxa"/>
            </w:tcMar>
          </w:tcPr>
          <w:p>
            <w:r>
              <w:rPr>
                <w:b/>
                <w:color w:val="FFFFFF"/>
                <w:sz w:val="17"/>
              </w:rPr>
              <w:t>Impact on interpretation</w:t>
            </w:r>
          </w:p>
        </w:tc>
      </w:tr>
      <w:tr>
        <w:tc>
          <w:tcPr>
            <w:tcW w:type="dxa" w:w="4680"/>
            <w:vAlign w:val="center"/>
            <w:tcW w:type="dxa" w:w="3024"/>
            <w:tcMar>
              <w:top w:w="80" w:type="dxa"/>
              <w:bottom w:w="80" w:type="dxa"/>
              <w:start w:w="120" w:type="dxa"/>
              <w:end w:w="120" w:type="dxa"/>
            </w:tcMar>
          </w:tcPr>
          <w:p>
            <w:r>
              <w:rPr>
                <w:sz w:val="17"/>
              </w:rPr>
              <w:t>Physics-generated evidence</w:t>
            </w:r>
          </w:p>
        </w:tc>
        <w:tc>
          <w:tcPr>
            <w:tcW w:type="dxa" w:w="4680"/>
            <w:vAlign w:val="center"/>
            <w:tcW w:type="dxa" w:w="6336"/>
            <w:tcMar>
              <w:top w:w="80" w:type="dxa"/>
              <w:bottom w:w="80" w:type="dxa"/>
              <w:start w:w="120" w:type="dxa"/>
              <w:end w:w="120" w:type="dxa"/>
            </w:tcMar>
          </w:tcPr>
          <w:p>
            <w:r>
              <w:rPr>
                <w:sz w:val="17"/>
              </w:rPr>
              <w:t>Validates surrogate methodology, not fab accuracy</w:t>
            </w:r>
          </w:p>
        </w:tc>
      </w:tr>
      <w:tr>
        <w:tc>
          <w:tcPr>
            <w:tcW w:type="dxa" w:w="4680"/>
            <w:vAlign w:val="center"/>
            <w:shd w:fill="F2F4F7"/>
            <w:tcW w:type="dxa" w:w="3024"/>
            <w:tcMar>
              <w:top w:w="80" w:type="dxa"/>
              <w:bottom w:w="80" w:type="dxa"/>
              <w:start w:w="120" w:type="dxa"/>
              <w:end w:w="120" w:type="dxa"/>
            </w:tcMar>
          </w:tcPr>
          <w:p>
            <w:r>
              <w:rPr>
                <w:sz w:val="17"/>
              </w:rPr>
              <w:t>Scalar nine-source optics</w:t>
            </w:r>
          </w:p>
        </w:tc>
        <w:tc>
          <w:tcPr>
            <w:tcW w:type="dxa" w:w="4680"/>
            <w:vAlign w:val="center"/>
            <w:shd w:fill="F2F4F7"/>
            <w:tcW w:type="dxa" w:w="6336"/>
            <w:tcMar>
              <w:top w:w="80" w:type="dxa"/>
              <w:bottom w:w="80" w:type="dxa"/>
              <w:start w:w="120" w:type="dxa"/>
              <w:end w:w="120" w:type="dxa"/>
            </w:tcMar>
          </w:tcPr>
          <w:p>
            <w:r>
              <w:rPr>
                <w:sz w:val="17"/>
              </w:rPr>
              <w:t>Omits vector polarization, calibrated aberrations, flare, and dense source integration</w:t>
            </w:r>
          </w:p>
        </w:tc>
      </w:tr>
      <w:tr>
        <w:tc>
          <w:tcPr>
            <w:tcW w:type="dxa" w:w="4680"/>
            <w:vAlign w:val="center"/>
            <w:tcW w:type="dxa" w:w="3024"/>
            <w:tcMar>
              <w:top w:w="80" w:type="dxa"/>
              <w:bottom w:w="80" w:type="dxa"/>
              <w:start w:w="120" w:type="dxa"/>
              <w:end w:w="120" w:type="dxa"/>
            </w:tcMar>
          </w:tcPr>
          <w:p>
            <w:r>
              <w:rPr>
                <w:sz w:val="17"/>
              </w:rPr>
              <w:t>Threshold resist</w:t>
            </w:r>
          </w:p>
        </w:tc>
        <w:tc>
          <w:tcPr>
            <w:tcW w:type="dxa" w:w="4680"/>
            <w:vAlign w:val="center"/>
            <w:tcW w:type="dxa" w:w="6336"/>
            <w:tcMar>
              <w:top w:w="80" w:type="dxa"/>
              <w:bottom w:w="80" w:type="dxa"/>
              <w:start w:w="120" w:type="dxa"/>
              <w:end w:w="120" w:type="dxa"/>
            </w:tcMar>
          </w:tcPr>
          <w:p>
            <w:r>
              <w:rPr>
                <w:sz w:val="17"/>
              </w:rPr>
              <w:t>Omits diffusion, chemical amplification, stochastic effects, and development kinetics</w:t>
            </w:r>
          </w:p>
        </w:tc>
      </w:tr>
      <w:tr>
        <w:tc>
          <w:tcPr>
            <w:tcW w:type="dxa" w:w="4680"/>
            <w:vAlign w:val="center"/>
            <w:shd w:fill="F2F4F7"/>
            <w:tcW w:type="dxa" w:w="3024"/>
            <w:tcMar>
              <w:top w:w="80" w:type="dxa"/>
              <w:bottom w:w="80" w:type="dxa"/>
              <w:start w:w="120" w:type="dxa"/>
              <w:end w:w="120" w:type="dxa"/>
            </w:tcMar>
          </w:tcPr>
          <w:p>
            <w:r>
              <w:rPr>
                <w:sz w:val="17"/>
              </w:rPr>
              <w:t>Procedural 48 x 48 masks</w:t>
            </w:r>
          </w:p>
        </w:tc>
        <w:tc>
          <w:tcPr>
            <w:tcW w:type="dxa" w:w="4680"/>
            <w:vAlign w:val="center"/>
            <w:shd w:fill="F2F4F7"/>
            <w:tcW w:type="dxa" w:w="6336"/>
            <w:tcMar>
              <w:top w:w="80" w:type="dxa"/>
              <w:bottom w:w="80" w:type="dxa"/>
              <w:start w:w="120" w:type="dxa"/>
              <w:end w:w="120" w:type="dxa"/>
            </w:tcMar>
          </w:tcPr>
          <w:p>
            <w:r>
              <w:rPr>
                <w:sz w:val="17"/>
              </w:rPr>
              <w:t>Underrepresent real GDS complexity and long-range context</w:t>
            </w:r>
          </w:p>
        </w:tc>
      </w:tr>
      <w:tr>
        <w:tc>
          <w:tcPr>
            <w:tcW w:type="dxa" w:w="4680"/>
            <w:vAlign w:val="center"/>
            <w:tcW w:type="dxa" w:w="3024"/>
            <w:tcMar>
              <w:top w:w="80" w:type="dxa"/>
              <w:bottom w:w="80" w:type="dxa"/>
              <w:start w:w="120" w:type="dxa"/>
              <w:end w:w="120" w:type="dxa"/>
            </w:tcMar>
          </w:tcPr>
          <w:p>
            <w:r>
              <w:rPr>
                <w:sz w:val="17"/>
              </w:rPr>
              <w:t>Pixel grid</w:t>
            </w:r>
          </w:p>
        </w:tc>
        <w:tc>
          <w:tcPr>
            <w:tcW w:type="dxa" w:w="4680"/>
            <w:vAlign w:val="center"/>
            <w:tcW w:type="dxa" w:w="6336"/>
            <w:tcMar>
              <w:top w:w="80" w:type="dxa"/>
              <w:bottom w:w="80" w:type="dxa"/>
              <w:start w:w="120" w:type="dxa"/>
              <w:end w:w="120" w:type="dxa"/>
            </w:tcMar>
          </w:tcPr>
          <w:p>
            <w:r>
              <w:rPr>
                <w:sz w:val="17"/>
              </w:rPr>
              <w:t>Limits subpixel critical-dimension and contour accuracy</w:t>
            </w:r>
          </w:p>
        </w:tc>
      </w:tr>
      <w:tr>
        <w:tc>
          <w:tcPr>
            <w:tcW w:type="dxa" w:w="4680"/>
            <w:vAlign w:val="center"/>
            <w:shd w:fill="F2F4F7"/>
            <w:tcW w:type="dxa" w:w="3024"/>
            <w:tcMar>
              <w:top w:w="80" w:type="dxa"/>
              <w:bottom w:w="80" w:type="dxa"/>
              <w:start w:w="120" w:type="dxa"/>
              <w:end w:w="120" w:type="dxa"/>
            </w:tcMar>
          </w:tcPr>
          <w:p>
            <w:r>
              <w:rPr>
                <w:sz w:val="17"/>
              </w:rPr>
              <w:t>MC-dropout uncertainty</w:t>
            </w:r>
          </w:p>
        </w:tc>
        <w:tc>
          <w:tcPr>
            <w:tcW w:type="dxa" w:w="4680"/>
            <w:vAlign w:val="center"/>
            <w:shd w:fill="F2F4F7"/>
            <w:tcW w:type="dxa" w:w="6336"/>
            <w:tcMar>
              <w:top w:w="80" w:type="dxa"/>
              <w:bottom w:w="80" w:type="dxa"/>
              <w:start w:w="120" w:type="dxa"/>
              <w:end w:w="120" w:type="dxa"/>
            </w:tcMar>
          </w:tcPr>
          <w:p>
            <w:r>
              <w:rPr>
                <w:sz w:val="17"/>
              </w:rPr>
              <w:t>Does not reliably detect every process-range shift</w:t>
            </w:r>
          </w:p>
        </w:tc>
      </w:tr>
      <w:tr>
        <w:tc>
          <w:tcPr>
            <w:tcW w:type="dxa" w:w="4680"/>
            <w:vAlign w:val="center"/>
            <w:tcW w:type="dxa" w:w="3024"/>
            <w:tcMar>
              <w:top w:w="80" w:type="dxa"/>
              <w:bottom w:w="80" w:type="dxa"/>
              <w:start w:w="120" w:type="dxa"/>
              <w:end w:w="120" w:type="dxa"/>
            </w:tcMar>
          </w:tcPr>
          <w:p>
            <w:r>
              <w:rPr>
                <w:sz w:val="17"/>
              </w:rPr>
              <w:t>CPU implementation</w:t>
            </w:r>
          </w:p>
        </w:tc>
        <w:tc>
          <w:tcPr>
            <w:tcW w:type="dxa" w:w="4680"/>
            <w:vAlign w:val="center"/>
            <w:tcW w:type="dxa" w:w="6336"/>
            <w:tcMar>
              <w:top w:w="80" w:type="dxa"/>
              <w:bottom w:w="80" w:type="dxa"/>
              <w:start w:w="120" w:type="dxa"/>
              <w:end w:w="120" w:type="dxa"/>
            </w:tcMar>
          </w:tcPr>
          <w:p>
            <w:r>
              <w:rPr>
                <w:sz w:val="17"/>
              </w:rPr>
              <w:t>Reference simulator is faster than this neural model</w:t>
            </w:r>
          </w:p>
        </w:tc>
      </w:tr>
      <w:tr>
        <w:tc>
          <w:tcPr>
            <w:tcW w:type="dxa" w:w="4680"/>
            <w:vAlign w:val="center"/>
            <w:shd w:fill="F2F4F7"/>
            <w:tcW w:type="dxa" w:w="3024"/>
            <w:tcMar>
              <w:top w:w="80" w:type="dxa"/>
              <w:bottom w:w="80" w:type="dxa"/>
              <w:start w:w="120" w:type="dxa"/>
              <w:end w:w="120" w:type="dxa"/>
            </w:tcMar>
          </w:tcPr>
          <w:p>
            <w:r>
              <w:rPr>
                <w:sz w:val="17"/>
              </w:rPr>
              <w:t>Single seed/checkpoint</w:t>
            </w:r>
          </w:p>
        </w:tc>
        <w:tc>
          <w:tcPr>
            <w:tcW w:type="dxa" w:w="4680"/>
            <w:vAlign w:val="center"/>
            <w:shd w:fill="F2F4F7"/>
            <w:tcW w:type="dxa" w:w="6336"/>
            <w:tcMar>
              <w:top w:w="80" w:type="dxa"/>
              <w:bottom w:w="80" w:type="dxa"/>
              <w:start w:w="120" w:type="dxa"/>
              <w:end w:w="120" w:type="dxa"/>
            </w:tcMar>
          </w:tcPr>
          <w:p>
            <w:r>
              <w:rPr>
                <w:sz w:val="17"/>
              </w:rPr>
              <w:t>No multi-seed confidence interval is claimed</w:t>
            </w:r>
          </w:p>
        </w:tc>
      </w:tr>
    </w:tbl>
    <w:p>
      <w:pPr>
        <w:spacing w:before="80" w:after="80"/>
      </w:pPr>
    </w:p>
    <w:p>
      <w:pPr>
        <w:pStyle w:val="Heading1"/>
      </w:pPr>
      <w:r>
        <w:t>Conclusion</w:t>
      </w:r>
    </w:p>
    <w:p>
      <w:r>
        <w:t>LithoTwin demonstrates a complete and candid AI-for-computational-lithography prototype. On geometry-grouped held-out data, the conditional U-Net reaches IoU 0.902 and Dice 0.928, materially outperforming the Gaussian baseline. Its process-window visualization and contour overlays are technically interpretable. The severe OOD degradation, incomplete uncertainty detection, and lack of CPU speedup are reported as findings rather than hidden.</w:t>
      </w:r>
    </w:p>
    <w:p>
      <w:r>
        <w:t>The resulting portfolio evidence spans optical simulation, structured semiconductor geometry generation, leakage-safe spatial learning, contour metrics, probability calibration, OOD analysis, interactive engineering visualization, testing, and reproducible reporting. Commercial or fab use would require calibrated optics, realistic resist physics, real layout clips, multi-seed validation, and measured wafer data; none is claimed here.</w:t>
      </w:r>
    </w:p>
    <w:p>
      <w:r>
        <w:br w:type="page"/>
      </w:r>
    </w:p>
    <w:p>
      <w:pPr>
        <w:pStyle w:val="Heading1"/>
      </w:pPr>
      <w:r>
        <w:t>References and model provenance</w:t>
      </w:r>
    </w:p>
    <w:tbl>
      <w:tblPr>
        <w:tblStyle w:val="TableGrid"/>
        <w:tblW w:type="auto" w:w="0"/>
        <w:jc w:val="left"/>
        <w:tblLayout w:type="fixed"/>
        <w:tblLook w:firstColumn="1" w:firstRow="1" w:lastColumn="0" w:lastRow="0" w:noHBand="0" w:noVBand="1" w:val="04A0"/>
        <w:tblW w:type="dxa" w:w="9360"/>
        <w:tblInd w:type="dxa" w:w="120"/>
      </w:tblPr>
      <w:tblGrid>
        <w:gridCol w:w="6336"/>
        <w:gridCol w:w="3024"/>
      </w:tblGrid>
      <w:tr>
        <w:tc>
          <w:tcPr>
            <w:tcW w:type="dxa" w:w="4680"/>
            <w:shd w:fill="082B4C"/>
            <w:vAlign w:val="center"/>
            <w:tcW w:type="dxa" w:w="6336"/>
            <w:tcMar>
              <w:top w:w="80" w:type="dxa"/>
              <w:bottom w:w="80" w:type="dxa"/>
              <w:start w:w="120" w:type="dxa"/>
              <w:end w:w="120" w:type="dxa"/>
            </w:tcMar>
          </w:tcPr>
          <w:p>
            <w:r>
              <w:rPr>
                <w:b/>
                <w:color w:val="FFFFFF"/>
                <w:sz w:val="17"/>
              </w:rPr>
              <w:t>Reference</w:t>
            </w:r>
          </w:p>
        </w:tc>
        <w:tc>
          <w:tcPr>
            <w:tcW w:type="dxa" w:w="4680"/>
            <w:shd w:fill="082B4C"/>
            <w:vAlign w:val="center"/>
            <w:tcW w:type="dxa" w:w="3024"/>
            <w:tcMar>
              <w:top w:w="80" w:type="dxa"/>
              <w:bottom w:w="80" w:type="dxa"/>
              <w:start w:w="120" w:type="dxa"/>
              <w:end w:w="120" w:type="dxa"/>
            </w:tcMar>
          </w:tcPr>
          <w:p>
            <w:r>
              <w:rPr>
                <w:b/>
                <w:color w:val="FFFFFF"/>
                <w:sz w:val="17"/>
              </w:rPr>
              <w:t>Use</w:t>
            </w:r>
          </w:p>
        </w:tc>
      </w:tr>
      <w:tr>
        <w:tc>
          <w:tcPr>
            <w:tcW w:type="dxa" w:w="4680"/>
            <w:vAlign w:val="center"/>
            <w:tcW w:type="dxa" w:w="6336"/>
            <w:tcMar>
              <w:top w:w="80" w:type="dxa"/>
              <w:bottom w:w="80" w:type="dxa"/>
              <w:start w:w="120" w:type="dxa"/>
              <w:end w:w="120" w:type="dxa"/>
            </w:tcMar>
          </w:tcPr>
          <w:p>
            <w:r>
              <w:rPr>
                <w:sz w:val="17"/>
              </w:rPr>
              <w:t>J. W. Goodman, Introduction to Fourier Optics, 3rd ed.</w:t>
            </w:r>
          </w:p>
        </w:tc>
        <w:tc>
          <w:tcPr>
            <w:tcW w:type="dxa" w:w="4680"/>
            <w:vAlign w:val="center"/>
            <w:tcW w:type="dxa" w:w="3024"/>
            <w:tcMar>
              <w:top w:w="80" w:type="dxa"/>
              <w:bottom w:w="80" w:type="dxa"/>
              <w:start w:w="120" w:type="dxa"/>
              <w:end w:w="120" w:type="dxa"/>
            </w:tcMar>
          </w:tcPr>
          <w:p>
            <w:r>
              <w:rPr>
                <w:sz w:val="17"/>
              </w:rPr>
              <w:t>Scalar Fourier imaging foundations</w:t>
            </w:r>
          </w:p>
        </w:tc>
      </w:tr>
      <w:tr>
        <w:tc>
          <w:tcPr>
            <w:tcW w:type="dxa" w:w="4680"/>
            <w:vAlign w:val="center"/>
            <w:shd w:fill="F2F4F7"/>
            <w:tcW w:type="dxa" w:w="6336"/>
            <w:tcMar>
              <w:top w:w="80" w:type="dxa"/>
              <w:bottom w:w="80" w:type="dxa"/>
              <w:start w:w="120" w:type="dxa"/>
              <w:end w:w="120" w:type="dxa"/>
            </w:tcMar>
          </w:tcPr>
          <w:p>
            <w:r>
              <w:rPr>
                <w:sz w:val="17"/>
              </w:rPr>
              <w:t>A. K. Wong, Resolution Enhancement Techniques in Optical Lithography</w:t>
            </w:r>
          </w:p>
        </w:tc>
        <w:tc>
          <w:tcPr>
            <w:tcW w:type="dxa" w:w="4680"/>
            <w:vAlign w:val="center"/>
            <w:shd w:fill="F2F4F7"/>
            <w:tcW w:type="dxa" w:w="3024"/>
            <w:tcMar>
              <w:top w:w="80" w:type="dxa"/>
              <w:bottom w:w="80" w:type="dxa"/>
              <w:start w:w="120" w:type="dxa"/>
              <w:end w:w="120" w:type="dxa"/>
            </w:tcMar>
          </w:tcPr>
          <w:p>
            <w:r>
              <w:rPr>
                <w:sz w:val="17"/>
              </w:rPr>
              <w:t>Lithography process-window and imaging context</w:t>
            </w:r>
          </w:p>
        </w:tc>
      </w:tr>
      <w:tr>
        <w:tc>
          <w:tcPr>
            <w:tcW w:type="dxa" w:w="4680"/>
            <w:vAlign w:val="center"/>
            <w:tcW w:type="dxa" w:w="6336"/>
            <w:tcMar>
              <w:top w:w="80" w:type="dxa"/>
              <w:bottom w:w="80" w:type="dxa"/>
              <w:start w:w="120" w:type="dxa"/>
              <w:end w:w="120" w:type="dxa"/>
            </w:tcMar>
          </w:tcPr>
          <w:p>
            <w:r>
              <w:rPr>
                <w:sz w:val="17"/>
              </w:rPr>
              <w:t>C. A. Mack, Fundamental Principles of Optical Lithography</w:t>
            </w:r>
          </w:p>
        </w:tc>
        <w:tc>
          <w:tcPr>
            <w:tcW w:type="dxa" w:w="4680"/>
            <w:vAlign w:val="center"/>
            <w:tcW w:type="dxa" w:w="3024"/>
            <w:tcMar>
              <w:top w:w="80" w:type="dxa"/>
              <w:bottom w:w="80" w:type="dxa"/>
              <w:start w:w="120" w:type="dxa"/>
              <w:end w:w="120" w:type="dxa"/>
            </w:tcMar>
          </w:tcPr>
          <w:p>
            <w:r>
              <w:rPr>
                <w:sz w:val="17"/>
              </w:rPr>
              <w:t>Optical and resist modeling context</w:t>
            </w:r>
          </w:p>
        </w:tc>
      </w:tr>
      <w:tr>
        <w:tc>
          <w:tcPr>
            <w:tcW w:type="dxa" w:w="4680"/>
            <w:vAlign w:val="center"/>
            <w:shd w:fill="F2F4F7"/>
            <w:tcW w:type="dxa" w:w="6336"/>
            <w:tcMar>
              <w:top w:w="80" w:type="dxa"/>
              <w:bottom w:w="80" w:type="dxa"/>
              <w:start w:w="120" w:type="dxa"/>
              <w:end w:w="120" w:type="dxa"/>
            </w:tcMar>
          </w:tcPr>
          <w:p>
            <w:r>
              <w:rPr>
                <w:sz w:val="17"/>
              </w:rPr>
              <w:t>Repository source files</w:t>
            </w:r>
          </w:p>
        </w:tc>
        <w:tc>
          <w:tcPr>
            <w:tcW w:type="dxa" w:w="4680"/>
            <w:vAlign w:val="center"/>
            <w:shd w:fill="F2F4F7"/>
            <w:tcW w:type="dxa" w:w="3024"/>
            <w:tcMar>
              <w:top w:w="80" w:type="dxa"/>
              <w:bottom w:w="80" w:type="dxa"/>
              <w:start w:w="120" w:type="dxa"/>
              <w:end w:w="120" w:type="dxa"/>
            </w:tcMar>
          </w:tcPr>
          <w:p>
            <w:r>
              <w:rPr>
                <w:sz w:val="17"/>
              </w:rPr>
              <w:t>Exact simulator equations, seed, data splits, checkpoint, and metrics</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777"/>
        <w:sz w:val="16"/>
      </w:rPr>
      <w:t xml:space="preserve">Harsh Saand  |  Physics-generated prototype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8C95"/>
        <w:sz w:val="16"/>
      </w:rPr>
      <w:t>LITHOTWIN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82B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40" w:lineRule="auto"/>
    </w:pPr>
    <w:rPr>
      <w:rFonts w:asciiTheme="majorHAnsi" w:eastAsiaTheme="majorEastAsia" w:hAnsiTheme="majorHAnsi" w:cstheme="majorBidi" w:ascii="Calibri" w:hAnsi="Calibri"/>
      <w:b w:val="0"/>
      <w:i/>
      <w:iCs/>
      <w:color w:val="5367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