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8C95"/>
        </w:rPr>
        <w:t>A*STAR IME PORTFOLIO PROTOTYPE</w:t>
      </w:r>
    </w:p>
    <w:p>
      <w:pPr>
        <w:pStyle w:val="Title"/>
      </w:pPr>
      <w:r>
        <w:t>ProcessTwin</w:t>
      </w:r>
    </w:p>
    <w:p>
      <w:pPr>
        <w:pStyle w:val="Subtitle"/>
      </w:pPr>
      <w:r>
        <w:t>Physics-grounded AI surrogates for silicon thermal oxidation, dopant diffusion, and inverse recipe design</w:t>
      </w:r>
    </w:p>
    <w:p>
      <w:pPr>
        <w:pStyle w:val="Heading2"/>
      </w:pPr>
      <w:r>
        <w:t>HARSH SAAND</w:t>
      </w:r>
    </w:p>
    <w:p>
      <w:r>
        <w:t>Technical report  |  30 July 2026  |  Locally measured on Apple M3 Pro CPU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26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6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777"/>
          <w:sz w:val="16"/>
        </w:rPr>
        <w:t>Implemented physics-to-AI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4"/>
          </w:tcPr>
          <w:p>
            <w:r>
              <w:rPr>
                <w:b/>
                <w:color w:val="008C95"/>
              </w:rPr>
              <w:t xml:space="preserve">Evidence boundary  </w:t>
            </w:r>
            <w:r>
              <w:t>All quantitative evidence measures surrogate fidelity to the declared reduced-order simulator. This is not commercial TCAD, fab calibration, or production process prediction.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Executive summary</w:t>
      </w:r>
    </w:p>
    <w:p>
      <w:r>
        <w:t>ProcessTwin implements a complete AI-for-process-modeling workflow: transparent silicon oxidation and dopant-diffusion physics, a 6,000-recipe design of experiments, blocked recipe-region evaluation, an interpretable polynomial/PCA baseline, a three-member neural/PCA surrogate, uncertainty analysis, full-profile reconstruction, and simulator-verified inverse recipe design. On 477 held-out temperature-bin recipes, the neural surrogate achieved oxide-thickness MAE 8.21 nm, junction-depth MAE 0.0035 µm, and log-profile RMSE 0.138 decades.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4"/>
          </w:tcPr>
          <w:p>
            <w:r>
              <w:rPr>
                <w:b/>
                <w:color w:val="008C95"/>
              </w:rPr>
              <w:t xml:space="preserve">Measured contribution  </w:t>
            </w:r>
            <w:r>
              <w:t>Compared with the baseline, the neural surrogate reduced held-out oxide MAE from 19.11 to 8.21 nm, junction MAE from 0.0093 to 0.0035 µm, and profile error from 0.706 to 0.138 decades.</w:t>
            </w:r>
          </w:p>
        </w:tc>
      </w:tr>
    </w:tbl>
    <w:p>
      <w:pPr>
        <w:spacing w:after="20"/>
      </w:pPr>
    </w:p>
    <w:p>
      <w:pPr>
        <w:pStyle w:val="Heading1"/>
      </w:pPr>
      <w:r>
        <w:t>Semiconductor process problem</w:t>
      </w:r>
    </w:p>
    <w:p>
      <w:r>
        <w:t>Thermal oxidation controls gate and isolation dielectric thickness, while implant and anneal conditions control dopant-profile shape and junction depth. Process exploration repeatedly evaluates temperature, time, ambient, species, dose, projected range, straggle, and substrate background. A learned surrogate can screen this multidimensional space quickly, but only when its physical assumptions, interpolation domain, and error are explicit.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4760" cy="39297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92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777"/>
          <w:sz w:val="16"/>
        </w:rPr>
        <w:t>Figure 1. Implemented ProcessTwin system flow.</w:t>
      </w:r>
    </w:p>
    <w:p>
      <w:r>
        <w:br w:type="page"/>
      </w:r>
    </w:p>
    <w:p>
      <w:pPr>
        <w:pStyle w:val="Heading1"/>
      </w:pPr>
      <w:r>
        <w:t>Reduced-order process physics</w:t>
      </w:r>
    </w:p>
    <w:p>
      <w:pPr>
        <w:pStyle w:val="Heading2"/>
      </w:pPr>
      <w:r>
        <w:t>Deal-Grove oxidation</w:t>
      </w:r>
    </w:p>
    <w:p>
      <w:r>
        <w:t>Oxide thickness x follows x² + Ax = B(t + τ). The implementation exposes dry/wet reference coefficients and applies Arrhenius temperature scaling to B and B/A. Initial oxide is included through the time-shift equivalent. The resulting response is monotonic in time and strongly dependent on temperature and ambient.</w:t>
      </w:r>
    </w:p>
    <w:p>
      <w:pPr>
        <w:pStyle w:val="Heading2"/>
      </w:pPr>
      <w:r>
        <w:t>Dopant diffusion</w:t>
      </w:r>
    </w:p>
    <w:p>
      <w:r>
        <w:t>A Gaussian implant profile is parameterized by dose, projected range, and straggle. Constant intrinsic diffusivity follows D = D₀ exp(-Ea/kT) for boron or phosphorus. Annealing broadens the variance by 2Dt while conserving integrated dose in the infinite-domain analytical solution. Junction depth is the deepest interpolated crossing of the declared background concentration.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728"/>
            <w:shd w:fill="082B4C"/>
          </w:tcPr>
          <w:p>
            <w:r>
              <w:rPr>
                <w:b/>
                <w:color w:val="FFFFFF"/>
                <w:sz w:val="17"/>
              </w:rPr>
              <w:t>Physics block</w:t>
            </w:r>
          </w:p>
        </w:tc>
        <w:tc>
          <w:tcPr>
            <w:tcW w:type="dxa" w:w="2448"/>
            <w:shd w:fill="082B4C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448"/>
            <w:shd w:fill="082B4C"/>
          </w:tcPr>
          <w:p>
            <w:r>
              <w:rPr>
                <w:b/>
                <w:color w:val="FFFFFF"/>
                <w:sz w:val="17"/>
              </w:rPr>
              <w:t>Outputs</w:t>
            </w:r>
          </w:p>
        </w:tc>
        <w:tc>
          <w:tcPr>
            <w:tcW w:type="dxa" w:w="2880"/>
            <w:shd w:fill="082B4C"/>
          </w:tcPr>
          <w:p>
            <w:r>
              <w:rPr>
                <w:b/>
                <w:color w:val="FFFFFF"/>
                <w:sz w:val="17"/>
              </w:rPr>
              <w:t>Explicit omissions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Oxidation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Ambient, T, time, initial oxide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Oxide thickness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Orientation, stress, dopant effects, equipment calibration</w:t>
            </w:r>
          </w:p>
        </w:tc>
      </w:tr>
      <w:tr>
        <w:tc>
          <w:tcPr>
            <w:tcW w:type="dxa" w:w="1728"/>
            <w:vAlign w:val="center"/>
            <w:shd w:fill="F3F7F9"/>
          </w:tcPr>
          <w:p>
            <w:r>
              <w:rPr>
                <w:sz w:val="16"/>
              </w:rPr>
              <w:t>Implant profile</w:t>
            </w:r>
          </w:p>
        </w:tc>
        <w:tc>
          <w:tcPr>
            <w:tcW w:type="dxa" w:w="2448"/>
            <w:vAlign w:val="center"/>
            <w:shd w:fill="F3F7F9"/>
          </w:tcPr>
          <w:p>
            <w:r>
              <w:rPr>
                <w:sz w:val="16"/>
              </w:rPr>
              <w:t>Species, dose, Rp, straggle</w:t>
            </w:r>
          </w:p>
        </w:tc>
        <w:tc>
          <w:tcPr>
            <w:tcW w:type="dxa" w:w="2448"/>
            <w:vAlign w:val="center"/>
            <w:shd w:fill="F3F7F9"/>
          </w:tcPr>
          <w:p>
            <w:r>
              <w:rPr>
                <w:sz w:val="16"/>
              </w:rPr>
              <w:t>Initial concentration vs depth</w:t>
            </w:r>
          </w:p>
        </w:tc>
        <w:tc>
          <w:tcPr>
            <w:tcW w:type="dxa" w:w="2880"/>
            <w:vAlign w:val="center"/>
            <w:shd w:fill="F3F7F9"/>
          </w:tcPr>
          <w:p>
            <w:r>
              <w:rPr>
                <w:sz w:val="16"/>
              </w:rPr>
              <w:t>Channeling, damage, Pearson-IV tails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Anneal diffusion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T, time, background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Final profile, peak, junction, retained dose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TED, clustering, activation, segregation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2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xidation_su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777"/>
          <w:sz w:val="16"/>
        </w:rPr>
        <w:t>Figure 2. Wet-oxidation response surface; the dashed line marks the primary temperature-domain boundary.</w:t>
      </w:r>
    </w:p>
    <w:p>
      <w:r>
        <w:br w:type="page"/>
      </w:r>
    </w:p>
    <w:p>
      <w:pPr>
        <w:pStyle w:val="Heading1"/>
      </w:pPr>
      <w:r>
        <w:t>Simulation dataset and evaluation design</w:t>
      </w:r>
    </w:p>
    <w:p>
      <w:r>
        <w:t>A deterministic seed-42 DOE generated 6,000 recipes and 121-point depth profiles from 0 to 1.2 µm. The primary domain contains oxidation temperatures of 850–1050 °C and anneal temperatures of 800–1050 °C. Entire 25 °C anneal-temperature bins were assigned to validation or test, preventing neighbouring temperature recipes from being randomly scattered across partitions. A separate 960-recipe OOD set uses anneal temperatures of 1055–1150 °C and includes oxidation temperatures up to 1150 °C.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880"/>
            <w:shd w:fill="082B4C"/>
          </w:tcPr>
          <w:p>
            <w:r>
              <w:rPr>
                <w:b/>
                <w:color w:val="FFFFFF"/>
                <w:sz w:val="17"/>
              </w:rPr>
              <w:t>Partition</w:t>
            </w:r>
          </w:p>
        </w:tc>
        <w:tc>
          <w:tcPr>
            <w:tcW w:type="dxa" w:w="1584"/>
            <w:shd w:fill="082B4C"/>
          </w:tcPr>
          <w:p>
            <w:r>
              <w:rPr>
                <w:b/>
                <w:color w:val="FFFFFF"/>
                <w:sz w:val="17"/>
              </w:rPr>
              <w:t>Recipes</w:t>
            </w:r>
          </w:p>
        </w:tc>
        <w:tc>
          <w:tcPr>
            <w:tcW w:type="dxa" w:w="4896"/>
            <w:shd w:fill="082B4C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Train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4,105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Model fitting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1584"/>
            <w:vAlign w:val="center"/>
            <w:shd w:fill="F3F7F9"/>
          </w:tcPr>
          <w:p>
            <w:r>
              <w:rPr>
                <w:sz w:val="16"/>
              </w:rPr>
              <w:t>458</w:t>
            </w:r>
          </w:p>
        </w:tc>
        <w:tc>
          <w:tcPr>
            <w:tcW w:type="dxa" w:w="4896"/>
            <w:vAlign w:val="center"/>
            <w:shd w:fill="F3F7F9"/>
          </w:tcPr>
          <w:p>
            <w:r>
              <w:rPr>
                <w:sz w:val="16"/>
              </w:rPr>
              <w:t>Internal early stopping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Held-out test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477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Blocked-bin interpolation evidence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r>
              <w:rPr>
                <w:sz w:val="16"/>
              </w:rPr>
              <w:t>High-temperature OOD</w:t>
            </w:r>
          </w:p>
        </w:tc>
        <w:tc>
          <w:tcPr>
            <w:tcW w:type="dxa" w:w="1584"/>
            <w:vAlign w:val="center"/>
            <w:shd w:fill="F3F7F9"/>
          </w:tcPr>
          <w:p>
            <w:r>
              <w:rPr>
                <w:sz w:val="16"/>
              </w:rPr>
              <w:t>960</w:t>
            </w:r>
          </w:p>
        </w:tc>
        <w:tc>
          <w:tcPr>
            <w:tcW w:type="dxa" w:w="4896"/>
            <w:vAlign w:val="center"/>
            <w:shd w:fill="F3F7F9"/>
          </w:tcPr>
          <w:p>
            <w:r>
              <w:rPr>
                <w:sz w:val="16"/>
              </w:rPr>
              <w:t>Extrapolation stress test</w:t>
            </w:r>
          </w:p>
        </w:tc>
      </w:tr>
    </w:tbl>
    <w:p>
      <w:pPr>
        <w:spacing w:after="20"/>
      </w:pPr>
    </w:p>
    <w:p>
      <w:pPr>
        <w:pStyle w:val="Heading2"/>
      </w:pPr>
      <w:r>
        <w:t>Recipe ranges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6"/>
            <w:shd w:fill="082B4C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5904"/>
            <w:shd w:fill="082B4C"/>
          </w:tcPr>
          <w:p>
            <w:r>
              <w:rPr>
                <w:b/>
                <w:color w:val="FFFFFF"/>
                <w:sz w:val="17"/>
              </w:rPr>
              <w:t>Range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Oxidation temperature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850–1050 °C primary; up to 1150 °C OOD</w:t>
            </w:r>
          </w:p>
        </w:tc>
      </w:tr>
      <w:tr>
        <w:tc>
          <w:tcPr>
            <w:tcW w:type="dxa" w:w="3456"/>
            <w:vAlign w:val="center"/>
            <w:shd w:fill="F3F7F9"/>
          </w:tcPr>
          <w:p>
            <w:r>
              <w:rPr>
                <w:sz w:val="16"/>
              </w:rPr>
              <w:t>Oxidation time</w:t>
            </w:r>
          </w:p>
        </w:tc>
        <w:tc>
          <w:tcPr>
            <w:tcW w:type="dxa" w:w="5904"/>
            <w:vAlign w:val="center"/>
            <w:shd w:fill="F3F7F9"/>
          </w:tcPr>
          <w:p>
            <w:r>
              <w:rPr>
                <w:sz w:val="16"/>
              </w:rPr>
              <w:t>5–180 min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Ambient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dry / wet</w:t>
            </w:r>
          </w:p>
        </w:tc>
      </w:tr>
      <w:tr>
        <w:tc>
          <w:tcPr>
            <w:tcW w:type="dxa" w:w="3456"/>
            <w:vAlign w:val="center"/>
            <w:shd w:fill="F3F7F9"/>
          </w:tcPr>
          <w:p>
            <w:r>
              <w:rPr>
                <w:sz w:val="16"/>
              </w:rPr>
              <w:t>Anneal temperature</w:t>
            </w:r>
          </w:p>
        </w:tc>
        <w:tc>
          <w:tcPr>
            <w:tcW w:type="dxa" w:w="5904"/>
            <w:vAlign w:val="center"/>
            <w:shd w:fill="F3F7F9"/>
          </w:tcPr>
          <w:p>
            <w:r>
              <w:rPr>
                <w:sz w:val="16"/>
              </w:rPr>
              <w:t>800–1050 °C primary; 1055–1150 °C OOD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Anneal time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5–1000 s, log-uniform</w:t>
            </w:r>
          </w:p>
        </w:tc>
      </w:tr>
      <w:tr>
        <w:tc>
          <w:tcPr>
            <w:tcW w:type="dxa" w:w="3456"/>
            <w:vAlign w:val="center"/>
            <w:shd w:fill="F3F7F9"/>
          </w:tcPr>
          <w:p>
            <w:r>
              <w:rPr>
                <w:sz w:val="16"/>
              </w:rPr>
              <w:t>Species</w:t>
            </w:r>
          </w:p>
        </w:tc>
        <w:tc>
          <w:tcPr>
            <w:tcW w:type="dxa" w:w="5904"/>
            <w:vAlign w:val="center"/>
            <w:shd w:fill="F3F7F9"/>
          </w:tcPr>
          <w:p>
            <w:r>
              <w:rPr>
                <w:sz w:val="16"/>
              </w:rPr>
              <w:t>B / P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Dose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10^12.5–10^15.5 cm^-2</w:t>
            </w:r>
          </w:p>
        </w:tc>
      </w:tr>
      <w:tr>
        <w:tc>
          <w:tcPr>
            <w:tcW w:type="dxa" w:w="3456"/>
            <w:vAlign w:val="center"/>
            <w:shd w:fill="F3F7F9"/>
          </w:tcPr>
          <w:p>
            <w:r>
              <w:rPr>
                <w:sz w:val="16"/>
              </w:rPr>
              <w:t>Projected range / straggle</w:t>
            </w:r>
          </w:p>
        </w:tc>
        <w:tc>
          <w:tcPr>
            <w:tcW w:type="dxa" w:w="5904"/>
            <w:vAlign w:val="center"/>
            <w:shd w:fill="F3F7F9"/>
          </w:tcPr>
          <w:p>
            <w:r>
              <w:rPr>
                <w:sz w:val="16"/>
              </w:rPr>
              <w:t>0.03–0.35 µm / 0.015–0.09 µm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10^15–10^17 cm^-3</w:t>
            </w:r>
          </w:p>
        </w:tc>
      </w:tr>
    </w:tbl>
    <w:p>
      <w:pPr>
        <w:spacing w:after="20"/>
      </w:pPr>
    </w:p>
    <w:p>
      <w:r>
        <w:t>The dataset is physics-generated; it contains no experimental wafers, proprietary recipes, or claimed fab measurements. Every result is reproducible from the published simulator configuration.</w:t>
      </w:r>
    </w:p>
    <w:p>
      <w:r>
        <w:br w:type="page"/>
      </w:r>
    </w:p>
    <w:p>
      <w:pPr>
        <w:pStyle w:val="Heading1"/>
      </w:pPr>
      <w:r>
        <w:t>AI methodology</w:t>
      </w:r>
    </w:p>
    <w:p>
      <w:pPr>
        <w:pStyle w:val="Heading2"/>
      </w:pPr>
      <w:r>
        <w:t>Baseline</w:t>
      </w:r>
    </w:p>
    <w:p>
      <w:r>
        <w:t>The baseline standardizes recipe features, expands them to second-order polynomial terms, and fits ridge regression. Full log-concentration profiles are compressed into ten principal components and reconstructed after coefficient prediction. This provides a fast, interpretable reference with modest nonlinear capacity.</w:t>
      </w:r>
    </w:p>
    <w:p>
      <w:pPr>
        <w:pStyle w:val="Heading2"/>
      </w:pPr>
      <w:r>
        <w:t>Neural surrogate</w:t>
      </w:r>
    </w:p>
    <w:p>
      <w:r>
        <w:t>The main model is an ensemble of three independently seeded multilayer perceptrons with 128–128–64 hidden units, ReLU activations, standardized inputs and standardized multi-task outputs. It jointly predicts oxide thickness, junction depth, log peak concentration, and ten PCA profile coefficients. Early stopping uses an internal training-only holdout. Ensemble spread provides a prototype epistemic-uncertainty signal.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082B4C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888"/>
            <w:shd w:fill="082B4C"/>
          </w:tcPr>
          <w:p>
            <w:r>
              <w:rPr>
                <w:b/>
                <w:color w:val="FFFFFF"/>
                <w:sz w:val="17"/>
              </w:rPr>
              <w:t>Loss representation</w:t>
            </w:r>
          </w:p>
        </w:tc>
        <w:tc>
          <w:tcPr>
            <w:tcW w:type="dxa" w:w="3528"/>
            <w:shd w:fill="082B4C"/>
          </w:tcPr>
          <w:p>
            <w:r>
              <w:rPr>
                <w:b/>
                <w:color w:val="FFFFFF"/>
                <w:sz w:val="17"/>
              </w:rPr>
              <w:t>Evaluation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Oxide thickness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6"/>
              </w:rPr>
              <w:t>nm, standardized target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MAE, RMSE, R²</w:t>
            </w:r>
          </w:p>
        </w:tc>
      </w:tr>
      <w:tr>
        <w:tc>
          <w:tcPr>
            <w:tcW w:type="dxa" w:w="1944"/>
            <w:vAlign w:val="center"/>
            <w:shd w:fill="F3F7F9"/>
          </w:tcPr>
          <w:p>
            <w:r>
              <w:rPr>
                <w:sz w:val="16"/>
              </w:rPr>
              <w:t>Junction depth</w:t>
            </w:r>
          </w:p>
        </w:tc>
        <w:tc>
          <w:tcPr>
            <w:tcW w:type="dxa" w:w="3888"/>
            <w:vAlign w:val="center"/>
            <w:shd w:fill="F3F7F9"/>
          </w:tcPr>
          <w:p>
            <w:r>
              <w:rPr>
                <w:sz w:val="16"/>
              </w:rPr>
              <w:t>µm, standardized target</w:t>
            </w:r>
          </w:p>
        </w:tc>
        <w:tc>
          <w:tcPr>
            <w:tcW w:type="dxa" w:w="3528"/>
            <w:vAlign w:val="center"/>
            <w:shd w:fill="F3F7F9"/>
          </w:tcPr>
          <w:p>
            <w:r>
              <w:rPr>
                <w:sz w:val="16"/>
              </w:rPr>
              <w:t>MAE, RMSE, R²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Peak concentration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6"/>
              </w:rPr>
              <w:t>log10 cm^-3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MAE, RMSE, R²</w:t>
            </w:r>
          </w:p>
        </w:tc>
      </w:tr>
      <w:tr>
        <w:tc>
          <w:tcPr>
            <w:tcW w:type="dxa" w:w="1944"/>
            <w:vAlign w:val="center"/>
            <w:shd w:fill="F3F7F9"/>
          </w:tcPr>
          <w:p>
            <w:r>
              <w:rPr>
                <w:sz w:val="16"/>
              </w:rPr>
              <w:t>Full profile</w:t>
            </w:r>
          </w:p>
        </w:tc>
        <w:tc>
          <w:tcPr>
            <w:tcW w:type="dxa" w:w="3888"/>
            <w:vAlign w:val="center"/>
            <w:shd w:fill="F3F7F9"/>
          </w:tcPr>
          <w:p>
            <w:r>
              <w:rPr>
                <w:sz w:val="16"/>
              </w:rPr>
              <w:t>10 PCA coefficients of log10 profile</w:t>
            </w:r>
          </w:p>
        </w:tc>
        <w:tc>
          <w:tcPr>
            <w:tcW w:type="dxa" w:w="3528"/>
            <w:vAlign w:val="center"/>
            <w:shd w:fill="F3F7F9"/>
          </w:tcPr>
          <w:p>
            <w:r>
              <w:rPr>
                <w:sz w:val="16"/>
              </w:rPr>
              <w:t>Depthwise log10 RMSE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Uncertainty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6"/>
              </w:rPr>
              <w:t>Three-member prediction spread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Empirical 90% interval coverage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060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over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777"/>
          <w:sz w:val="16"/>
        </w:rPr>
        <w:t>Figure 3. Representative held-out physics and surrogate concentration profiles.</w:t>
      </w:r>
    </w:p>
    <w:p>
      <w:r>
        <w:br w:type="page"/>
      </w:r>
    </w:p>
    <w:p>
      <w:pPr>
        <w:pStyle w:val="Heading1"/>
      </w:pPr>
      <w:r>
        <w:t>Locally measured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232"/>
            <w:shd w:fill="082B4C"/>
          </w:tcPr>
          <w:p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2448"/>
            <w:shd w:fill="082B4C"/>
          </w:tcPr>
          <w:p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592"/>
            <w:shd w:fill="082B4C"/>
          </w:tcPr>
          <w:p>
            <w:r>
              <w:rPr>
                <w:b/>
                <w:color w:val="FFFFFF"/>
                <w:sz w:val="17"/>
              </w:rPr>
              <w:t>Neural surrogate</w:t>
            </w:r>
          </w:p>
        </w:tc>
        <w:tc>
          <w:tcPr>
            <w:tcW w:type="dxa" w:w="1584"/>
            <w:shd w:fill="082B4C"/>
          </w:tcPr>
          <w:p>
            <w:r>
              <w:rPr>
                <w:b/>
                <w:color w:val="FFFFFF"/>
                <w:sz w:val="17"/>
              </w:rPr>
              <w:t>Neural R²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6"/>
              </w:rPr>
              <w:t>Oxide MAE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19.11 nm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8.21 nm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0.9968</w:t>
            </w:r>
          </w:p>
        </w:tc>
      </w:tr>
      <w:tr>
        <w:tc>
          <w:tcPr>
            <w:tcW w:type="dxa" w:w="2232"/>
            <w:vAlign w:val="center"/>
            <w:shd w:fill="F3F7F9"/>
          </w:tcPr>
          <w:p>
            <w:r>
              <w:rPr>
                <w:sz w:val="16"/>
              </w:rPr>
              <w:t>Junction MAE</w:t>
            </w:r>
          </w:p>
        </w:tc>
        <w:tc>
          <w:tcPr>
            <w:tcW w:type="dxa" w:w="2448"/>
            <w:vAlign w:val="center"/>
            <w:shd w:fill="F3F7F9"/>
          </w:tcPr>
          <w:p>
            <w:r>
              <w:rPr>
                <w:sz w:val="16"/>
              </w:rPr>
              <w:t>0.0093 µm</w:t>
            </w:r>
          </w:p>
        </w:tc>
        <w:tc>
          <w:tcPr>
            <w:tcW w:type="dxa" w:w="2592"/>
            <w:vAlign w:val="center"/>
            <w:shd w:fill="F3F7F9"/>
          </w:tcPr>
          <w:p>
            <w:r>
              <w:rPr>
                <w:sz w:val="16"/>
              </w:rPr>
              <w:t>0.0035 µm</w:t>
            </w:r>
          </w:p>
        </w:tc>
        <w:tc>
          <w:tcPr>
            <w:tcW w:type="dxa" w:w="1584"/>
            <w:vAlign w:val="center"/>
            <w:shd w:fill="F3F7F9"/>
          </w:tcPr>
          <w:p>
            <w:r>
              <w:rPr>
                <w:sz w:val="16"/>
              </w:rPr>
              <w:t>0.9985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6"/>
              </w:rPr>
              <w:t>Log-peak MAE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0.0238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0.0239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0.9988</w:t>
            </w:r>
          </w:p>
        </w:tc>
      </w:tr>
      <w:tr>
        <w:tc>
          <w:tcPr>
            <w:tcW w:type="dxa" w:w="2232"/>
            <w:vAlign w:val="center"/>
            <w:shd w:fill="F3F7F9"/>
          </w:tcPr>
          <w:p>
            <w:r>
              <w:rPr>
                <w:sz w:val="16"/>
              </w:rPr>
              <w:t>Profile RMSE</w:t>
            </w:r>
          </w:p>
        </w:tc>
        <w:tc>
          <w:tcPr>
            <w:tcW w:type="dxa" w:w="2448"/>
            <w:vAlign w:val="center"/>
            <w:shd w:fill="F3F7F9"/>
          </w:tcPr>
          <w:p>
            <w:r>
              <w:rPr>
                <w:sz w:val="16"/>
              </w:rPr>
              <w:t>0.706 decades</w:t>
            </w:r>
          </w:p>
        </w:tc>
        <w:tc>
          <w:tcPr>
            <w:tcW w:type="dxa" w:w="2592"/>
            <w:vAlign w:val="center"/>
            <w:shd w:fill="F3F7F9"/>
          </w:tcPr>
          <w:p>
            <w:r>
              <w:rPr>
                <w:sz w:val="16"/>
              </w:rPr>
              <w:t>0.138 decades</w:t>
            </w:r>
          </w:p>
        </w:tc>
        <w:tc>
          <w:tcPr>
            <w:tcW w:type="dxa" w:w="1584"/>
            <w:vAlign w:val="center"/>
            <w:shd w:fill="F3F7F9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8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777"/>
          <w:sz w:val="16"/>
        </w:rPr>
        <w:t>Figure 4. Baseline and neural-surrogate errors on held-out recipe bins.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74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777"/>
          <w:sz w:val="16"/>
        </w:rPr>
        <w:t>Figure 5. Held-out simulator-versus-surrogate parity.</w:t>
      </w:r>
    </w:p>
    <w:p>
      <w:r>
        <w:t>Batched neural inference measured 17.17 µs per recipe, compared with 11.32 µs for this already-lightweight analytical simulator (0.66× measured ratio). The runtime result is not presented as a dramatic speedup claim: the process physics is deliberately compact. The value is that the workflow scales to costlier solvers while retaining explicit error and domain checks.</w:t>
      </w:r>
    </w:p>
    <w:p>
      <w:r>
        <w:br w:type="page"/>
      </w:r>
    </w:p>
    <w:p>
      <w:pPr>
        <w:pStyle w:val="Heading1"/>
      </w:pPr>
      <w:r>
        <w:t>OOD and uncertainty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456"/>
            <w:shd w:fill="082B4C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92"/>
            <w:shd w:fill="082B4C"/>
          </w:tcPr>
          <w:p>
            <w:r>
              <w:rPr>
                <w:b/>
                <w:color w:val="FFFFFF"/>
                <w:sz w:val="17"/>
              </w:rPr>
              <w:t>Held-out test</w:t>
            </w:r>
          </w:p>
        </w:tc>
        <w:tc>
          <w:tcPr>
            <w:tcW w:type="dxa" w:w="2880"/>
            <w:shd w:fill="082B4C"/>
          </w:tcPr>
          <w:p>
            <w:r>
              <w:rPr>
                <w:b/>
                <w:color w:val="FFFFFF"/>
                <w:sz w:val="17"/>
              </w:rPr>
              <w:t>High-temperature OOD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Oxide MAE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8.21 nm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19.76 nm</w:t>
            </w:r>
          </w:p>
        </w:tc>
      </w:tr>
      <w:tr>
        <w:tc>
          <w:tcPr>
            <w:tcW w:type="dxa" w:w="3456"/>
            <w:vAlign w:val="center"/>
            <w:shd w:fill="F3F7F9"/>
          </w:tcPr>
          <w:p>
            <w:r>
              <w:rPr>
                <w:sz w:val="16"/>
              </w:rPr>
              <w:t>Junction MAE</w:t>
            </w:r>
          </w:p>
        </w:tc>
        <w:tc>
          <w:tcPr>
            <w:tcW w:type="dxa" w:w="2592"/>
            <w:vAlign w:val="center"/>
            <w:shd w:fill="F3F7F9"/>
          </w:tcPr>
          <w:p>
            <w:r>
              <w:rPr>
                <w:sz w:val="16"/>
              </w:rPr>
              <w:t>0.0035 µm</w:t>
            </w:r>
          </w:p>
        </w:tc>
        <w:tc>
          <w:tcPr>
            <w:tcW w:type="dxa" w:w="2880"/>
            <w:vAlign w:val="center"/>
            <w:shd w:fill="F3F7F9"/>
          </w:tcPr>
          <w:p>
            <w:r>
              <w:rPr>
                <w:sz w:val="16"/>
              </w:rPr>
              <w:t>0.0350 µm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Profile RMSE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0.138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0.953</w:t>
            </w:r>
          </w:p>
        </w:tc>
      </w:tr>
      <w:tr>
        <w:tc>
          <w:tcPr>
            <w:tcW w:type="dxa" w:w="3456"/>
            <w:vAlign w:val="center"/>
            <w:shd w:fill="F3F7F9"/>
          </w:tcPr>
          <w:p>
            <w:r>
              <w:rPr>
                <w:sz w:val="16"/>
              </w:rPr>
              <w:t>Oxide 90% coverage</w:t>
            </w:r>
          </w:p>
        </w:tc>
        <w:tc>
          <w:tcPr>
            <w:tcW w:type="dxa" w:w="2592"/>
            <w:vAlign w:val="center"/>
            <w:shd w:fill="F3F7F9"/>
          </w:tcPr>
          <w:p>
            <w:r>
              <w:rPr>
                <w:sz w:val="16"/>
              </w:rPr>
              <w:t>0.799</w:t>
            </w:r>
          </w:p>
        </w:tc>
        <w:tc>
          <w:tcPr>
            <w:tcW w:type="dxa" w:w="2880"/>
            <w:vAlign w:val="center"/>
            <w:shd w:fill="F3F7F9"/>
          </w:tcPr>
          <w:p>
            <w:r>
              <w:rPr>
                <w:sz w:val="16"/>
              </w:rPr>
              <w:t>0.751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Junction 90% coverage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0.778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0.544</w:t>
            </w:r>
          </w:p>
        </w:tc>
      </w:tr>
    </w:tbl>
    <w:p>
      <w:pPr>
        <w:spacing w:after="20"/>
      </w:pPr>
    </w:p>
    <w:p>
      <w:r>
        <w:t>Errors rise materially outside the training temperature domain, especially for full profiles. Empirical ensemble intervals also under-cover the nominal 90% target. The interface therefore flags high-temperature inputs as review-only. Ensemble spread is useful triage evidence but is not fully calibrated uncertainty.</w:t>
      </w:r>
    </w:p>
    <w:p>
      <w:r>
        <w:br w:type="page"/>
      </w:r>
    </w:p>
    <w:p>
      <w:pPr>
        <w:pStyle w:val="Heading1"/>
      </w:pPr>
      <w:r>
        <w:t>Inverse recipe design</w:t>
      </w:r>
    </w:p>
    <w:p>
      <w:r>
        <w:t>A constrained differential-evolution search uses the neural surrogate to propose a wet-oxidation/boron-anneal recipe for targets of 120 nm oxide and 0.32 µm junction depth. The candidate is always checked in the physics simulator. Because the initial candidate missed oxide thickness, a bounded local simulator refinement was applied; both stages are retained in the artifact rather than hiding the correction.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032"/>
            <w:shd w:fill="082B4C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92"/>
            <w:shd w:fill="082B4C"/>
          </w:tcPr>
          <w:p>
            <w:r>
              <w:rPr>
                <w:b/>
                <w:color w:val="FFFFFF"/>
                <w:sz w:val="17"/>
              </w:rPr>
              <w:t>Oxide</w:t>
            </w:r>
          </w:p>
        </w:tc>
        <w:tc>
          <w:tcPr>
            <w:tcW w:type="dxa" w:w="2592"/>
            <w:shd w:fill="082B4C"/>
          </w:tcPr>
          <w:p>
            <w:r>
              <w:rPr>
                <w:b/>
                <w:color w:val="FFFFFF"/>
                <w:sz w:val="17"/>
              </w:rPr>
              <w:t>Junction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120.000 nm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0.320000 µm</w:t>
            </w:r>
          </w:p>
        </w:tc>
      </w:tr>
      <w:tr>
        <w:tc>
          <w:tcPr>
            <w:tcW w:type="dxa" w:w="4032"/>
            <w:vAlign w:val="center"/>
            <w:shd w:fill="F3F7F9"/>
          </w:tcPr>
          <w:p>
            <w:r>
              <w:rPr>
                <w:sz w:val="16"/>
              </w:rPr>
              <w:t>Surrogate candidate, simulator check</w:t>
            </w:r>
          </w:p>
        </w:tc>
        <w:tc>
          <w:tcPr>
            <w:tcW w:type="dxa" w:w="2592"/>
            <w:vAlign w:val="center"/>
            <w:shd w:fill="F3F7F9"/>
          </w:tcPr>
          <w:p>
            <w:r>
              <w:rPr>
                <w:sz w:val="16"/>
              </w:rPr>
              <w:t>134.282 nm</w:t>
            </w:r>
          </w:p>
        </w:tc>
        <w:tc>
          <w:tcPr>
            <w:tcW w:type="dxa" w:w="2592"/>
            <w:vAlign w:val="center"/>
            <w:shd w:fill="F3F7F9"/>
          </w:tcPr>
          <w:p>
            <w:r>
              <w:rPr>
                <w:sz w:val="16"/>
              </w:rPr>
              <w:t>0.320133 µm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6"/>
              </w:rPr>
              <w:t>Simulator-refined final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120.000000 nm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0.320000003 µm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320"/>
            <w:shd w:fill="082B4C"/>
          </w:tcPr>
          <w:p>
            <w:r>
              <w:rPr>
                <w:b/>
                <w:color w:val="FFFFFF"/>
                <w:sz w:val="17"/>
              </w:rPr>
              <w:t>Final recipe variable</w:t>
            </w:r>
          </w:p>
        </w:tc>
        <w:tc>
          <w:tcPr>
            <w:tcW w:type="dxa" w:w="4896"/>
            <w:shd w:fill="082B4C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Wet oxidation temperature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962.72 °C</w:t>
            </w:r>
          </w:p>
        </w:tc>
      </w:tr>
      <w:tr>
        <w:tc>
          <w:tcPr>
            <w:tcW w:type="dxa" w:w="4320"/>
            <w:vAlign w:val="center"/>
            <w:shd w:fill="F3F7F9"/>
          </w:tcPr>
          <w:p>
            <w:r>
              <w:rPr>
                <w:sz w:val="16"/>
              </w:rPr>
              <w:t>Wet oxidation time</w:t>
            </w:r>
          </w:p>
        </w:tc>
        <w:tc>
          <w:tcPr>
            <w:tcW w:type="dxa" w:w="4896"/>
            <w:vAlign w:val="center"/>
            <w:shd w:fill="F3F7F9"/>
          </w:tcPr>
          <w:p>
            <w:r>
              <w:rPr>
                <w:sz w:val="16"/>
              </w:rPr>
              <w:t>22.02 min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Boron anneal temperature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1029.10 °C</w:t>
            </w:r>
          </w:p>
        </w:tc>
      </w:tr>
      <w:tr>
        <w:tc>
          <w:tcPr>
            <w:tcW w:type="dxa" w:w="4320"/>
            <w:vAlign w:val="center"/>
            <w:shd w:fill="F3F7F9"/>
          </w:tcPr>
          <w:p>
            <w:r>
              <w:rPr>
                <w:sz w:val="16"/>
              </w:rPr>
              <w:t>Anneal time</w:t>
            </w:r>
          </w:p>
        </w:tc>
        <w:tc>
          <w:tcPr>
            <w:tcW w:type="dxa" w:w="4896"/>
            <w:vAlign w:val="center"/>
            <w:shd w:fill="F3F7F9"/>
          </w:tcPr>
          <w:p>
            <w:r>
              <w:rPr>
                <w:sz w:val="16"/>
              </w:rPr>
              <w:t>232.32 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Dose / Rp / straggle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1e14 cm^-2 / 0.12 µm / 0.04 µm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4"/>
          </w:tcPr>
          <w:p>
            <w:r>
              <w:rPr>
                <w:b/>
                <w:color w:val="008C95"/>
              </w:rPr>
              <w:t xml:space="preserve">Interpretation  </w:t>
            </w:r>
            <w:r>
              <w:t>The miss-and-refine sequence is valuable evidence: surrogate optimization is fast, but simulator verification remains necessary. This is a software validation result, not a manufacturable recipe recommendation.</w:t>
            </w:r>
          </w:p>
        </w:tc>
      </w:tr>
    </w:tbl>
    <w:p>
      <w:pPr>
        <w:spacing w:after="20"/>
      </w:pPr>
    </w:p>
    <w:p>
      <w:pPr>
        <w:pStyle w:val="Heading1"/>
      </w:pPr>
      <w:r>
        <w:t>Engineer-facing interpretability</w:t>
      </w:r>
    </w:p>
    <w:p>
      <w:pPr>
        <w:pStyle w:val="ListBullet"/>
      </w:pPr>
      <w:r>
        <w:t>Response surfaces expose monotonic temperature/time behaviour.</w:t>
      </w:r>
    </w:p>
    <w:p>
      <w:pPr>
        <w:pStyle w:val="ListBullet"/>
      </w:pPr>
      <w:r>
        <w:t>Physics-versus-AI profile overlays show where reconstruction error occurs in depth.</w:t>
      </w:r>
    </w:p>
    <w:p>
      <w:pPr>
        <w:pStyle w:val="ListBullet"/>
      </w:pPr>
      <w:r>
        <w:t>Parity plots reveal bias, outliers, and dynamic range for scalar endpoints.</w:t>
      </w:r>
    </w:p>
    <w:p>
      <w:pPr>
        <w:pStyle w:val="ListBullet"/>
      </w:pPr>
      <w:r>
        <w:t>Baseline comparison separates learned improvement from simple polynomial interpolation.</w:t>
      </w:r>
    </w:p>
    <w:p>
      <w:pPr>
        <w:pStyle w:val="ListBullet"/>
      </w:pPr>
      <w:r>
        <w:t>OOD error and ensemble coverage quantify when review is required.</w:t>
      </w:r>
    </w:p>
    <w:p>
      <w:pPr>
        <w:pStyle w:val="Heading1"/>
      </w:pPr>
      <w:r>
        <w:t>Limitations and validity threats</w:t>
      </w:r>
    </w:p>
    <w:p>
      <w:pPr>
        <w:pStyle w:val="ListBullet"/>
      </w:pPr>
      <w:r>
        <w:t>Simplified 1D continuum physics with literature-scale coefficients; no experimental calibration.</w:t>
      </w:r>
    </w:p>
    <w:p>
      <w:pPr>
        <w:pStyle w:val="ListBullet"/>
      </w:pPr>
      <w:r>
        <w:t>Gaussian implant approximation omits channeling, damage and asymmetric tails.</w:t>
      </w:r>
    </w:p>
    <w:p>
      <w:pPr>
        <w:pStyle w:val="ListBullet"/>
      </w:pPr>
      <w:r>
        <w:t>Constant intrinsic diffusivity omits concentration dependence, TED, clustering, activation and segregation.</w:t>
      </w:r>
    </w:p>
    <w:p>
      <w:pPr>
        <w:pStyle w:val="ListBullet"/>
      </w:pPr>
      <w:r>
        <w:t>Deal-Grove approximation omits orientation, stress, dopant and thin-oxide corrections.</w:t>
      </w:r>
    </w:p>
    <w:p>
      <w:pPr>
        <w:pStyle w:val="ListBullet"/>
      </w:pPr>
      <w:r>
        <w:t>Blocked temperature bins reduce but do not eliminate recipe-space correlation.</w:t>
      </w:r>
    </w:p>
    <w:p>
      <w:pPr>
        <w:pStyle w:val="ListBullet"/>
      </w:pPr>
      <w:r>
        <w:t>Only three ensemble members and under-covered intervals; uncertainty is not fab-grade.</w:t>
      </w:r>
    </w:p>
    <w:p>
      <w:pPr>
        <w:pStyle w:val="ListBullet"/>
      </w:pPr>
      <w:r>
        <w:t>Inverse design is verified only against the same reduced-order simulator.</w:t>
      </w:r>
    </w:p>
    <w:p>
      <w:pPr>
        <w:pStyle w:val="ListBullet"/>
      </w:pPr>
      <w:r>
        <w:t>No claim is made about commercial TCAD equivalence or fabrication performance.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ProcessTwin demonstrates a complete, locally measured AI-for-process-modeling prototype. On held-out recipe bins, the neural surrogate reached 8.21 nm oxide MAE, 0.0035 µm junction MAE, and 0.138-decade profile RMSE, improving materially on the polynomial/PCA baseline for oxide, junction, and profile reconstruction. The separate high-temperature test showed the expected deterioration and justified explicit OOD routing.</w:t>
      </w:r>
    </w:p>
    <w:p>
      <w:r>
        <w:t>The project’s strongest evidence is methodological: declared physics, reproducible simulation data, blocked evaluation, a real baseline, multi-output neural modeling, uncertainty checks, interpretable profile diagnostics, and mandatory simulator verification of inverse-designed recipes. Its limitations are equally explicit, keeping prototype results separate from fab or commercial-TCAD claims.</w:t>
      </w:r>
    </w:p>
    <w:p>
      <w:pPr>
        <w:pStyle w:val="Heading1"/>
      </w:pPr>
      <w:r>
        <w:t>References and parameter provenance</w:t>
      </w:r>
    </w:p>
    <w:p>
      <w:pPr>
        <w:pStyle w:val="ListBullet"/>
      </w:pPr>
      <w:r>
        <w:t>B. E. Deal and A. S. Grove, “General Relationship for the Thermal Oxidation of Silicon,” Journal of Applied Physics 36, 3770–3778 (1965).</w:t>
      </w:r>
    </w:p>
    <w:p>
      <w:pPr>
        <w:pStyle w:val="ListBullet"/>
      </w:pPr>
      <w:r>
        <w:t>S. M. Sze and K. K. Ng, Physics of Semiconductor Devices, 3rd ed., Wiley (2006).</w:t>
      </w:r>
    </w:p>
    <w:p>
      <w:pPr>
        <w:pStyle w:val="ListBullet"/>
      </w:pPr>
      <w:r>
        <w:t>J. D. Plummer, M. D. Deal, and P. B. Griffin, Silicon VLSI Technology, Prentice Hall (2000).</w:t>
      </w:r>
    </w:p>
    <w:p>
      <w:pPr>
        <w:pStyle w:val="ListBullet"/>
      </w:pPr>
      <w:r>
        <w:t>The diffusivity and oxidation coefficients in src/processtwin/physics.py are exposed literature-scale approximations; they are not equipment-calibrated parameters.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777"/>
        <w:sz w:val="16"/>
      </w:rPr>
      <w:t xml:space="preserve">Harsh Saand  |  Physics-generated prototype evidence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8C95"/>
        <w:sz w:val="16"/>
      </w:rPr>
      <w:t>PROCESSTWIN  | 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Aptos" w:hAnsi="Aptos"/>
      <w:b w:val="0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9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082B4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9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69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D6A3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82B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9" w:lineRule="auto"/>
    </w:pPr>
    <w:rPr>
      <w:rFonts w:asciiTheme="majorHAnsi" w:eastAsiaTheme="majorEastAsia" w:hAnsiTheme="majorHAnsi" w:cstheme="majorBidi" w:ascii="Aptos" w:hAnsi="Aptos"/>
      <w:b w:val="0"/>
      <w:i/>
      <w:iCs/>
      <w:color w:val="5367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