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AF092" w14:textId="77777777" w:rsidR="00F46310" w:rsidRDefault="00000000">
      <w:pPr>
        <w:spacing w:before="480"/>
      </w:pPr>
      <w:r>
        <w:rPr>
          <w:b/>
          <w:bCs/>
          <w:color w:val="1F4E79"/>
          <w:sz w:val="64"/>
          <w:szCs w:val="64"/>
        </w:rPr>
        <w:t>GLOBAL CAR SALES</w:t>
      </w:r>
    </w:p>
    <w:p w14:paraId="3AFBDE4A" w14:textId="77777777" w:rsidR="00F46310" w:rsidRDefault="00000000">
      <w:r>
        <w:rPr>
          <w:b/>
          <w:bCs/>
          <w:color w:val="2E75B6"/>
          <w:sz w:val="64"/>
          <w:szCs w:val="64"/>
        </w:rPr>
        <w:t>DASHBOARD REPORT</w:t>
      </w:r>
    </w:p>
    <w:p w14:paraId="6B8BA122" w14:textId="77777777" w:rsidR="00F46310" w:rsidRDefault="00F46310">
      <w:pPr>
        <w:pBdr>
          <w:bottom w:val="single" w:sz="12" w:space="0" w:color="2E75B6"/>
        </w:pBdr>
        <w:spacing w:before="120" w:after="120"/>
      </w:pPr>
    </w:p>
    <w:p w14:paraId="66B196E7" w14:textId="77777777" w:rsidR="00F46310" w:rsidRDefault="00000000">
      <w:pPr>
        <w:spacing w:before="80"/>
      </w:pPr>
      <w:r>
        <w:rPr>
          <w:b/>
          <w:bCs/>
          <w:color w:val="1A1A1A"/>
        </w:rPr>
        <w:t xml:space="preserve">Date: </w:t>
      </w:r>
      <w:r>
        <w:rPr>
          <w:color w:val="555555"/>
        </w:rPr>
        <w:t>March 27, 2026</w:t>
      </w:r>
    </w:p>
    <w:p w14:paraId="45F6F801" w14:textId="59712551" w:rsidR="00F46310" w:rsidRDefault="00000000">
      <w:pPr>
        <w:spacing w:before="40"/>
      </w:pPr>
      <w:r>
        <w:rPr>
          <w:b/>
          <w:bCs/>
          <w:color w:val="1A1A1A"/>
        </w:rPr>
        <w:t xml:space="preserve">Analyst: </w:t>
      </w:r>
      <w:r w:rsidR="00E51114">
        <w:rPr>
          <w:color w:val="555555"/>
        </w:rPr>
        <w:t>Harsh Tiwari</w:t>
      </w:r>
    </w:p>
    <w:p w14:paraId="2E952145" w14:textId="77777777" w:rsidR="00F46310" w:rsidRDefault="00000000">
      <w:pPr>
        <w:spacing w:before="40" w:after="240"/>
      </w:pPr>
      <w:r>
        <w:rPr>
          <w:b/>
          <w:bCs/>
          <w:color w:val="1A1A1A"/>
        </w:rPr>
        <w:t xml:space="preserve">Domain: </w:t>
      </w:r>
      <w:r>
        <w:rPr>
          <w:color w:val="555555"/>
        </w:rPr>
        <w:t xml:space="preserve">Automotive </w:t>
      </w:r>
      <w:proofErr w:type="gramStart"/>
      <w:r>
        <w:rPr>
          <w:color w:val="555555"/>
        </w:rPr>
        <w:t>Industry  |</w:t>
      </w:r>
      <w:proofErr w:type="gramEnd"/>
      <w:r>
        <w:rPr>
          <w:color w:val="555555"/>
        </w:rPr>
        <w:t xml:space="preserve">  Global Scope  |  FY 2024</w:t>
      </w:r>
    </w:p>
    <w:p w14:paraId="2A2A24EA" w14:textId="77777777" w:rsidR="00F46310" w:rsidRDefault="00F46310">
      <w:pPr>
        <w:pBdr>
          <w:left w:val="single" w:sz="20" w:space="0" w:color="2E75B6"/>
        </w:pBdr>
        <w:shd w:val="clear" w:color="auto" w:fill="D6E4F0"/>
        <w:ind w:left="200" w:right="200"/>
      </w:pPr>
    </w:p>
    <w:p w14:paraId="2DD6FE79" w14:textId="77777777" w:rsidR="00F46310" w:rsidRDefault="00000000">
      <w:pPr>
        <w:shd w:val="clear" w:color="auto" w:fill="D6E4F0"/>
        <w:spacing w:before="60" w:after="60"/>
        <w:ind w:left="300" w:right="200"/>
      </w:pPr>
      <w:r>
        <w:rPr>
          <w:i/>
          <w:iCs/>
          <w:color w:val="1A1A1A"/>
        </w:rPr>
        <w:t>Objective: Analyze global car sales trends across regions, brands, and vehicle categories to identify revenue drivers, growth opportunities, and strategic risk areas — and translate findings into actionable business recommendations.</w:t>
      </w:r>
    </w:p>
    <w:p w14:paraId="2BED3D27" w14:textId="77777777" w:rsidR="00F46310" w:rsidRDefault="00F46310">
      <w:pPr>
        <w:shd w:val="clear" w:color="auto" w:fill="D6E4F0"/>
        <w:spacing w:after="200"/>
      </w:pPr>
    </w:p>
    <w:p w14:paraId="474FC8CD" w14:textId="77777777" w:rsidR="00F46310" w:rsidRDefault="00000000">
      <w:pPr>
        <w:pStyle w:val="Heading1"/>
        <w:pBdr>
          <w:bottom w:val="single" w:sz="8" w:space="0" w:color="2E75B6"/>
        </w:pBdr>
        <w:shd w:val="clear" w:color="auto" w:fill="1F4E79"/>
        <w:ind w:left="200"/>
      </w:pPr>
      <w:r>
        <w:t xml:space="preserve">1.  Key Metrics </w:t>
      </w:r>
      <w:proofErr w:type="gramStart"/>
      <w:r>
        <w:t>at a Glance</w:t>
      </w:r>
      <w:proofErr w:type="gramEnd"/>
    </w:p>
    <w:p w14:paraId="5AD72CD3" w14:textId="77777777" w:rsidR="00F46310" w:rsidRDefault="00F463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46310" w14:paraId="2AA990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0BDF7804" w14:textId="77777777" w:rsidR="00F46310" w:rsidRDefault="00000000">
            <w:pPr>
              <w:spacing w:after="40"/>
            </w:pPr>
            <w:r>
              <w:rPr>
                <w:color w:val="555555"/>
                <w:sz w:val="18"/>
                <w:szCs w:val="18"/>
              </w:rPr>
              <w:t>Total Sales Revenue</w:t>
            </w:r>
          </w:p>
          <w:p w14:paraId="170BF15F" w14:textId="77777777" w:rsidR="00F46310" w:rsidRDefault="00000000">
            <w:pPr>
              <w:spacing w:after="40"/>
            </w:pPr>
            <w:r>
              <w:rPr>
                <w:b/>
                <w:bCs/>
                <w:color w:val="375623"/>
                <w:sz w:val="30"/>
                <w:szCs w:val="30"/>
              </w:rPr>
              <w:t>$48.7B</w:t>
            </w:r>
          </w:p>
          <w:p w14:paraId="40377AAA" w14:textId="77777777" w:rsidR="00F46310" w:rsidRDefault="00000000">
            <w:r>
              <w:rPr>
                <w:color w:val="375623"/>
                <w:sz w:val="18"/>
                <w:szCs w:val="18"/>
              </w:rPr>
              <w:t>+6.2% YoY</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2B69AB98" w14:textId="77777777" w:rsidR="00F46310" w:rsidRDefault="00000000">
            <w:pPr>
              <w:spacing w:after="40"/>
            </w:pPr>
            <w:r>
              <w:rPr>
                <w:color w:val="555555"/>
                <w:sz w:val="18"/>
                <w:szCs w:val="18"/>
              </w:rPr>
              <w:t>Total Units Sold</w:t>
            </w:r>
          </w:p>
          <w:p w14:paraId="0FE8A5E9" w14:textId="77777777" w:rsidR="00F46310" w:rsidRDefault="00000000">
            <w:pPr>
              <w:spacing w:after="40"/>
            </w:pPr>
            <w:r>
              <w:rPr>
                <w:b/>
                <w:bCs/>
                <w:color w:val="375623"/>
                <w:sz w:val="30"/>
                <w:szCs w:val="30"/>
              </w:rPr>
              <w:t>3.84M</w:t>
            </w:r>
          </w:p>
          <w:p w14:paraId="6B319E41" w14:textId="77777777" w:rsidR="00F46310" w:rsidRDefault="00000000">
            <w:r>
              <w:rPr>
                <w:color w:val="375623"/>
                <w:sz w:val="18"/>
                <w:szCs w:val="18"/>
              </w:rPr>
              <w:t>+3.9% YoY</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69910FCF" w14:textId="77777777" w:rsidR="00F46310" w:rsidRDefault="00000000">
            <w:pPr>
              <w:spacing w:after="40"/>
            </w:pPr>
            <w:r>
              <w:rPr>
                <w:color w:val="555555"/>
                <w:sz w:val="18"/>
                <w:szCs w:val="18"/>
              </w:rPr>
              <w:t>Avg Price per Car</w:t>
            </w:r>
          </w:p>
          <w:p w14:paraId="7D185D20" w14:textId="77777777" w:rsidR="00F46310" w:rsidRDefault="00000000">
            <w:pPr>
              <w:spacing w:after="40"/>
            </w:pPr>
            <w:r>
              <w:rPr>
                <w:b/>
                <w:bCs/>
                <w:color w:val="375623"/>
                <w:sz w:val="30"/>
                <w:szCs w:val="30"/>
              </w:rPr>
              <w:t>$12,682</w:t>
            </w:r>
          </w:p>
          <w:p w14:paraId="2AB9882B" w14:textId="77777777" w:rsidR="00F46310" w:rsidRDefault="00000000">
            <w:r>
              <w:rPr>
                <w:color w:val="375623"/>
                <w:sz w:val="18"/>
                <w:szCs w:val="18"/>
              </w:rPr>
              <w:t>+2.2% YoY</w:t>
            </w:r>
          </w:p>
        </w:tc>
      </w:tr>
      <w:tr w:rsidR="00F46310" w14:paraId="7E2EE3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461B03CE" w14:textId="77777777" w:rsidR="00F46310" w:rsidRDefault="00000000">
            <w:pPr>
              <w:spacing w:after="40"/>
            </w:pPr>
            <w:r>
              <w:rPr>
                <w:color w:val="555555"/>
                <w:sz w:val="18"/>
                <w:szCs w:val="18"/>
              </w:rPr>
              <w:t>Top Region</w:t>
            </w:r>
          </w:p>
          <w:p w14:paraId="156DD17A" w14:textId="77777777" w:rsidR="00F46310" w:rsidRDefault="00000000">
            <w:pPr>
              <w:spacing w:after="40"/>
            </w:pPr>
            <w:r>
              <w:rPr>
                <w:b/>
                <w:bCs/>
                <w:color w:val="375623"/>
                <w:sz w:val="30"/>
                <w:szCs w:val="30"/>
              </w:rPr>
              <w:t>North America</w:t>
            </w:r>
          </w:p>
          <w:p w14:paraId="3109EE6B" w14:textId="77777777" w:rsidR="00F46310" w:rsidRDefault="00000000">
            <w:r>
              <w:rPr>
                <w:color w:val="375623"/>
                <w:sz w:val="18"/>
                <w:szCs w:val="18"/>
              </w:rPr>
              <w:t>42% of revenue</w:t>
            </w:r>
          </w:p>
        </w:tc>
        <w:tc>
          <w:tcPr>
            <w:tcW w:w="312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60" w:type="dxa"/>
              <w:bottom w:w="120" w:type="dxa"/>
              <w:right w:w="160" w:type="dxa"/>
            </w:tcMar>
          </w:tcPr>
          <w:p w14:paraId="650C4214" w14:textId="77777777" w:rsidR="00F46310" w:rsidRDefault="00000000">
            <w:pPr>
              <w:spacing w:after="40"/>
            </w:pPr>
            <w:r>
              <w:rPr>
                <w:color w:val="555555"/>
                <w:sz w:val="18"/>
                <w:szCs w:val="18"/>
              </w:rPr>
              <w:t>EV Growth Rate</w:t>
            </w:r>
          </w:p>
          <w:p w14:paraId="224FF6D9" w14:textId="77777777" w:rsidR="00F46310" w:rsidRDefault="00000000">
            <w:pPr>
              <w:spacing w:after="40"/>
            </w:pPr>
            <w:r>
              <w:rPr>
                <w:b/>
                <w:bCs/>
                <w:color w:val="375623"/>
                <w:sz w:val="30"/>
                <w:szCs w:val="30"/>
              </w:rPr>
              <w:t>+25%</w:t>
            </w:r>
          </w:p>
          <w:p w14:paraId="70BDA6CA" w14:textId="77777777" w:rsidR="00F46310" w:rsidRDefault="00000000">
            <w:r>
              <w:rPr>
                <w:color w:val="375623"/>
                <w:sz w:val="18"/>
                <w:szCs w:val="18"/>
              </w:rPr>
              <w:t>vs Fuel: +3%</w:t>
            </w:r>
          </w:p>
        </w:tc>
        <w:tc>
          <w:tcPr>
            <w:tcW w:w="312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160" w:type="dxa"/>
              <w:bottom w:w="120" w:type="dxa"/>
              <w:right w:w="160" w:type="dxa"/>
            </w:tcMar>
          </w:tcPr>
          <w:p w14:paraId="36B489EC" w14:textId="77777777" w:rsidR="00F46310" w:rsidRDefault="00000000">
            <w:pPr>
              <w:spacing w:after="40"/>
            </w:pPr>
            <w:r>
              <w:rPr>
                <w:color w:val="555555"/>
                <w:sz w:val="18"/>
                <w:szCs w:val="18"/>
              </w:rPr>
              <w:t>Q3 Sales Drop</w:t>
            </w:r>
          </w:p>
          <w:p w14:paraId="471BE3D9" w14:textId="77777777" w:rsidR="00F46310" w:rsidRDefault="00000000">
            <w:pPr>
              <w:spacing w:after="40"/>
            </w:pPr>
            <w:r>
              <w:rPr>
                <w:b/>
                <w:bCs/>
                <w:color w:val="C00000"/>
                <w:sz w:val="30"/>
                <w:szCs w:val="30"/>
              </w:rPr>
              <w:t>-18%</w:t>
            </w:r>
          </w:p>
          <w:p w14:paraId="1400CFC1" w14:textId="77777777" w:rsidR="00F46310" w:rsidRDefault="00000000">
            <w:r>
              <w:rPr>
                <w:color w:val="C00000"/>
                <w:sz w:val="18"/>
                <w:szCs w:val="18"/>
              </w:rPr>
              <w:t>Seasonal decline</w:t>
            </w:r>
          </w:p>
        </w:tc>
      </w:tr>
    </w:tbl>
    <w:p w14:paraId="67D59F8E" w14:textId="77777777" w:rsidR="00F46310" w:rsidRDefault="00F46310">
      <w:pPr>
        <w:spacing w:before="60" w:after="60"/>
      </w:pPr>
    </w:p>
    <w:p w14:paraId="095707F2" w14:textId="77777777" w:rsidR="00F46310" w:rsidRDefault="00000000">
      <w:pPr>
        <w:spacing w:before="40" w:after="80"/>
      </w:pPr>
      <w:proofErr w:type="gramStart"/>
      <w:r>
        <w:rPr>
          <w:i/>
          <w:iCs/>
          <w:color w:val="555555"/>
          <w:sz w:val="20"/>
          <w:szCs w:val="20"/>
        </w:rPr>
        <w:t>👉  The</w:t>
      </w:r>
      <w:proofErr w:type="gramEnd"/>
      <w:r>
        <w:rPr>
          <w:i/>
          <w:iCs/>
          <w:color w:val="555555"/>
          <w:sz w:val="20"/>
          <w:szCs w:val="20"/>
        </w:rPr>
        <w:t xml:space="preserve"> above KPIs provide a 30-second performance snapshot. Revenue and units are up YoY, but Q3 seasonal dips and Europe's declining share are signals that cannot be ignored.</w:t>
      </w:r>
    </w:p>
    <w:p w14:paraId="6AD87DF7" w14:textId="77777777" w:rsidR="00F46310" w:rsidRDefault="00000000">
      <w:pPr>
        <w:pStyle w:val="Heading1"/>
        <w:pBdr>
          <w:bottom w:val="single" w:sz="8" w:space="0" w:color="2E75B6"/>
        </w:pBdr>
        <w:shd w:val="clear" w:color="auto" w:fill="1F4E79"/>
        <w:ind w:left="200"/>
      </w:pPr>
      <w:r>
        <w:t>2.  Key Insights</w:t>
      </w:r>
    </w:p>
    <w:p w14:paraId="0E656FA2" w14:textId="77777777" w:rsidR="00F46310" w:rsidRDefault="00F463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0"/>
        <w:gridCol w:w="7103"/>
        <w:gridCol w:w="1587"/>
      </w:tblGrid>
      <w:tr w:rsidR="00F46310" w14:paraId="1F41006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80" w:type="dxa"/>
            </w:tcMar>
          </w:tcPr>
          <w:p w14:paraId="647859EA" w14:textId="27601CE6" w:rsidR="00F46310" w:rsidRDefault="00F46310" w:rsidP="00E51114">
            <w:pPr>
              <w:pStyle w:val="ListParagraph"/>
              <w:numPr>
                <w:ilvl w:val="0"/>
                <w:numId w:val="2"/>
              </w:numPr>
              <w:jc w:val="center"/>
            </w:pP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81E4B75" w14:textId="77777777" w:rsidR="00F46310" w:rsidRDefault="00000000">
            <w:r>
              <w:rPr>
                <w:color w:val="1A1A1A"/>
                <w:sz w:val="21"/>
                <w:szCs w:val="21"/>
              </w:rPr>
              <w:t>North America contributes 42% of total revenue — indicating dominant market concentration with risk of over-reliance.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00" w:type="dxa"/>
              <w:bottom w:w="100" w:type="dxa"/>
              <w:right w:w="100" w:type="dxa"/>
            </w:tcMar>
          </w:tcPr>
          <w:p w14:paraId="3D41C575" w14:textId="77777777" w:rsidR="00F46310" w:rsidRDefault="00000000">
            <w:pPr>
              <w:jc w:val="center"/>
            </w:pPr>
            <w:r>
              <w:rPr>
                <w:b/>
                <w:bCs/>
                <w:color w:val="2E75B6"/>
                <w:sz w:val="18"/>
                <w:szCs w:val="18"/>
              </w:rPr>
              <w:t>Market Dominance</w:t>
            </w:r>
          </w:p>
        </w:tc>
      </w:tr>
      <w:tr w:rsidR="00F46310" w14:paraId="1E95C3C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80" w:type="dxa"/>
            </w:tcMar>
          </w:tcPr>
          <w:p w14:paraId="1BB87224" w14:textId="329D00FA" w:rsidR="00F46310" w:rsidRDefault="00F46310" w:rsidP="00E51114">
            <w:pPr>
              <w:pStyle w:val="ListParagraph"/>
              <w:numPr>
                <w:ilvl w:val="0"/>
                <w:numId w:val="2"/>
              </w:numPr>
            </w:pP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FF8DF2" w14:textId="77777777" w:rsidR="00F46310" w:rsidRDefault="00000000">
            <w:r>
              <w:rPr>
                <w:color w:val="1A1A1A"/>
                <w:sz w:val="21"/>
                <w:szCs w:val="21"/>
              </w:rPr>
              <w:t>Electric vehicles grew 25% YoY compared to 3% for fuel-based cars — EV adoption is accelerating significantly.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00" w:type="dxa"/>
              <w:bottom w:w="100" w:type="dxa"/>
              <w:right w:w="100" w:type="dxa"/>
            </w:tcMar>
          </w:tcPr>
          <w:p w14:paraId="1FF53F9A" w14:textId="77777777" w:rsidR="00F46310" w:rsidRDefault="00000000">
            <w:pPr>
              <w:jc w:val="center"/>
            </w:pPr>
            <w:r>
              <w:rPr>
                <w:b/>
                <w:bCs/>
                <w:color w:val="2E75B6"/>
                <w:sz w:val="18"/>
                <w:szCs w:val="18"/>
              </w:rPr>
              <w:t>EV Surge</w:t>
            </w:r>
          </w:p>
        </w:tc>
      </w:tr>
      <w:tr w:rsidR="00F46310" w14:paraId="33F51F7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80" w:type="dxa"/>
            </w:tcMar>
          </w:tcPr>
          <w:p w14:paraId="72835731" w14:textId="7A7D302E" w:rsidR="00F46310" w:rsidRDefault="00F46310" w:rsidP="00E51114">
            <w:pPr>
              <w:pStyle w:val="ListParagraph"/>
              <w:numPr>
                <w:ilvl w:val="0"/>
                <w:numId w:val="2"/>
              </w:numPr>
              <w:jc w:val="center"/>
            </w:pP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B4E6B7" w14:textId="77777777" w:rsidR="00F46310" w:rsidRDefault="00000000">
            <w:r>
              <w:rPr>
                <w:color w:val="1A1A1A"/>
                <w:sz w:val="21"/>
                <w:szCs w:val="21"/>
              </w:rPr>
              <w:t>Sales dropped 18% in Q3 across all regions — consistent with seasonal demand cycles peaking in Q1 and Q4.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00" w:type="dxa"/>
              <w:bottom w:w="100" w:type="dxa"/>
              <w:right w:w="100" w:type="dxa"/>
            </w:tcMar>
          </w:tcPr>
          <w:p w14:paraId="3E03D452" w14:textId="77777777" w:rsidR="00F46310" w:rsidRDefault="00000000">
            <w:pPr>
              <w:jc w:val="center"/>
            </w:pPr>
            <w:r>
              <w:rPr>
                <w:b/>
                <w:bCs/>
                <w:color w:val="2E75B6"/>
                <w:sz w:val="18"/>
                <w:szCs w:val="18"/>
              </w:rPr>
              <w:t>Seasonality</w:t>
            </w:r>
          </w:p>
        </w:tc>
      </w:tr>
      <w:tr w:rsidR="00F46310" w14:paraId="388FBCE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80" w:type="dxa"/>
            </w:tcMar>
          </w:tcPr>
          <w:p w14:paraId="5DC4CB41" w14:textId="644DD737" w:rsidR="00F46310" w:rsidRDefault="00F46310" w:rsidP="00E51114">
            <w:pPr>
              <w:pStyle w:val="ListParagraph"/>
              <w:numPr>
                <w:ilvl w:val="0"/>
                <w:numId w:val="2"/>
              </w:numPr>
              <w:jc w:val="center"/>
            </w:pP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B67133" w14:textId="77777777" w:rsidR="00F46310" w:rsidRDefault="00000000">
            <w:r>
              <w:rPr>
                <w:color w:val="1A1A1A"/>
                <w:sz w:val="21"/>
                <w:szCs w:val="21"/>
              </w:rPr>
              <w:t>Toyota, Volkswagen, and Hyundai collectively hold 54% market share — the top 3 crowd out mid-tier brands.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00" w:type="dxa"/>
              <w:bottom w:w="100" w:type="dxa"/>
              <w:right w:w="100" w:type="dxa"/>
            </w:tcMar>
          </w:tcPr>
          <w:p w14:paraId="2F21A3A5" w14:textId="77777777" w:rsidR="00F46310" w:rsidRDefault="00000000">
            <w:pPr>
              <w:jc w:val="center"/>
            </w:pPr>
            <w:r>
              <w:rPr>
                <w:b/>
                <w:bCs/>
                <w:color w:val="2E75B6"/>
                <w:sz w:val="18"/>
                <w:szCs w:val="18"/>
              </w:rPr>
              <w:t>Brand Concentration</w:t>
            </w:r>
          </w:p>
        </w:tc>
      </w:tr>
      <w:tr w:rsidR="00F46310" w14:paraId="5B13B0B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80" w:type="dxa"/>
            </w:tcMar>
          </w:tcPr>
          <w:p w14:paraId="7D4F6440" w14:textId="48356A84" w:rsidR="00F46310" w:rsidRDefault="00F46310" w:rsidP="00E51114">
            <w:pPr>
              <w:pStyle w:val="ListParagraph"/>
              <w:numPr>
                <w:ilvl w:val="0"/>
                <w:numId w:val="2"/>
              </w:numPr>
              <w:jc w:val="center"/>
            </w:pP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C5E621" w14:textId="77777777" w:rsidR="00F46310" w:rsidRDefault="00000000">
            <w:r>
              <w:rPr>
                <w:color w:val="1A1A1A"/>
                <w:sz w:val="21"/>
                <w:szCs w:val="21"/>
              </w:rPr>
              <w:t>Europe's market share declined from 31% to 27% over 2 years — a structural shift requiring strategic review.</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100" w:type="dxa"/>
              <w:left w:w="100" w:type="dxa"/>
              <w:bottom w:w="100" w:type="dxa"/>
              <w:right w:w="100" w:type="dxa"/>
            </w:tcMar>
          </w:tcPr>
          <w:p w14:paraId="681A7BFE" w14:textId="77777777" w:rsidR="00F46310" w:rsidRDefault="00000000">
            <w:pPr>
              <w:jc w:val="center"/>
            </w:pPr>
            <w:r>
              <w:rPr>
                <w:b/>
                <w:bCs/>
                <w:color w:val="C00000"/>
                <w:sz w:val="18"/>
                <w:szCs w:val="18"/>
              </w:rPr>
              <w:t>Red Flag</w:t>
            </w:r>
          </w:p>
        </w:tc>
      </w:tr>
      <w:tr w:rsidR="00F46310" w14:paraId="6FF7FB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20" w:type="dxa"/>
              <w:bottom w:w="100" w:type="dxa"/>
              <w:right w:w="80" w:type="dxa"/>
            </w:tcMar>
          </w:tcPr>
          <w:p w14:paraId="1D6F3679" w14:textId="4F77CF96" w:rsidR="00F46310" w:rsidRDefault="00F46310" w:rsidP="00E51114">
            <w:pPr>
              <w:pStyle w:val="ListParagraph"/>
              <w:numPr>
                <w:ilvl w:val="0"/>
                <w:numId w:val="2"/>
              </w:numPr>
              <w:jc w:val="center"/>
            </w:pPr>
          </w:p>
        </w:tc>
        <w:tc>
          <w:tcPr>
            <w:tcW w:w="6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E897934" w14:textId="77777777" w:rsidR="00F46310" w:rsidRDefault="00000000">
            <w:r>
              <w:rPr>
                <w:color w:val="1A1A1A"/>
                <w:sz w:val="21"/>
                <w:szCs w:val="21"/>
              </w:rPr>
              <w:t>Luxury segment grew 11% while budget segment declined 4% — premiumization is a clear emerging trend.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00" w:type="dxa"/>
              <w:bottom w:w="100" w:type="dxa"/>
              <w:right w:w="100" w:type="dxa"/>
            </w:tcMar>
          </w:tcPr>
          <w:p w14:paraId="0AFB910B" w14:textId="77777777" w:rsidR="00F46310" w:rsidRDefault="00000000">
            <w:pPr>
              <w:jc w:val="center"/>
            </w:pPr>
            <w:r>
              <w:rPr>
                <w:b/>
                <w:bCs/>
                <w:color w:val="2E75B6"/>
                <w:sz w:val="18"/>
                <w:szCs w:val="18"/>
              </w:rPr>
              <w:t>Segment Shift</w:t>
            </w:r>
          </w:p>
        </w:tc>
      </w:tr>
    </w:tbl>
    <w:p w14:paraId="177C5462" w14:textId="77777777" w:rsidR="00F46310" w:rsidRDefault="00F46310">
      <w:pPr>
        <w:spacing w:before="60" w:after="60"/>
      </w:pPr>
    </w:p>
    <w:p w14:paraId="17BDFCCF" w14:textId="77777777" w:rsidR="00F46310" w:rsidRDefault="00000000">
      <w:pPr>
        <w:pStyle w:val="Heading1"/>
        <w:pBdr>
          <w:bottom w:val="single" w:sz="8" w:space="0" w:color="2E75B6"/>
        </w:pBdr>
        <w:shd w:val="clear" w:color="auto" w:fill="1F4E79"/>
        <w:ind w:left="200"/>
      </w:pPr>
      <w:r>
        <w:t>3.  Visual Analysis Breakdown</w:t>
      </w:r>
    </w:p>
    <w:p w14:paraId="6E98566E" w14:textId="77777777" w:rsidR="00F46310" w:rsidRDefault="00F46310">
      <w:pPr>
        <w:spacing w:before="60" w:after="60"/>
      </w:pPr>
    </w:p>
    <w:p w14:paraId="6538B3DE" w14:textId="77777777" w:rsidR="00F46310" w:rsidRDefault="00000000">
      <w:pPr>
        <w:pStyle w:val="Heading2"/>
        <w:pBdr>
          <w:bottom w:val="single" w:sz="4" w:space="0" w:color="2E75B6"/>
        </w:pBdr>
      </w:pPr>
      <w:r>
        <w:t>a)  Sales by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6310" w14:paraId="5A14E3C3"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F46310" w14:paraId="390DDA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B5939DE" w14:textId="77777777" w:rsidR="00F46310" w:rsidRDefault="00000000">
                  <w:r>
                    <w:rPr>
                      <w:b/>
                      <w:bCs/>
                      <w:color w:val="FFFFFF"/>
                    </w:rPr>
                    <w:t>Regional Performance</w:t>
                  </w:r>
                </w:p>
              </w:tc>
            </w:tr>
            <w:tr w:rsidR="00F46310" w14:paraId="3750D6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6393C747" w14:textId="0194FAA1" w:rsidR="00F46310" w:rsidRDefault="00000000">
                  <w:r>
                    <w:rPr>
                      <w:color w:val="1A1A1A"/>
                      <w:sz w:val="21"/>
                      <w:szCs w:val="21"/>
                    </w:rPr>
                    <w:t xml:space="preserve"> North America — $20.5B (42% share) — dominant but concentrated</w:t>
                  </w:r>
                </w:p>
              </w:tc>
            </w:tr>
            <w:tr w:rsidR="00F46310" w14:paraId="3B088C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3336091E" w14:textId="4B5FAF68" w:rsidR="00F46310" w:rsidRDefault="00000000">
                  <w:r>
                    <w:rPr>
                      <w:color w:val="1A1A1A"/>
                      <w:sz w:val="21"/>
                      <w:szCs w:val="21"/>
                    </w:rPr>
                    <w:t xml:space="preserve"> Asia-Pacific — $16.1B (33%) — fastest growing region at +9% YoY</w:t>
                  </w:r>
                </w:p>
              </w:tc>
            </w:tr>
            <w:tr w:rsidR="00F46310" w14:paraId="0EF98E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51FA6B77" w14:textId="0E666080" w:rsidR="00F46310" w:rsidRDefault="00000000">
                  <w:r>
                    <w:rPr>
                      <w:color w:val="1A1A1A"/>
                      <w:sz w:val="21"/>
                      <w:szCs w:val="21"/>
                    </w:rPr>
                    <w:t>Europe — $13.1B (27%) — declining from 31% two years ago</w:t>
                  </w:r>
                </w:p>
              </w:tc>
            </w:tr>
            <w:tr w:rsidR="00F46310" w14:paraId="0F901C0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16E5F90D" w14:textId="029CDBE9" w:rsidR="00F46310" w:rsidRDefault="00000000">
                  <w:r>
                    <w:rPr>
                      <w:color w:val="1A1A1A"/>
                      <w:sz w:val="21"/>
                      <w:szCs w:val="21"/>
                    </w:rPr>
                    <w:t>Latin America &amp; Africa combined &lt; 5% — underserved markets</w:t>
                  </w:r>
                </w:p>
              </w:tc>
            </w:tr>
          </w:tbl>
          <w:p w14:paraId="268FE3C7" w14:textId="77777777" w:rsidR="00F46310" w:rsidRDefault="00F46310"/>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F46310" w14:paraId="2C8E0D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9221BB6" w14:textId="77777777" w:rsidR="00F46310" w:rsidRDefault="00000000">
                  <w:r>
                    <w:rPr>
                      <w:b/>
                      <w:bCs/>
                      <w:color w:val="FFFFFF"/>
                    </w:rPr>
                    <w:t>Surprising Trends</w:t>
                  </w:r>
                </w:p>
              </w:tc>
            </w:tr>
            <w:tr w:rsidR="00F46310" w14:paraId="25D057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60B54977" w14:textId="77777777" w:rsidR="00F46310" w:rsidRDefault="00000000">
                  <w:r>
                    <w:rPr>
                      <w:color w:val="1A1A1A"/>
                      <w:sz w:val="21"/>
                      <w:szCs w:val="21"/>
                    </w:rPr>
                    <w:t>Asia-Pacific overtook Europe in unit volume for the first time in FY2024</w:t>
                  </w:r>
                </w:p>
              </w:tc>
            </w:tr>
            <w:tr w:rsidR="00F46310" w14:paraId="1A9FE3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44A8CBD1" w14:textId="77777777" w:rsidR="00F46310" w:rsidRDefault="00000000">
                  <w:r>
                    <w:rPr>
                      <w:color w:val="1A1A1A"/>
                      <w:sz w:val="21"/>
                      <w:szCs w:val="21"/>
                    </w:rPr>
                    <w:t>India alone drove 38% of AP growth — outpacing China in unit growth rate</w:t>
                  </w:r>
                </w:p>
              </w:tc>
            </w:tr>
            <w:tr w:rsidR="00F46310" w14:paraId="16EAF0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02F89EA6" w14:textId="77777777" w:rsidR="00F46310" w:rsidRDefault="00000000">
                  <w:r>
                    <w:rPr>
                      <w:color w:val="1A1A1A"/>
                      <w:sz w:val="21"/>
                      <w:szCs w:val="21"/>
                    </w:rPr>
                    <w:t>Germany's market contracted 6% despite overall European stability</w:t>
                  </w:r>
                </w:p>
              </w:tc>
            </w:tr>
            <w:tr w:rsidR="00F46310" w14:paraId="73AB5D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4E216EFA" w14:textId="77777777" w:rsidR="00F46310" w:rsidRDefault="00000000">
                  <w:r>
                    <w:rPr>
                      <w:color w:val="1A1A1A"/>
                      <w:sz w:val="21"/>
                      <w:szCs w:val="21"/>
                    </w:rPr>
                    <w:t>Mexico surpassed Canada in units sold within North America</w:t>
                  </w:r>
                </w:p>
              </w:tc>
            </w:tr>
          </w:tbl>
          <w:p w14:paraId="1020EC46" w14:textId="77777777" w:rsidR="00F46310" w:rsidRDefault="00F46310"/>
        </w:tc>
      </w:tr>
    </w:tbl>
    <w:p w14:paraId="6E72A1BA" w14:textId="77777777" w:rsidR="00F46310" w:rsidRDefault="00F46310">
      <w:pPr>
        <w:spacing w:before="60" w:after="60"/>
      </w:pPr>
    </w:p>
    <w:p w14:paraId="3EB3605F" w14:textId="77777777" w:rsidR="00F46310" w:rsidRDefault="00000000">
      <w:pPr>
        <w:pStyle w:val="Heading2"/>
        <w:pBdr>
          <w:bottom w:val="single" w:sz="4" w:space="0" w:color="2E75B6"/>
        </w:pBdr>
      </w:pPr>
      <w:r>
        <w:t>b)  Sales by Brand</w:t>
      </w:r>
    </w:p>
    <w:p w14:paraId="0284E379" w14:textId="77777777" w:rsidR="00F46310" w:rsidRDefault="00000000">
      <w:pPr>
        <w:spacing w:before="80" w:after="80"/>
      </w:pPr>
      <w:r>
        <w:rPr>
          <w:color w:val="1A1A1A"/>
        </w:rPr>
        <w:t>Top 3 brands account for 54% of global market share, crowding out mid-tier competition.</w:t>
      </w:r>
    </w:p>
    <w:p w14:paraId="3F174CF5" w14:textId="77777777" w:rsidR="00F46310" w:rsidRDefault="00F463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80"/>
        <w:gridCol w:w="1880"/>
        <w:gridCol w:w="2800"/>
      </w:tblGrid>
      <w:tr w:rsidR="00F46310" w14:paraId="6217A8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7BF02F17" w14:textId="77777777" w:rsidR="00F46310" w:rsidRDefault="00000000">
            <w:pPr>
              <w:jc w:val="center"/>
            </w:pPr>
            <w:r>
              <w:rPr>
                <w:b/>
                <w:bCs/>
                <w:color w:val="FFFFFF"/>
                <w:sz w:val="21"/>
                <w:szCs w:val="21"/>
              </w:rPr>
              <w:t>Rank</w:t>
            </w:r>
          </w:p>
        </w:tc>
        <w:tc>
          <w:tcPr>
            <w:tcW w:w="348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484B7F43" w14:textId="77777777" w:rsidR="00F46310" w:rsidRDefault="00000000">
            <w:pPr>
              <w:jc w:val="center"/>
            </w:pPr>
            <w:r>
              <w:rPr>
                <w:b/>
                <w:bCs/>
                <w:color w:val="FFFFFF"/>
                <w:sz w:val="21"/>
                <w:szCs w:val="21"/>
              </w:rPr>
              <w:t>Brand</w:t>
            </w:r>
          </w:p>
        </w:tc>
        <w:tc>
          <w:tcPr>
            <w:tcW w:w="188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35E1B90" w14:textId="77777777" w:rsidR="00F46310" w:rsidRDefault="00000000">
            <w:pPr>
              <w:jc w:val="center"/>
            </w:pPr>
            <w:r>
              <w:rPr>
                <w:b/>
                <w:bCs/>
                <w:color w:val="FFFFFF"/>
                <w:sz w:val="21"/>
                <w:szCs w:val="21"/>
              </w:rPr>
              <w:t>Market Share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30" w:type="dxa"/>
              <w:bottom w:w="90" w:type="dxa"/>
              <w:right w:w="130" w:type="dxa"/>
            </w:tcMar>
          </w:tcPr>
          <w:p w14:paraId="1C541E35" w14:textId="77777777" w:rsidR="00F46310" w:rsidRDefault="00000000">
            <w:pPr>
              <w:jc w:val="center"/>
            </w:pPr>
            <w:r>
              <w:rPr>
                <w:b/>
                <w:bCs/>
                <w:color w:val="FFFFFF"/>
                <w:sz w:val="21"/>
                <w:szCs w:val="21"/>
              </w:rPr>
              <w:t>YoY Change</w:t>
            </w:r>
          </w:p>
        </w:tc>
      </w:tr>
      <w:tr w:rsidR="00F46310" w14:paraId="2A85B1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409E86A7" w14:textId="323995ED" w:rsidR="00F46310" w:rsidRDefault="00000000">
            <w:pPr>
              <w:jc w:val="center"/>
            </w:pPr>
            <w:r>
              <w:rPr>
                <w:color w:val="1A1A1A"/>
                <w:sz w:val="21"/>
                <w:szCs w:val="21"/>
              </w:rPr>
              <w:t>1</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CA0819F" w14:textId="77777777" w:rsidR="00F46310" w:rsidRDefault="00000000">
            <w:r>
              <w:rPr>
                <w:color w:val="1A1A1A"/>
                <w:sz w:val="21"/>
                <w:szCs w:val="21"/>
              </w:rPr>
              <w:t>Toyota</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4997924" w14:textId="77777777" w:rsidR="00F46310" w:rsidRDefault="00000000">
            <w:pPr>
              <w:jc w:val="center"/>
            </w:pPr>
            <w:r>
              <w:rPr>
                <w:color w:val="1A1A1A"/>
                <w:sz w:val="21"/>
                <w:szCs w:val="21"/>
              </w:rPr>
              <w:t>21%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EC945C1" w14:textId="77777777" w:rsidR="00F46310" w:rsidRDefault="00000000">
            <w:pPr>
              <w:jc w:val="center"/>
            </w:pPr>
            <w:r>
              <w:rPr>
                <w:b/>
                <w:bCs/>
                <w:color w:val="375623"/>
                <w:sz w:val="21"/>
                <w:szCs w:val="21"/>
              </w:rPr>
              <w:t>+4.1%</w:t>
            </w:r>
          </w:p>
        </w:tc>
      </w:tr>
      <w:tr w:rsidR="00F46310" w14:paraId="5209BD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5EE415D" w14:textId="705353D7" w:rsidR="00F46310" w:rsidRDefault="00E51114">
            <w:pPr>
              <w:jc w:val="center"/>
            </w:pPr>
            <w:r>
              <w:rPr>
                <w:color w:val="1A1A1A"/>
                <w:sz w:val="21"/>
                <w:szCs w:val="21"/>
              </w:rPr>
              <w:t>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04E6774" w14:textId="77777777" w:rsidR="00F46310" w:rsidRDefault="00000000">
            <w:r>
              <w:rPr>
                <w:color w:val="1A1A1A"/>
                <w:sz w:val="21"/>
                <w:szCs w:val="21"/>
              </w:rPr>
              <w:t>Volkswagen Group</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AE3785F" w14:textId="77777777" w:rsidR="00F46310" w:rsidRDefault="00000000">
            <w:pPr>
              <w:jc w:val="center"/>
            </w:pPr>
            <w:r>
              <w:rPr>
                <w:color w:val="1A1A1A"/>
                <w:sz w:val="21"/>
                <w:szCs w:val="21"/>
              </w:rPr>
              <w:t>18%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8DCD4C" w14:textId="77777777" w:rsidR="00F46310" w:rsidRDefault="00000000">
            <w:pPr>
              <w:jc w:val="center"/>
            </w:pPr>
            <w:r>
              <w:rPr>
                <w:b/>
                <w:bCs/>
                <w:color w:val="375623"/>
                <w:sz w:val="21"/>
                <w:szCs w:val="21"/>
              </w:rPr>
              <w:t>+1.8%</w:t>
            </w:r>
          </w:p>
        </w:tc>
      </w:tr>
      <w:tr w:rsidR="00F46310" w14:paraId="2C405C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5AB19F8D" w14:textId="4A7DEB9A" w:rsidR="00F46310" w:rsidRDefault="00000000">
            <w:pPr>
              <w:jc w:val="center"/>
            </w:pPr>
            <w:r>
              <w:rPr>
                <w:color w:val="1A1A1A"/>
                <w:sz w:val="21"/>
                <w:szCs w:val="21"/>
              </w:rPr>
              <w:t>3</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6B42C21B" w14:textId="77777777" w:rsidR="00F46310" w:rsidRDefault="00000000">
            <w:r>
              <w:rPr>
                <w:color w:val="1A1A1A"/>
                <w:sz w:val="21"/>
                <w:szCs w:val="21"/>
              </w:rPr>
              <w:t>Hyundai-Kia</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B1D767F" w14:textId="77777777" w:rsidR="00F46310" w:rsidRDefault="00000000">
            <w:pPr>
              <w:jc w:val="center"/>
            </w:pPr>
            <w:r>
              <w:rPr>
                <w:color w:val="1A1A1A"/>
                <w:sz w:val="21"/>
                <w:szCs w:val="21"/>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3457ED88" w14:textId="77777777" w:rsidR="00F46310" w:rsidRDefault="00000000">
            <w:pPr>
              <w:jc w:val="center"/>
            </w:pPr>
            <w:r>
              <w:rPr>
                <w:b/>
                <w:bCs/>
                <w:color w:val="375623"/>
                <w:sz w:val="21"/>
                <w:szCs w:val="21"/>
              </w:rPr>
              <w:t>+6.3%</w:t>
            </w:r>
          </w:p>
        </w:tc>
      </w:tr>
      <w:tr w:rsidR="00F46310" w14:paraId="22F088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3A378F" w14:textId="77777777" w:rsidR="00F46310" w:rsidRDefault="00000000">
            <w:pPr>
              <w:jc w:val="center"/>
            </w:pPr>
            <w:r>
              <w:rPr>
                <w:color w:val="1A1A1A"/>
                <w:sz w:val="21"/>
                <w:szCs w:val="21"/>
              </w:rPr>
              <w:t>4</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7230A8" w14:textId="77777777" w:rsidR="00F46310" w:rsidRDefault="00000000">
            <w:r>
              <w:rPr>
                <w:color w:val="1A1A1A"/>
                <w:sz w:val="21"/>
                <w:szCs w:val="21"/>
              </w:rPr>
              <w:t>Ford</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7C1705A" w14:textId="77777777" w:rsidR="00F46310" w:rsidRDefault="00000000">
            <w:pPr>
              <w:jc w:val="center"/>
            </w:pPr>
            <w:r>
              <w:rPr>
                <w:color w:val="1A1A1A"/>
                <w:sz w:val="21"/>
                <w:szCs w:val="21"/>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30005F0" w14:textId="77777777" w:rsidR="00F46310" w:rsidRDefault="00000000">
            <w:pPr>
              <w:jc w:val="center"/>
            </w:pPr>
            <w:r>
              <w:rPr>
                <w:b/>
                <w:bCs/>
                <w:color w:val="C00000"/>
                <w:sz w:val="21"/>
                <w:szCs w:val="21"/>
              </w:rPr>
              <w:t>-1.2%</w:t>
            </w:r>
          </w:p>
        </w:tc>
      </w:tr>
      <w:tr w:rsidR="00F46310" w14:paraId="6663369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0B08452" w14:textId="77777777" w:rsidR="00F46310" w:rsidRDefault="00000000">
            <w:pPr>
              <w:jc w:val="center"/>
            </w:pPr>
            <w:r>
              <w:rPr>
                <w:color w:val="1A1A1A"/>
                <w:sz w:val="21"/>
                <w:szCs w:val="21"/>
              </w:rPr>
              <w:t>5</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0ED0E2A8" w14:textId="77777777" w:rsidR="00F46310" w:rsidRDefault="00000000">
            <w:r>
              <w:rPr>
                <w:color w:val="1A1A1A"/>
                <w:sz w:val="21"/>
                <w:szCs w:val="21"/>
              </w:rPr>
              <w:t>General Motors</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7E940897" w14:textId="77777777" w:rsidR="00F46310" w:rsidRDefault="00000000">
            <w:pPr>
              <w:jc w:val="center"/>
            </w:pPr>
            <w:r>
              <w:rPr>
                <w:color w:val="1A1A1A"/>
                <w:sz w:val="21"/>
                <w:szCs w:val="21"/>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30" w:type="dxa"/>
              <w:bottom w:w="80" w:type="dxa"/>
              <w:right w:w="130" w:type="dxa"/>
            </w:tcMar>
          </w:tcPr>
          <w:p w14:paraId="101A9217" w14:textId="77777777" w:rsidR="00F46310" w:rsidRDefault="00000000">
            <w:pPr>
              <w:jc w:val="center"/>
            </w:pPr>
            <w:r>
              <w:rPr>
                <w:b/>
                <w:bCs/>
                <w:color w:val="C00000"/>
                <w:sz w:val="21"/>
                <w:szCs w:val="21"/>
              </w:rPr>
              <w:t>-2.7%</w:t>
            </w:r>
          </w:p>
        </w:tc>
      </w:tr>
    </w:tbl>
    <w:p w14:paraId="0731846A" w14:textId="77777777" w:rsidR="00F46310" w:rsidRDefault="00F46310">
      <w:pPr>
        <w:spacing w:before="60" w:after="60"/>
      </w:pPr>
    </w:p>
    <w:p w14:paraId="11B19646" w14:textId="77777777" w:rsidR="00F46310" w:rsidRDefault="00000000">
      <w:pPr>
        <w:pStyle w:val="Heading2"/>
        <w:pBdr>
          <w:bottom w:val="single" w:sz="4" w:space="0" w:color="2E75B6"/>
        </w:pBdr>
      </w:pPr>
      <w:r>
        <w:t>c)  Time Trends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6310" w14:paraId="72F04C34"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F46310" w14:paraId="5138C5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64DEC502" w14:textId="77777777" w:rsidR="00F46310" w:rsidRDefault="00000000">
                  <w:r>
                    <w:rPr>
                      <w:b/>
                      <w:bCs/>
                      <w:color w:val="FFFFFF"/>
                    </w:rPr>
                    <w:t>Growth Patterns</w:t>
                  </w:r>
                </w:p>
              </w:tc>
            </w:tr>
            <w:tr w:rsidR="00F46310" w14:paraId="1D5451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0A092EC8" w14:textId="77777777" w:rsidR="00F46310" w:rsidRDefault="00000000">
                  <w:r>
                    <w:rPr>
                      <w:color w:val="1A1A1A"/>
                      <w:sz w:val="21"/>
                      <w:szCs w:val="21"/>
                    </w:rPr>
                    <w:t>Q1 &amp; Q4 consistently outperform — holiday &amp; new-model cycle effect</w:t>
                  </w:r>
                </w:p>
              </w:tc>
            </w:tr>
            <w:tr w:rsidR="00F46310" w14:paraId="7F7D5B2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46D89FF5" w14:textId="77777777" w:rsidR="00F46310" w:rsidRDefault="00000000">
                  <w:r>
                    <w:rPr>
                      <w:color w:val="1A1A1A"/>
                      <w:sz w:val="21"/>
                      <w:szCs w:val="21"/>
                    </w:rPr>
                    <w:t>YoY revenue growth of 6.2% sustained over 3 consecutive years</w:t>
                  </w:r>
                </w:p>
              </w:tc>
            </w:tr>
            <w:tr w:rsidR="00F46310" w14:paraId="733E62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07200A78" w14:textId="77777777" w:rsidR="00F46310" w:rsidRDefault="00000000">
                  <w:r>
                    <w:rPr>
                      <w:color w:val="1A1A1A"/>
                      <w:sz w:val="21"/>
                      <w:szCs w:val="21"/>
                    </w:rPr>
                    <w:lastRenderedPageBreak/>
                    <w:t>EV sales compound growth rate: 22% over past 3 years</w:t>
                  </w:r>
                </w:p>
              </w:tc>
            </w:tr>
            <w:tr w:rsidR="00F46310" w14:paraId="52F41C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3B5F52B1" w14:textId="77777777" w:rsidR="00F46310" w:rsidRDefault="00000000">
                  <w:r>
                    <w:rPr>
                      <w:color w:val="1A1A1A"/>
                      <w:sz w:val="21"/>
                      <w:szCs w:val="21"/>
                    </w:rPr>
                    <w:t>Fuel-based car growth slowing: 3% in FY24 vs 9% in FY21</w:t>
                  </w:r>
                </w:p>
              </w:tc>
            </w:tr>
          </w:tbl>
          <w:p w14:paraId="79EAD0CD" w14:textId="77777777" w:rsidR="00F46310" w:rsidRDefault="00F46310"/>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F46310" w14:paraId="3C17E8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4059477A" w14:textId="77777777" w:rsidR="00F46310" w:rsidRDefault="00000000">
                  <w:r>
                    <w:rPr>
                      <w:b/>
                      <w:bCs/>
                      <w:color w:val="FFFFFF"/>
                    </w:rPr>
                    <w:lastRenderedPageBreak/>
                    <w:t>Seasonality Signals</w:t>
                  </w:r>
                </w:p>
              </w:tc>
            </w:tr>
            <w:tr w:rsidR="00F46310" w14:paraId="14CB35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7C459753" w14:textId="77777777" w:rsidR="00F46310" w:rsidRDefault="00000000">
                  <w:r>
                    <w:rPr>
                      <w:color w:val="1A1A1A"/>
                      <w:sz w:val="21"/>
                      <w:szCs w:val="21"/>
                    </w:rPr>
                    <w:t>Q3 dip is structural — 18% drop observed in FY22, FY23, FY24</w:t>
                  </w:r>
                </w:p>
              </w:tc>
            </w:tr>
            <w:tr w:rsidR="00F46310" w14:paraId="5438D1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52D5194F" w14:textId="77777777" w:rsidR="00F46310" w:rsidRDefault="00000000">
                  <w:r>
                    <w:rPr>
                      <w:color w:val="1A1A1A"/>
                      <w:sz w:val="21"/>
                      <w:szCs w:val="21"/>
                    </w:rPr>
                    <w:t>Back-to-school period reduces discretionary spend on vehicles</w:t>
                  </w:r>
                </w:p>
              </w:tc>
            </w:tr>
            <w:tr w:rsidR="00F46310" w14:paraId="0796C8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22D95B78" w14:textId="77777777" w:rsidR="00F46310" w:rsidRDefault="00000000">
                  <w:r>
                    <w:rPr>
                      <w:color w:val="1A1A1A"/>
                      <w:sz w:val="21"/>
                      <w:szCs w:val="21"/>
                    </w:rPr>
                    <w:lastRenderedPageBreak/>
                    <w:t>Asia-Pacific bucks trend — AP Q3 only -4% vs global -18%</w:t>
                  </w:r>
                </w:p>
              </w:tc>
            </w:tr>
            <w:tr w:rsidR="00F46310" w14:paraId="6612EA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3E8A98C1" w14:textId="77777777" w:rsidR="00F46310" w:rsidRDefault="00000000">
                  <w:r>
                    <w:rPr>
                      <w:color w:val="1A1A1A"/>
                      <w:sz w:val="21"/>
                      <w:szCs w:val="21"/>
                    </w:rPr>
                    <w:t>No mitigation strategy currently in place for Q3 revenue loss</w:t>
                  </w:r>
                </w:p>
              </w:tc>
            </w:tr>
          </w:tbl>
          <w:p w14:paraId="7EB14D52" w14:textId="77777777" w:rsidR="00F46310" w:rsidRDefault="00F46310"/>
        </w:tc>
      </w:tr>
    </w:tbl>
    <w:p w14:paraId="07A86C0B" w14:textId="77777777" w:rsidR="00F46310" w:rsidRDefault="00F46310">
      <w:pPr>
        <w:spacing w:before="60" w:after="60"/>
      </w:pPr>
    </w:p>
    <w:p w14:paraId="63458CEE" w14:textId="77777777" w:rsidR="00F46310" w:rsidRDefault="00000000">
      <w:pPr>
        <w:pStyle w:val="Heading2"/>
        <w:pBdr>
          <w:bottom w:val="single" w:sz="4" w:space="0" w:color="2E75B6"/>
        </w:pBdr>
      </w:pPr>
      <w:r>
        <w:t>d)  Category Analysis — EV vs Fuel &amp; Luxury vs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46310" w14:paraId="36CA217C"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F46310" w14:paraId="6DBD165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7E3C635E" w14:textId="77777777" w:rsidR="00F46310" w:rsidRDefault="00000000">
                  <w:r>
                    <w:rPr>
                      <w:b/>
                      <w:bCs/>
                      <w:color w:val="FFFFFF"/>
                    </w:rPr>
                    <w:t>EV vs Fuel-Based</w:t>
                  </w:r>
                </w:p>
              </w:tc>
            </w:tr>
            <w:tr w:rsidR="00F46310" w14:paraId="7B49FD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0A0EF7ED" w14:textId="165ABA54" w:rsidR="00F46310" w:rsidRDefault="00000000">
                  <w:r>
                    <w:rPr>
                      <w:color w:val="1A1A1A"/>
                      <w:sz w:val="21"/>
                      <w:szCs w:val="21"/>
                    </w:rPr>
                    <w:t>EV units: 610K (+25% YoY) — fastest growing segment</w:t>
                  </w:r>
                </w:p>
              </w:tc>
            </w:tr>
            <w:tr w:rsidR="00F46310" w14:paraId="1D4319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6089B073" w14:textId="06FF4053" w:rsidR="00F46310" w:rsidRDefault="00000000">
                  <w:r>
                    <w:rPr>
                      <w:color w:val="1A1A1A"/>
                      <w:sz w:val="21"/>
                      <w:szCs w:val="21"/>
                    </w:rPr>
                    <w:t>Fuel units: 3.23M (+3% YoY) — still dominant in volume</w:t>
                  </w:r>
                </w:p>
              </w:tc>
            </w:tr>
            <w:tr w:rsidR="00F46310" w14:paraId="26A5A2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3237EDAC" w14:textId="77777777" w:rsidR="00F46310" w:rsidRDefault="00000000">
                  <w:r>
                    <w:rPr>
                      <w:color w:val="1A1A1A"/>
                      <w:sz w:val="21"/>
                      <w:szCs w:val="21"/>
                    </w:rPr>
                    <w:t>EV revenue per unit $8,400 higher on average than fuel</w:t>
                  </w:r>
                </w:p>
              </w:tc>
            </w:tr>
            <w:tr w:rsidR="00F46310" w14:paraId="312E3E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70" w:type="dxa"/>
                    <w:left w:w="140" w:type="dxa"/>
                    <w:bottom w:w="70" w:type="dxa"/>
                    <w:right w:w="140" w:type="dxa"/>
                  </w:tcMar>
                </w:tcPr>
                <w:p w14:paraId="3B651D9F" w14:textId="77777777" w:rsidR="00F46310" w:rsidRDefault="00000000">
                  <w:r>
                    <w:rPr>
                      <w:color w:val="1A1A1A"/>
                      <w:sz w:val="21"/>
                      <w:szCs w:val="21"/>
                    </w:rPr>
                    <w:t>EV market share expected to reach 25% by 2027 at current rate</w:t>
                  </w:r>
                </w:p>
              </w:tc>
            </w:tr>
          </w:tbl>
          <w:p w14:paraId="562DB564" w14:textId="77777777" w:rsidR="00F46310" w:rsidRDefault="00F46310"/>
        </w:tc>
        <w:tc>
          <w:tcPr>
            <w:tcW w:w="468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tbl>
            <w:tblPr>
              <w:tblW w:w="4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0"/>
            </w:tblGrid>
            <w:tr w:rsidR="00F46310" w14:paraId="0A7512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tcPr>
                <w:p w14:paraId="32949DC3" w14:textId="77777777" w:rsidR="00F46310" w:rsidRDefault="00000000">
                  <w:r>
                    <w:rPr>
                      <w:b/>
                      <w:bCs/>
                      <w:color w:val="FFFFFF"/>
                    </w:rPr>
                    <w:t>Luxury vs Budget</w:t>
                  </w:r>
                </w:p>
              </w:tc>
            </w:tr>
            <w:tr w:rsidR="00F46310" w14:paraId="27DA59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48636304" w14:textId="2CEE6BFA" w:rsidR="00F46310" w:rsidRDefault="00000000">
                  <w:r>
                    <w:rPr>
                      <w:color w:val="1A1A1A"/>
                      <w:sz w:val="21"/>
                      <w:szCs w:val="21"/>
                    </w:rPr>
                    <w:t>Luxury segment: +11% revenue growth — premiumization trend</w:t>
                  </w:r>
                </w:p>
              </w:tc>
            </w:tr>
            <w:tr w:rsidR="00F46310" w14:paraId="5D507B9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7EA00E45" w14:textId="5CD1C3CD" w:rsidR="00F46310" w:rsidRDefault="00000000">
                  <w:r>
                    <w:rPr>
                      <w:color w:val="1A1A1A"/>
                      <w:sz w:val="21"/>
                      <w:szCs w:val="21"/>
                    </w:rPr>
                    <w:t>Budget segment: -4% — squeezed by EV price convergence</w:t>
                  </w:r>
                </w:p>
              </w:tc>
            </w:tr>
            <w:tr w:rsidR="00F46310" w14:paraId="20AA4A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73A1C909" w14:textId="77777777" w:rsidR="00F46310" w:rsidRDefault="00000000">
                  <w:r>
                    <w:rPr>
                      <w:color w:val="1A1A1A"/>
                      <w:sz w:val="21"/>
                      <w:szCs w:val="21"/>
                    </w:rPr>
                    <w:t>Mid-range stable at +2% but margin compression is rising</w:t>
                  </w:r>
                </w:p>
              </w:tc>
            </w:tr>
            <w:tr w:rsidR="00F46310" w14:paraId="6014F6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70" w:type="dxa"/>
                    <w:left w:w="140" w:type="dxa"/>
                    <w:bottom w:w="70" w:type="dxa"/>
                    <w:right w:w="140" w:type="dxa"/>
                  </w:tcMar>
                </w:tcPr>
                <w:p w14:paraId="3FEC1CAD" w14:textId="77777777" w:rsidR="00F46310" w:rsidRDefault="00000000">
                  <w:r>
                    <w:rPr>
                      <w:color w:val="1A1A1A"/>
                      <w:sz w:val="21"/>
                      <w:szCs w:val="21"/>
                    </w:rPr>
                    <w:t>Luxury EVs (e.g., SUVs) drove 60% of EV revenue growth</w:t>
                  </w:r>
                </w:p>
              </w:tc>
            </w:tr>
          </w:tbl>
          <w:p w14:paraId="1F41B504" w14:textId="77777777" w:rsidR="00F46310" w:rsidRDefault="00F46310"/>
        </w:tc>
      </w:tr>
    </w:tbl>
    <w:p w14:paraId="03737362" w14:textId="77777777" w:rsidR="00F46310" w:rsidRDefault="00F46310">
      <w:pPr>
        <w:spacing w:before="60" w:after="60"/>
      </w:pPr>
    </w:p>
    <w:p w14:paraId="7F1E2833" w14:textId="77777777" w:rsidR="00F46310" w:rsidRDefault="00000000">
      <w:pPr>
        <w:pStyle w:val="Heading1"/>
        <w:pBdr>
          <w:bottom w:val="single" w:sz="8" w:space="0" w:color="2E75B6"/>
        </w:pBdr>
        <w:shd w:val="clear" w:color="auto" w:fill="1F4E79"/>
        <w:ind w:left="200"/>
      </w:pPr>
      <w:r>
        <w:t>4.  Problems &amp; Red Flags</w:t>
      </w:r>
    </w:p>
    <w:p w14:paraId="42F9362C" w14:textId="77777777" w:rsidR="00F46310" w:rsidRDefault="00F463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6310" w14:paraId="7FF416B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C00000"/>
            <w:tcMar>
              <w:top w:w="90" w:type="dxa"/>
              <w:left w:w="140" w:type="dxa"/>
              <w:bottom w:w="90" w:type="dxa"/>
              <w:right w:w="140" w:type="dxa"/>
            </w:tcMar>
          </w:tcPr>
          <w:p w14:paraId="6DA00362" w14:textId="77777777" w:rsidR="00F46310" w:rsidRDefault="00000000">
            <w:r>
              <w:rPr>
                <w:b/>
                <w:bCs/>
                <w:color w:val="FFFFFF"/>
              </w:rPr>
              <w:t>⚠</w:t>
            </w:r>
            <w:proofErr w:type="gramStart"/>
            <w:r>
              <w:rPr>
                <w:b/>
                <w:bCs/>
                <w:color w:val="FFFFFF"/>
              </w:rPr>
              <w:t>️  Red</w:t>
            </w:r>
            <w:proofErr w:type="gramEnd"/>
            <w:r>
              <w:rPr>
                <w:b/>
                <w:bCs/>
                <w:color w:val="FFFFFF"/>
              </w:rPr>
              <w:t xml:space="preserve"> Flag</w:t>
            </w:r>
          </w:p>
        </w:tc>
        <w:tc>
          <w:tcPr>
            <w:tcW w:w="6960" w:type="dxa"/>
            <w:tcBorders>
              <w:top w:val="single" w:sz="1" w:space="0" w:color="CCCCCC"/>
              <w:left w:val="single" w:sz="1" w:space="0" w:color="CCCCCC"/>
              <w:bottom w:val="single" w:sz="1" w:space="0" w:color="CCCCCC"/>
              <w:right w:val="single" w:sz="1" w:space="0" w:color="CCCCCC"/>
            </w:tcBorders>
            <w:shd w:val="clear" w:color="auto" w:fill="C00000"/>
            <w:tcMar>
              <w:top w:w="90" w:type="dxa"/>
              <w:left w:w="140" w:type="dxa"/>
              <w:bottom w:w="90" w:type="dxa"/>
              <w:right w:w="140" w:type="dxa"/>
            </w:tcMar>
          </w:tcPr>
          <w:p w14:paraId="2EAEB8CB" w14:textId="77777777" w:rsidR="00F46310" w:rsidRDefault="00000000">
            <w:r>
              <w:rPr>
                <w:b/>
                <w:bCs/>
                <w:color w:val="FFFFFF"/>
              </w:rPr>
              <w:t>Impact Assessment</w:t>
            </w:r>
          </w:p>
        </w:tc>
      </w:tr>
      <w:tr w:rsidR="00F46310" w14:paraId="48442C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52176110" w14:textId="77777777" w:rsidR="00F46310" w:rsidRDefault="00000000">
            <w:r>
              <w:rPr>
                <w:b/>
                <w:bCs/>
                <w:color w:val="C00000"/>
                <w:sz w:val="21"/>
                <w:szCs w:val="21"/>
              </w:rPr>
              <w:t>Europe Market Decline</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F377B4" w14:textId="77777777" w:rsidR="00F46310" w:rsidRDefault="00000000">
            <w:r>
              <w:rPr>
                <w:color w:val="1A1A1A"/>
                <w:sz w:val="21"/>
                <w:szCs w:val="21"/>
              </w:rPr>
              <w:t>Market share fell from 31% → 27% over 2 years. At this rate, Europe may drop below 20% by 2027.</w:t>
            </w:r>
          </w:p>
        </w:tc>
      </w:tr>
      <w:tr w:rsidR="00F46310" w14:paraId="2E2CBD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7A7A6A35" w14:textId="77777777" w:rsidR="00F46310" w:rsidRDefault="00000000">
            <w:r>
              <w:rPr>
                <w:b/>
                <w:bCs/>
                <w:color w:val="C00000"/>
                <w:sz w:val="21"/>
                <w:szCs w:val="21"/>
              </w:rPr>
              <w:t>North America Over-Dependence</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49757B" w14:textId="77777777" w:rsidR="00F46310" w:rsidRDefault="00000000">
            <w:r>
              <w:rPr>
                <w:color w:val="1A1A1A"/>
                <w:sz w:val="21"/>
                <w:szCs w:val="21"/>
              </w:rPr>
              <w:t>42% revenue from one region creates systemic risk. Any economic downturn in the US severely impacts global revenue.</w:t>
            </w:r>
          </w:p>
        </w:tc>
      </w:tr>
      <w:tr w:rsidR="00F46310" w14:paraId="12D65B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0575BFCA" w14:textId="77777777" w:rsidR="00F46310" w:rsidRDefault="00000000">
            <w:r>
              <w:rPr>
                <w:b/>
                <w:bCs/>
                <w:color w:val="C00000"/>
                <w:sz w:val="21"/>
                <w:szCs w:val="21"/>
              </w:rPr>
              <w:t>Q3 Seasonal Drop</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4B5A5D" w14:textId="77777777" w:rsidR="00F46310" w:rsidRDefault="00000000">
            <w:r>
              <w:rPr>
                <w:color w:val="1A1A1A"/>
                <w:sz w:val="21"/>
                <w:szCs w:val="21"/>
              </w:rPr>
              <w:t>18% decline every Q3 with no current mitigation strategy — represents predictable lost revenue.</w:t>
            </w:r>
          </w:p>
        </w:tc>
      </w:tr>
      <w:tr w:rsidR="00F46310" w14:paraId="15BEFD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40" w:type="dxa"/>
              <w:bottom w:w="80" w:type="dxa"/>
              <w:right w:w="140" w:type="dxa"/>
            </w:tcMar>
          </w:tcPr>
          <w:p w14:paraId="4474D2CC" w14:textId="77777777" w:rsidR="00F46310" w:rsidRDefault="00000000">
            <w:r>
              <w:rPr>
                <w:b/>
                <w:bCs/>
                <w:color w:val="C00000"/>
                <w:sz w:val="21"/>
                <w:szCs w:val="21"/>
              </w:rPr>
              <w:t>Budget Segment Erosion</w:t>
            </w:r>
          </w:p>
        </w:tc>
        <w:tc>
          <w:tcPr>
            <w:tcW w:w="69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C7A2D7" w14:textId="77777777" w:rsidR="00F46310" w:rsidRDefault="00000000">
            <w:r>
              <w:rPr>
                <w:color w:val="1A1A1A"/>
                <w:sz w:val="21"/>
                <w:szCs w:val="21"/>
              </w:rPr>
              <w:t>4% decline in budget cars suggests brand positioning may be drifting upmarket unintentionally.</w:t>
            </w:r>
          </w:p>
        </w:tc>
      </w:tr>
    </w:tbl>
    <w:p w14:paraId="5B20558C" w14:textId="77777777" w:rsidR="00F46310" w:rsidRDefault="00F46310">
      <w:pPr>
        <w:spacing w:before="60" w:after="60"/>
      </w:pPr>
    </w:p>
    <w:p w14:paraId="027EBDA5" w14:textId="77777777" w:rsidR="00F46310" w:rsidRDefault="00000000">
      <w:pPr>
        <w:pStyle w:val="Heading1"/>
        <w:pBdr>
          <w:bottom w:val="single" w:sz="8" w:space="0" w:color="2E75B6"/>
        </w:pBdr>
        <w:shd w:val="clear" w:color="auto" w:fill="1F4E79"/>
        <w:ind w:left="200"/>
      </w:pPr>
      <w:r>
        <w:t>5.  Recommendations</w:t>
      </w:r>
    </w:p>
    <w:p w14:paraId="533E17FD" w14:textId="77777777" w:rsidR="00F46310" w:rsidRDefault="00F463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5"/>
        <w:gridCol w:w="4854"/>
        <w:gridCol w:w="971"/>
      </w:tblGrid>
      <w:tr w:rsidR="00F46310" w14:paraId="658C503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tcPr>
          <w:p w14:paraId="102B35D5" w14:textId="77777777" w:rsidR="00F46310" w:rsidRDefault="00000000">
            <w:r>
              <w:rPr>
                <w:b/>
                <w:bCs/>
                <w:color w:val="FFFFFF"/>
              </w:rPr>
              <w:t>Recommendation</w:t>
            </w:r>
          </w:p>
        </w:tc>
        <w:tc>
          <w:tcPr>
            <w:tcW w:w="500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40" w:type="dxa"/>
              <w:bottom w:w="90" w:type="dxa"/>
              <w:right w:w="140" w:type="dxa"/>
            </w:tcMar>
          </w:tcPr>
          <w:p w14:paraId="64BCEC97" w14:textId="77777777" w:rsidR="00F46310" w:rsidRDefault="00000000">
            <w:r>
              <w:rPr>
                <w:b/>
                <w:bCs/>
                <w:color w:val="FFFFFF"/>
              </w:rPr>
              <w:t>Linked Insight</w:t>
            </w:r>
          </w:p>
        </w:tc>
        <w:tc>
          <w:tcPr>
            <w:tcW w:w="760" w:type="dxa"/>
            <w:tcBorders>
              <w:top w:val="single" w:sz="1" w:space="0" w:color="CCCCCC"/>
              <w:left w:val="single" w:sz="1" w:space="0" w:color="CCCCCC"/>
              <w:bottom w:val="single" w:sz="1" w:space="0" w:color="CCCCCC"/>
              <w:right w:val="single" w:sz="1" w:space="0" w:color="CCCCCC"/>
            </w:tcBorders>
            <w:shd w:val="clear" w:color="auto" w:fill="1F4E79"/>
            <w:tcMar>
              <w:top w:w="90" w:type="dxa"/>
              <w:left w:w="100" w:type="dxa"/>
              <w:bottom w:w="90" w:type="dxa"/>
              <w:right w:w="100" w:type="dxa"/>
            </w:tcMar>
          </w:tcPr>
          <w:p w14:paraId="3ECD503F" w14:textId="77777777" w:rsidR="00F46310" w:rsidRDefault="00000000">
            <w:pPr>
              <w:jc w:val="center"/>
            </w:pPr>
            <w:r>
              <w:rPr>
                <w:b/>
                <w:bCs/>
                <w:color w:val="FFFFFF"/>
              </w:rPr>
              <w:t>Priority</w:t>
            </w:r>
          </w:p>
        </w:tc>
      </w:tr>
      <w:tr w:rsidR="00F46310" w14:paraId="04B56EE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2EEF559" w14:textId="77777777" w:rsidR="00F46310" w:rsidRDefault="00000000">
            <w:r>
              <w:rPr>
                <w:b/>
                <w:bCs/>
                <w:color w:val="1A1A1A"/>
                <w:sz w:val="21"/>
                <w:szCs w:val="21"/>
              </w:rPr>
              <w:t>Expand EV inventory in Asia-Pacific</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34473239" w14:textId="77777777" w:rsidR="00F46310" w:rsidRDefault="00000000">
            <w:r>
              <w:rPr>
                <w:color w:val="444444"/>
                <w:sz w:val="21"/>
                <w:szCs w:val="21"/>
              </w:rPr>
              <w:t>EV growth is 25% YoY; AP region shows highest adoption intent</w:t>
            </w:r>
          </w:p>
        </w:tc>
        <w:tc>
          <w:tcPr>
            <w:tcW w:w="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2A5E74D9" w14:textId="77777777" w:rsidR="00F46310" w:rsidRDefault="00000000">
            <w:pPr>
              <w:jc w:val="center"/>
            </w:pPr>
            <w:r>
              <w:rPr>
                <w:b/>
                <w:bCs/>
                <w:color w:val="C00000"/>
                <w:sz w:val="18"/>
                <w:szCs w:val="18"/>
              </w:rPr>
              <w:t>HIGH</w:t>
            </w:r>
          </w:p>
        </w:tc>
      </w:tr>
      <w:tr w:rsidR="00F46310" w14:paraId="75B917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BF44C" w14:textId="77777777" w:rsidR="00F46310" w:rsidRDefault="00000000">
            <w:r>
              <w:rPr>
                <w:b/>
                <w:bCs/>
                <w:color w:val="1A1A1A"/>
                <w:sz w:val="21"/>
                <w:szCs w:val="21"/>
              </w:rPr>
              <w:t>Launch Q3 targeted promotions &amp; financing deals</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7EECA" w14:textId="77777777" w:rsidR="00F46310" w:rsidRDefault="00000000">
            <w:r>
              <w:rPr>
                <w:color w:val="444444"/>
                <w:sz w:val="21"/>
                <w:szCs w:val="21"/>
              </w:rPr>
              <w:t>Predictable 18% Q3 drop can be partially offset with strategic discounting</w:t>
            </w:r>
          </w:p>
        </w:tc>
        <w:tc>
          <w:tcPr>
            <w:tcW w:w="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18E0736F" w14:textId="77777777" w:rsidR="00F46310" w:rsidRDefault="00000000">
            <w:pPr>
              <w:jc w:val="center"/>
            </w:pPr>
            <w:r>
              <w:rPr>
                <w:b/>
                <w:bCs/>
                <w:color w:val="C00000"/>
                <w:sz w:val="18"/>
                <w:szCs w:val="18"/>
              </w:rPr>
              <w:t>HIGH</w:t>
            </w:r>
          </w:p>
        </w:tc>
      </w:tr>
      <w:tr w:rsidR="00F46310" w14:paraId="2C7217F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58CF3EF0" w14:textId="77777777" w:rsidR="00F46310" w:rsidRDefault="00000000">
            <w:r>
              <w:rPr>
                <w:b/>
                <w:bCs/>
                <w:color w:val="1A1A1A"/>
                <w:sz w:val="21"/>
                <w:szCs w:val="21"/>
              </w:rPr>
              <w:t>Diversify revenue into emerging markets (Africa, SE Asia)</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21AE6245" w14:textId="77777777" w:rsidR="00F46310" w:rsidRDefault="00000000">
            <w:r>
              <w:rPr>
                <w:color w:val="444444"/>
                <w:sz w:val="21"/>
                <w:szCs w:val="21"/>
              </w:rPr>
              <w:t>Reduces over-dependence on North America (currently 42%)</w:t>
            </w:r>
          </w:p>
        </w:tc>
        <w:tc>
          <w:tcPr>
            <w:tcW w:w="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39FCA5D1" w14:textId="77777777" w:rsidR="00F46310" w:rsidRDefault="00000000">
            <w:pPr>
              <w:jc w:val="center"/>
            </w:pPr>
            <w:r>
              <w:rPr>
                <w:b/>
                <w:bCs/>
                <w:color w:val="375623"/>
                <w:sz w:val="18"/>
                <w:szCs w:val="18"/>
              </w:rPr>
              <w:t>MEDIUM</w:t>
            </w:r>
          </w:p>
        </w:tc>
      </w:tr>
      <w:tr w:rsidR="00F46310" w14:paraId="055ACF1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E6527" w14:textId="77777777" w:rsidR="00F46310" w:rsidRDefault="00000000">
            <w:r>
              <w:rPr>
                <w:b/>
                <w:bCs/>
                <w:color w:val="1A1A1A"/>
                <w:sz w:val="21"/>
                <w:szCs w:val="21"/>
              </w:rPr>
              <w:lastRenderedPageBreak/>
              <w:t>Re-evaluate European go-to-market strategy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B5DC3" w14:textId="77777777" w:rsidR="00F46310" w:rsidRDefault="00000000">
            <w:r>
              <w:rPr>
                <w:color w:val="444444"/>
                <w:sz w:val="21"/>
                <w:szCs w:val="21"/>
              </w:rPr>
              <w:t>2-year share decline signals product-market fit issues in EU region</w:t>
            </w:r>
          </w:p>
        </w:tc>
        <w:tc>
          <w:tcPr>
            <w:tcW w:w="76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00" w:type="dxa"/>
              <w:bottom w:w="80" w:type="dxa"/>
              <w:right w:w="100" w:type="dxa"/>
            </w:tcMar>
          </w:tcPr>
          <w:p w14:paraId="6D58DE73" w14:textId="77777777" w:rsidR="00F46310" w:rsidRDefault="00000000">
            <w:pPr>
              <w:jc w:val="center"/>
            </w:pPr>
            <w:r>
              <w:rPr>
                <w:b/>
                <w:bCs/>
                <w:color w:val="C00000"/>
                <w:sz w:val="18"/>
                <w:szCs w:val="18"/>
              </w:rPr>
              <w:t>HIGH</w:t>
            </w:r>
          </w:p>
        </w:tc>
      </w:tr>
      <w:tr w:rsidR="00F46310" w14:paraId="524B18D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07C7CC86" w14:textId="77777777" w:rsidR="00F46310" w:rsidRDefault="00000000">
            <w:r>
              <w:rPr>
                <w:b/>
                <w:bCs/>
                <w:color w:val="1A1A1A"/>
                <w:sz w:val="21"/>
                <w:szCs w:val="21"/>
              </w:rPr>
              <w:t>Invest in luxury &amp; premium segment positioning</w:t>
            </w:r>
          </w:p>
        </w:tc>
        <w:tc>
          <w:tcPr>
            <w:tcW w:w="5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40" w:type="dxa"/>
            </w:tcMar>
          </w:tcPr>
          <w:p w14:paraId="16FDED60" w14:textId="77777777" w:rsidR="00F46310" w:rsidRDefault="00000000">
            <w:r>
              <w:rPr>
                <w:color w:val="444444"/>
                <w:sz w:val="21"/>
                <w:szCs w:val="21"/>
              </w:rPr>
              <w:t>Luxury grew 11%; aligns with premiumization trend across demographics</w:t>
            </w:r>
          </w:p>
        </w:tc>
        <w:tc>
          <w:tcPr>
            <w:tcW w:w="7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00" w:type="dxa"/>
              <w:bottom w:w="80" w:type="dxa"/>
              <w:right w:w="100" w:type="dxa"/>
            </w:tcMar>
          </w:tcPr>
          <w:p w14:paraId="2688344C" w14:textId="77777777" w:rsidR="00F46310" w:rsidRDefault="00000000">
            <w:pPr>
              <w:jc w:val="center"/>
            </w:pPr>
            <w:r>
              <w:rPr>
                <w:b/>
                <w:bCs/>
                <w:color w:val="375623"/>
                <w:sz w:val="18"/>
                <w:szCs w:val="18"/>
              </w:rPr>
              <w:t>MEDIUM</w:t>
            </w:r>
          </w:p>
        </w:tc>
      </w:tr>
    </w:tbl>
    <w:p w14:paraId="26047953" w14:textId="77777777" w:rsidR="00F46310" w:rsidRDefault="00F46310">
      <w:pPr>
        <w:spacing w:before="60" w:after="60"/>
      </w:pPr>
    </w:p>
    <w:p w14:paraId="14AF25BE" w14:textId="77777777" w:rsidR="00F46310" w:rsidRDefault="00000000">
      <w:pPr>
        <w:pStyle w:val="Heading1"/>
        <w:pBdr>
          <w:bottom w:val="single" w:sz="8" w:space="0" w:color="2E75B6"/>
        </w:pBdr>
        <w:shd w:val="clear" w:color="auto" w:fill="1F4E79"/>
        <w:ind w:left="200"/>
      </w:pPr>
      <w:r>
        <w:t>6.  Tools &amp; Methodology</w:t>
      </w:r>
    </w:p>
    <w:p w14:paraId="1E47B388" w14:textId="77777777" w:rsidR="00F46310" w:rsidRDefault="00F463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46310" w14:paraId="7AC36A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3FBF2326" w14:textId="77777777" w:rsidR="00F46310" w:rsidRDefault="00000000">
            <w:r>
              <w:rPr>
                <w:b/>
                <w:bCs/>
                <w:color w:val="1F4E79"/>
                <w:sz w:val="21"/>
                <w:szCs w:val="21"/>
              </w:rPr>
              <w:t>Tools Used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22B4523B" w14:textId="77777777" w:rsidR="00F46310" w:rsidRDefault="00000000">
            <w:r>
              <w:rPr>
                <w:color w:val="1A1A1A"/>
                <w:sz w:val="21"/>
                <w:szCs w:val="21"/>
              </w:rPr>
              <w:t>Tableau (visualization), Python (pandas, matplotlib), SQL (data extraction)</w:t>
            </w:r>
          </w:p>
        </w:tc>
      </w:tr>
      <w:tr w:rsidR="00F46310" w14:paraId="7E20F7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35E1BAAF" w14:textId="77777777" w:rsidR="00F46310" w:rsidRDefault="00000000">
            <w:r>
              <w:rPr>
                <w:b/>
                <w:bCs/>
                <w:color w:val="1F4E79"/>
                <w:sz w:val="21"/>
                <w:szCs w:val="21"/>
              </w:rPr>
              <w:t>Data Cleaning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FC39B13" w14:textId="77777777" w:rsidR="00F46310" w:rsidRDefault="00000000">
            <w:r>
              <w:rPr>
                <w:color w:val="1A1A1A"/>
                <w:sz w:val="21"/>
                <w:szCs w:val="21"/>
              </w:rPr>
              <w:t>Missing values imputed (median strategy), duplicates removed, outliers flagged</w:t>
            </w:r>
          </w:p>
        </w:tc>
      </w:tr>
      <w:tr w:rsidR="00F46310" w14:paraId="162AC7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51B19A30" w14:textId="77777777" w:rsidR="00F46310" w:rsidRDefault="00000000">
            <w:r>
              <w:rPr>
                <w:b/>
                <w:bCs/>
                <w:color w:val="1F4E79"/>
                <w:sz w:val="21"/>
                <w:szCs w:val="21"/>
              </w:rPr>
              <w:t>Data Source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40" w:type="dxa"/>
              <w:bottom w:w="90" w:type="dxa"/>
              <w:right w:w="140" w:type="dxa"/>
            </w:tcMar>
          </w:tcPr>
          <w:p w14:paraId="25750AC4" w14:textId="77777777" w:rsidR="00F46310" w:rsidRDefault="00000000">
            <w:r>
              <w:rPr>
                <w:color w:val="1A1A1A"/>
                <w:sz w:val="21"/>
                <w:szCs w:val="21"/>
              </w:rPr>
              <w:t>Global Automotive Sales Database — FY2024 (3.84M records, 47 countries)</w:t>
            </w:r>
          </w:p>
        </w:tc>
      </w:tr>
      <w:tr w:rsidR="00F46310" w14:paraId="643615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40" w:type="dxa"/>
              <w:bottom w:w="90" w:type="dxa"/>
              <w:right w:w="140" w:type="dxa"/>
            </w:tcMar>
          </w:tcPr>
          <w:p w14:paraId="022848F2" w14:textId="77777777" w:rsidR="00F46310" w:rsidRDefault="00000000">
            <w:r>
              <w:rPr>
                <w:b/>
                <w:bCs/>
                <w:color w:val="1F4E79"/>
                <w:sz w:val="21"/>
                <w:szCs w:val="21"/>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E830A7C" w14:textId="77777777" w:rsidR="00F46310" w:rsidRDefault="00000000">
            <w:r>
              <w:rPr>
                <w:color w:val="1A1A1A"/>
                <w:sz w:val="21"/>
                <w:szCs w:val="21"/>
              </w:rPr>
              <w:t xml:space="preserve">Full year FY2024 | Jan 1 – Dec 31, </w:t>
            </w:r>
            <w:proofErr w:type="gramStart"/>
            <w:r>
              <w:rPr>
                <w:color w:val="1A1A1A"/>
                <w:sz w:val="21"/>
                <w:szCs w:val="21"/>
              </w:rPr>
              <w:t>2024</w:t>
            </w:r>
            <w:proofErr w:type="gramEnd"/>
            <w:r>
              <w:rPr>
                <w:color w:val="1A1A1A"/>
                <w:sz w:val="21"/>
                <w:szCs w:val="21"/>
              </w:rPr>
              <w:t xml:space="preserve"> | Global, all segments</w:t>
            </w:r>
          </w:p>
        </w:tc>
      </w:tr>
    </w:tbl>
    <w:p w14:paraId="09D3B5E7" w14:textId="77777777" w:rsidR="00F46310" w:rsidRDefault="00F46310">
      <w:pPr>
        <w:spacing w:before="60" w:after="60"/>
      </w:pPr>
    </w:p>
    <w:p w14:paraId="19F60848" w14:textId="77777777" w:rsidR="00F46310" w:rsidRDefault="00000000">
      <w:pPr>
        <w:pStyle w:val="Heading1"/>
        <w:pBdr>
          <w:bottom w:val="single" w:sz="8" w:space="0" w:color="2E75B6"/>
        </w:pBdr>
        <w:shd w:val="clear" w:color="auto" w:fill="1F4E79"/>
        <w:ind w:left="200"/>
      </w:pPr>
      <w:r>
        <w:t>7.  Conclusion</w:t>
      </w:r>
    </w:p>
    <w:p w14:paraId="0EA86FD3" w14:textId="77777777" w:rsidR="00F46310" w:rsidRDefault="00F46310">
      <w:pPr>
        <w:spacing w:before="60" w:after="60"/>
      </w:pPr>
    </w:p>
    <w:p w14:paraId="6ED6B7EF" w14:textId="77777777" w:rsidR="00F46310" w:rsidRDefault="00F46310">
      <w:pPr>
        <w:pBdr>
          <w:left w:val="single" w:sz="20" w:space="0" w:color="2E75B6"/>
        </w:pBdr>
        <w:shd w:val="clear" w:color="auto" w:fill="D6E4F0"/>
        <w:spacing w:before="120"/>
        <w:ind w:left="200"/>
      </w:pPr>
    </w:p>
    <w:p w14:paraId="3E5B3433" w14:textId="77777777" w:rsidR="00F46310" w:rsidRDefault="00000000">
      <w:pPr>
        <w:shd w:val="clear" w:color="auto" w:fill="D6E4F0"/>
        <w:spacing w:before="80" w:after="80"/>
        <w:ind w:left="300"/>
      </w:pPr>
      <w:r>
        <w:rPr>
          <w:color w:val="1A1A1A"/>
        </w:rPr>
        <w:t>The FY2024 Global Car Sales analysis reveals strong revenue performance driven by North American dominance and accelerating EV adoption. However, Europe's structural decline, Q3 seasonal drops, and budget segment erosion represent addressable risks. The data makes a clear case for geographic diversification, EV-first inventory strategy, and proactive Q3 demand management. Organizations that act on these findings now will be positioned to capture disproportionate market share as the automotive industry transitions to electrification.</w:t>
      </w:r>
    </w:p>
    <w:p w14:paraId="4BEE636A" w14:textId="77777777" w:rsidR="00F46310" w:rsidRDefault="00F46310">
      <w:pPr>
        <w:shd w:val="clear" w:color="auto" w:fill="D6E4F0"/>
        <w:spacing w:after="120"/>
      </w:pPr>
    </w:p>
    <w:p w14:paraId="1368C003" w14:textId="77777777" w:rsidR="00F46310" w:rsidRDefault="00F46310">
      <w:pPr>
        <w:spacing w:before="60" w:after="60"/>
      </w:pPr>
    </w:p>
    <w:p w14:paraId="349AF926" w14:textId="77777777" w:rsidR="00F46310" w:rsidRDefault="00000000">
      <w:pPr>
        <w:pBdr>
          <w:top w:val="single" w:sz="6" w:space="0" w:color="2E75B6"/>
        </w:pBdr>
        <w:spacing w:before="200"/>
        <w:jc w:val="center"/>
      </w:pPr>
      <w:r>
        <w:rPr>
          <w:i/>
          <w:iCs/>
          <w:color w:val="888888"/>
          <w:sz w:val="20"/>
          <w:szCs w:val="20"/>
        </w:rPr>
        <w:t>— END OF REPORT —</w:t>
      </w:r>
    </w:p>
    <w:sectPr w:rsidR="00F4631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005F4" w14:textId="77777777" w:rsidR="00935CE4" w:rsidRDefault="00935CE4">
      <w:r>
        <w:separator/>
      </w:r>
    </w:p>
  </w:endnote>
  <w:endnote w:type="continuationSeparator" w:id="0">
    <w:p w14:paraId="4963226C" w14:textId="77777777" w:rsidR="00935CE4" w:rsidRDefault="00935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A090A" w14:textId="77777777" w:rsidR="00F46310" w:rsidRDefault="00000000">
    <w:pPr>
      <w:pBdr>
        <w:top w:val="single" w:sz="4" w:space="0" w:color="2E75B6"/>
      </w:pBdr>
      <w:spacing w:before="80"/>
    </w:pPr>
    <w:r>
      <w:rPr>
        <w:color w:val="777777"/>
        <w:sz w:val="18"/>
        <w:szCs w:val="18"/>
      </w:rPr>
      <w:t xml:space="preserve">Global Car Sales Dashboard </w:t>
    </w:r>
    <w:proofErr w:type="gramStart"/>
    <w:r>
      <w:rPr>
        <w:color w:val="777777"/>
        <w:sz w:val="18"/>
        <w:szCs w:val="18"/>
      </w:rPr>
      <w:t>Report  |</w:t>
    </w:r>
    <w:proofErr w:type="gramEnd"/>
    <w:r>
      <w:rPr>
        <w:color w:val="777777"/>
        <w:sz w:val="18"/>
        <w:szCs w:val="18"/>
      </w:rPr>
      <w:t xml:space="preserve">  2024    Page </w:t>
    </w:r>
    <w:r>
      <w:fldChar w:fldCharType="begin"/>
    </w:r>
    <w:r>
      <w:instrText>PAGE</w:instrText>
    </w:r>
    <w:r>
      <w:fldChar w:fldCharType="separate"/>
    </w:r>
    <w:r w:rsidR="00E5111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C7B7A" w14:textId="77777777" w:rsidR="00935CE4" w:rsidRDefault="00935CE4">
      <w:r>
        <w:separator/>
      </w:r>
    </w:p>
  </w:footnote>
  <w:footnote w:type="continuationSeparator" w:id="0">
    <w:p w14:paraId="78B905C3" w14:textId="77777777" w:rsidR="00935CE4" w:rsidRDefault="00935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764DF"/>
    <w:multiLevelType w:val="hybridMultilevel"/>
    <w:tmpl w:val="CDEC7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B37FE8"/>
    <w:multiLevelType w:val="hybridMultilevel"/>
    <w:tmpl w:val="5CF8323C"/>
    <w:lvl w:ilvl="0" w:tplc="85963AC2">
      <w:start w:val="1"/>
      <w:numFmt w:val="bullet"/>
      <w:lvlText w:val="●"/>
      <w:lvlJc w:val="left"/>
      <w:pPr>
        <w:ind w:left="720" w:hanging="360"/>
      </w:pPr>
    </w:lvl>
    <w:lvl w:ilvl="1" w:tplc="B2760432">
      <w:start w:val="1"/>
      <w:numFmt w:val="bullet"/>
      <w:lvlText w:val="○"/>
      <w:lvlJc w:val="left"/>
      <w:pPr>
        <w:ind w:left="1440" w:hanging="360"/>
      </w:pPr>
    </w:lvl>
    <w:lvl w:ilvl="2" w:tplc="6BBA574A">
      <w:start w:val="1"/>
      <w:numFmt w:val="bullet"/>
      <w:lvlText w:val="■"/>
      <w:lvlJc w:val="left"/>
      <w:pPr>
        <w:ind w:left="2160" w:hanging="360"/>
      </w:pPr>
    </w:lvl>
    <w:lvl w:ilvl="3" w:tplc="255803D6">
      <w:start w:val="1"/>
      <w:numFmt w:val="bullet"/>
      <w:lvlText w:val="●"/>
      <w:lvlJc w:val="left"/>
      <w:pPr>
        <w:ind w:left="2880" w:hanging="360"/>
      </w:pPr>
    </w:lvl>
    <w:lvl w:ilvl="4" w:tplc="7CA68B0E">
      <w:start w:val="1"/>
      <w:numFmt w:val="bullet"/>
      <w:lvlText w:val="○"/>
      <w:lvlJc w:val="left"/>
      <w:pPr>
        <w:ind w:left="3600" w:hanging="360"/>
      </w:pPr>
    </w:lvl>
    <w:lvl w:ilvl="5" w:tplc="218C40C6">
      <w:start w:val="1"/>
      <w:numFmt w:val="bullet"/>
      <w:lvlText w:val="■"/>
      <w:lvlJc w:val="left"/>
      <w:pPr>
        <w:ind w:left="4320" w:hanging="360"/>
      </w:pPr>
    </w:lvl>
    <w:lvl w:ilvl="6" w:tplc="57502B90">
      <w:start w:val="1"/>
      <w:numFmt w:val="bullet"/>
      <w:lvlText w:val="●"/>
      <w:lvlJc w:val="left"/>
      <w:pPr>
        <w:ind w:left="5040" w:hanging="360"/>
      </w:pPr>
    </w:lvl>
    <w:lvl w:ilvl="7" w:tplc="AA843CAA">
      <w:start w:val="1"/>
      <w:numFmt w:val="bullet"/>
      <w:lvlText w:val="●"/>
      <w:lvlJc w:val="left"/>
      <w:pPr>
        <w:ind w:left="5760" w:hanging="360"/>
      </w:pPr>
    </w:lvl>
    <w:lvl w:ilvl="8" w:tplc="9F96A80C">
      <w:start w:val="1"/>
      <w:numFmt w:val="bullet"/>
      <w:lvlText w:val="●"/>
      <w:lvlJc w:val="left"/>
      <w:pPr>
        <w:ind w:left="6480" w:hanging="360"/>
      </w:pPr>
    </w:lvl>
  </w:abstractNum>
  <w:abstractNum w:abstractNumId="2" w15:restartNumberingAfterBreak="0">
    <w:nsid w:val="66504DE0"/>
    <w:multiLevelType w:val="hybridMultilevel"/>
    <w:tmpl w:val="C3B23F1A"/>
    <w:lvl w:ilvl="0" w:tplc="15027408">
      <w:start w:val="1"/>
      <w:numFmt w:val="bullet"/>
      <w:lvlText w:val="•"/>
      <w:lvlJc w:val="left"/>
      <w:pPr>
        <w:ind w:left="720" w:hanging="360"/>
      </w:pPr>
    </w:lvl>
    <w:lvl w:ilvl="1" w:tplc="C27A728E">
      <w:numFmt w:val="decimal"/>
      <w:lvlText w:val=""/>
      <w:lvlJc w:val="left"/>
    </w:lvl>
    <w:lvl w:ilvl="2" w:tplc="369669B0">
      <w:numFmt w:val="decimal"/>
      <w:lvlText w:val=""/>
      <w:lvlJc w:val="left"/>
    </w:lvl>
    <w:lvl w:ilvl="3" w:tplc="F8880DB2">
      <w:numFmt w:val="decimal"/>
      <w:lvlText w:val=""/>
      <w:lvlJc w:val="left"/>
    </w:lvl>
    <w:lvl w:ilvl="4" w:tplc="C6B6E0EE">
      <w:numFmt w:val="decimal"/>
      <w:lvlText w:val=""/>
      <w:lvlJc w:val="left"/>
    </w:lvl>
    <w:lvl w:ilvl="5" w:tplc="987C3D8A">
      <w:numFmt w:val="decimal"/>
      <w:lvlText w:val=""/>
      <w:lvlJc w:val="left"/>
    </w:lvl>
    <w:lvl w:ilvl="6" w:tplc="42CE3A92">
      <w:numFmt w:val="decimal"/>
      <w:lvlText w:val=""/>
      <w:lvlJc w:val="left"/>
    </w:lvl>
    <w:lvl w:ilvl="7" w:tplc="447C973A">
      <w:numFmt w:val="decimal"/>
      <w:lvlText w:val=""/>
      <w:lvlJc w:val="left"/>
    </w:lvl>
    <w:lvl w:ilvl="8" w:tplc="F8D48F10">
      <w:numFmt w:val="decimal"/>
      <w:lvlText w:val=""/>
      <w:lvlJc w:val="left"/>
    </w:lvl>
  </w:abstractNum>
  <w:num w:numId="1" w16cid:durableId="1469475425">
    <w:abstractNumId w:val="1"/>
    <w:lvlOverride w:ilvl="0">
      <w:startOverride w:val="1"/>
    </w:lvlOverride>
  </w:num>
  <w:num w:numId="2" w16cid:durableId="20279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310"/>
    <w:rsid w:val="00111575"/>
    <w:rsid w:val="00935CE4"/>
    <w:rsid w:val="00E51114"/>
    <w:rsid w:val="00F463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DAEA8B"/>
  <w15:docId w15:val="{2FBB3A13-62F3-E642-88D5-2220660C6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FFFFFF"/>
      <w:sz w:val="34"/>
      <w:szCs w:val="34"/>
    </w:rPr>
  </w:style>
  <w:style w:type="paragraph" w:styleId="Heading2">
    <w:name w:val="heading 2"/>
    <w:uiPriority w:val="9"/>
    <w:unhideWhenUsed/>
    <w:qFormat/>
    <w:pPr>
      <w:spacing w:before="26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Tiwari</cp:lastModifiedBy>
  <cp:revision>2</cp:revision>
  <dcterms:created xsi:type="dcterms:W3CDTF">2026-03-27T22:08:00Z</dcterms:created>
  <dcterms:modified xsi:type="dcterms:W3CDTF">2026-03-27T22:11:00Z</dcterms:modified>
</cp:coreProperties>
</file>