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line="276" w:lineRule="auto"/>
        <w:rPr/>
      </w:pPr>
      <w:bookmarkStart w:colFirst="0" w:colLast="0" w:name="_msfk9u3w5wpm" w:id="0"/>
      <w:bookmarkEnd w:id="0"/>
      <w:r w:rsidDel="00000000" w:rsidR="00000000" w:rsidRPr="00000000">
        <w:rPr>
          <w:rtl w:val="0"/>
        </w:rPr>
        <w:t xml:space="preserve">2. Tax Document Attachments (corresponding to above)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1099-DIV, 1099-INT, Form W-2, Invoice, Bank Statement, Schedule 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