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2021 — client summary (synthetic).</w:t>
      </w:r>
    </w:p>
    <w:p>
      <w:r>
        <w:t>Taxpayer: Morgan Bennett (synthetic)</w:t>
      </w:r>
    </w:p>
    <w:p>
      <w:r>
        <w:t>Filing status: single</w:t>
      </w:r>
    </w:p>
    <w:p>
      <w:r>
        <w:t>Residence: Orlando, FL 32801</w:t>
      </w:r>
    </w:p>
    <w:p>
      <w:r>
        <w:t>Questionnaire alignment: wages reported 158109; itemized elected False; SE income flag True; retirement distributions flag False; complexity 'moderately_complex'.</w:t>
      </w:r>
    </w:p>
    <w:p>
      <w:r>
        <w:t>AGI (reconciled): 201014; taxable income: 188464; total federal tax: 34163; withholding: 32120.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