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2022 — client summary (synthetic).</w:t>
      </w:r>
    </w:p>
    <w:p>
      <w:r>
        <w:t>Taxpayer: Parker Carter (synthetic)</w:t>
      </w:r>
    </w:p>
    <w:p>
      <w:r>
        <w:t>Filing status: single</w:t>
      </w:r>
    </w:p>
    <w:p>
      <w:r>
        <w:t>Residence: Sacramento, CA 95814</w:t>
      </w:r>
    </w:p>
    <w:p>
      <w:r>
        <w:t>Questionnaire alignment: wages reported 88156; itemized elected False; SE income flag False; retirement distributions flag False; complexity 'easy'.</w:t>
      </w:r>
    </w:p>
    <w:p>
      <w:r>
        <w:t>AGI (reconciled): 88156; taxable income: 75206; total federal tax: 9598; withholding: 8830.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