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2025 — client summary (synthetic).</w:t>
      </w:r>
    </w:p>
    <w:p>
      <w:r>
        <w:t>Taxpayer: Emery Bennett (synthetic)</w:t>
      </w:r>
    </w:p>
    <w:p>
      <w:r>
        <w:t>Filing status: married filing jointly</w:t>
      </w:r>
    </w:p>
    <w:p>
      <w:r>
        <w:t>Residence: Rochester, NY 14604</w:t>
      </w:r>
    </w:p>
    <w:p>
      <w:r>
        <w:t>Questionnaire alignment: wages reported 68150; itemized elected False; SE income flag False; retirement distributions flag False; complexity 'easy'.</w:t>
      </w:r>
    </w:p>
    <w:p>
      <w:r>
        <w:t>AGI (reconciled): 68544; taxable income: 38544; total federal tax: 4393; withholding: 10717.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