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Executive summary — TY 2023</w:t>
      </w:r>
    </w:p>
    <w:p>
      <w:r>
        <w:t>AGI: 112051; taxable income: 91251</w:t>
      </w:r>
    </w:p>
    <w:p>
      <w:r>
        <w:t>Federal tax: 12747; withholding: 5658; state tax: 0</w:t>
      </w:r>
    </w:p>
    <w:p>
      <w:r>
        <w:t>Effective federal rate (synthetic): 0.1138</w:t>
      </w:r>
    </w:p>
    <w:p>
      <w:r>
        <w:t>See companion PDF for full field table. Synthetic data only.</w:t>
      </w:r>
    </w:p>
  </w:body>
</w:document>
</file>

<file path=word/_rels/document.xml.rels><?xml version="1.0" encoding="UTF-8" standalone="yes"?>
<Relationships xmlns="http://schemas.openxmlformats.org/package/2006/relationships"/>

</file>