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year 2021 — client summary (synthetic).</w:t>
      </w:r>
    </w:p>
    <w:p>
      <w:r>
        <w:t>Taxpayer: Dakota Keller (synthetic)</w:t>
      </w:r>
    </w:p>
    <w:p>
      <w:r>
        <w:t>Filing status: married filing jointly</w:t>
      </w:r>
    </w:p>
    <w:p>
      <w:r>
        <w:t>Residence: Oakland, CA 94612</w:t>
      </w:r>
    </w:p>
    <w:p>
      <w:r>
        <w:t>Questionnaire alignment: wages reported 44263; itemized elected False; SE income flag False; retirement distributions flag False; complexity 'easy'.</w:t>
      </w:r>
    </w:p>
    <w:p>
      <w:r>
        <w:t>AGI (reconciled): 44263; taxable income: 19163; total federal tax: 2068; withholding: 6689.</w:t>
      </w:r>
    </w:p>
    <w:p>
      <w:r>
        <w:t>This document is generated for training and testing only. Not for filing.</w:t>
      </w:r>
    </w:p>
  </w:body>
</w:document>
</file>

<file path=word/_rels/document.xml.rels><?xml version="1.0" encoding="UTF-8" standalone="yes"?>
<Relationships xmlns="http://schemas.openxmlformats.org/package/2006/relationships"/>

</file>